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F2CDA9" w14:textId="561BDA46" w:rsidR="0081600F" w:rsidRPr="009E5B91" w:rsidRDefault="00921D62" w:rsidP="00695F1D">
      <w:pPr>
        <w:tabs>
          <w:tab w:val="left" w:pos="-1057"/>
          <w:tab w:val="left" w:pos="-720"/>
        </w:tabs>
        <w:spacing w:before="120"/>
        <w:rPr>
          <w:rFonts w:cs="Arial"/>
          <w:sz w:val="22"/>
          <w:szCs w:val="22"/>
          <w:lang w:val="fr-FR"/>
        </w:rPr>
      </w:pPr>
      <w:bookmarkStart w:id="0" w:name="_GoBack"/>
      <w:bookmarkEnd w:id="0"/>
      <w:r w:rsidRPr="009E5B91">
        <w:rPr>
          <w:rFonts w:cs="Arial"/>
          <w:sz w:val="22"/>
          <w:szCs w:val="22"/>
          <w:lang w:val="fr-FR"/>
        </w:rPr>
        <w:t>1</w:t>
      </w:r>
      <w:r w:rsidR="00ED02D3" w:rsidRPr="009E5B91">
        <w:rPr>
          <w:rFonts w:cs="Arial"/>
          <w:sz w:val="22"/>
          <w:szCs w:val="22"/>
          <w:lang w:val="fr-FR"/>
        </w:rPr>
        <w:t>2</w:t>
      </w:r>
      <w:r w:rsidR="009E5B91" w:rsidRPr="009E5B91">
        <w:rPr>
          <w:rFonts w:cs="Arial"/>
          <w:sz w:val="22"/>
          <w:szCs w:val="22"/>
          <w:vertAlign w:val="superscript"/>
          <w:lang w:val="fr-FR"/>
        </w:rPr>
        <w:t>ème</w:t>
      </w:r>
      <w:r w:rsidR="009E5B91" w:rsidRPr="009E5B91">
        <w:rPr>
          <w:rFonts w:cs="Arial"/>
          <w:sz w:val="22"/>
          <w:szCs w:val="22"/>
          <w:lang w:val="fr-FR"/>
        </w:rPr>
        <w:t xml:space="preserve"> SESSION DE LA CONFÉRENCE DES </w:t>
      </w:r>
      <w:r w:rsidRPr="009E5B91">
        <w:rPr>
          <w:rFonts w:cs="Arial"/>
          <w:sz w:val="22"/>
          <w:szCs w:val="22"/>
          <w:lang w:val="fr-FR"/>
        </w:rPr>
        <w:t>PARTIES</w:t>
      </w:r>
    </w:p>
    <w:p w14:paraId="1DC8A0D7" w14:textId="30A208C2" w:rsidR="0081600F" w:rsidRPr="00420040" w:rsidRDefault="003909E4" w:rsidP="009E72D7">
      <w:pPr>
        <w:pStyle w:val="Heading2"/>
        <w:keepNext w:val="0"/>
        <w:spacing w:line="228" w:lineRule="auto"/>
        <w:rPr>
          <w:rFonts w:cs="Arial"/>
          <w:b w:val="0"/>
          <w:bCs w:val="0"/>
          <w:sz w:val="22"/>
          <w:szCs w:val="22"/>
          <w:lang w:val="pt-PT"/>
        </w:rPr>
      </w:pPr>
      <w:r w:rsidRPr="00420040">
        <w:rPr>
          <w:rFonts w:cs="Arial"/>
          <w:b w:val="0"/>
          <w:sz w:val="22"/>
          <w:szCs w:val="22"/>
          <w:lang w:val="pt-PT"/>
        </w:rPr>
        <w:t>Manil</w:t>
      </w:r>
      <w:r w:rsidR="009E5B91">
        <w:rPr>
          <w:rFonts w:cs="Arial"/>
          <w:b w:val="0"/>
          <w:sz w:val="22"/>
          <w:szCs w:val="22"/>
          <w:lang w:val="pt-PT"/>
        </w:rPr>
        <w:t>le</w:t>
      </w:r>
      <w:r w:rsidR="00921D62" w:rsidRPr="00420040">
        <w:rPr>
          <w:rFonts w:cs="Arial"/>
          <w:b w:val="0"/>
          <w:sz w:val="22"/>
          <w:szCs w:val="22"/>
          <w:lang w:val="pt-PT"/>
        </w:rPr>
        <w:t xml:space="preserve">, </w:t>
      </w:r>
      <w:r w:rsidR="00ED02D3" w:rsidRPr="00420040">
        <w:rPr>
          <w:rFonts w:cs="Arial"/>
          <w:b w:val="0"/>
          <w:sz w:val="22"/>
          <w:szCs w:val="22"/>
          <w:lang w:val="pt-PT"/>
        </w:rPr>
        <w:t>Philippines</w:t>
      </w:r>
      <w:r w:rsidR="00F7503A" w:rsidRPr="00420040">
        <w:rPr>
          <w:rFonts w:cs="Arial"/>
          <w:b w:val="0"/>
          <w:sz w:val="22"/>
          <w:szCs w:val="22"/>
          <w:lang w:val="pt-PT"/>
        </w:rPr>
        <w:t>,</w:t>
      </w:r>
      <w:r w:rsidR="00ED02D3" w:rsidRPr="00420040">
        <w:rPr>
          <w:rFonts w:cs="Arial"/>
          <w:b w:val="0"/>
          <w:sz w:val="22"/>
          <w:szCs w:val="22"/>
          <w:lang w:val="pt-PT"/>
        </w:rPr>
        <w:t xml:space="preserve"> 23 - 28</w:t>
      </w:r>
      <w:r w:rsidR="009F450E" w:rsidRPr="00420040">
        <w:rPr>
          <w:rFonts w:cs="Arial"/>
          <w:b w:val="0"/>
          <w:sz w:val="22"/>
          <w:szCs w:val="22"/>
          <w:lang w:val="pt-PT"/>
        </w:rPr>
        <w:t xml:space="preserve"> </w:t>
      </w:r>
      <w:r w:rsidR="009E5B91">
        <w:rPr>
          <w:rFonts w:cs="Arial"/>
          <w:b w:val="0"/>
          <w:sz w:val="22"/>
          <w:szCs w:val="22"/>
          <w:lang w:val="pt-PT"/>
        </w:rPr>
        <w:t>octob</w:t>
      </w:r>
      <w:r w:rsidR="00ED02D3" w:rsidRPr="00420040">
        <w:rPr>
          <w:rFonts w:cs="Arial"/>
          <w:b w:val="0"/>
          <w:sz w:val="22"/>
          <w:szCs w:val="22"/>
          <w:lang w:val="pt-PT"/>
        </w:rPr>
        <w:t>r</w:t>
      </w:r>
      <w:r w:rsidR="009E5B91">
        <w:rPr>
          <w:rFonts w:cs="Arial"/>
          <w:b w:val="0"/>
          <w:sz w:val="22"/>
          <w:szCs w:val="22"/>
          <w:lang w:val="pt-PT"/>
        </w:rPr>
        <w:t>e</w:t>
      </w:r>
      <w:r w:rsidR="009F450E" w:rsidRPr="00420040">
        <w:rPr>
          <w:rFonts w:cs="Arial"/>
          <w:b w:val="0"/>
          <w:sz w:val="22"/>
          <w:szCs w:val="22"/>
          <w:lang w:val="pt-PT"/>
        </w:rPr>
        <w:t xml:space="preserve"> 201</w:t>
      </w:r>
      <w:r w:rsidR="00EA0B88">
        <w:rPr>
          <w:rFonts w:cs="Arial"/>
          <w:b w:val="0"/>
          <w:sz w:val="22"/>
          <w:szCs w:val="22"/>
          <w:lang w:val="pt-PT"/>
        </w:rPr>
        <w:t>7</w:t>
      </w:r>
    </w:p>
    <w:p w14:paraId="34CF26C8" w14:textId="6B737193" w:rsidR="0081600F" w:rsidRPr="00420040" w:rsidRDefault="009E5B91" w:rsidP="009E72D7">
      <w:pPr>
        <w:spacing w:line="228" w:lineRule="auto"/>
        <w:rPr>
          <w:rFonts w:cs="Arial"/>
          <w:iCs/>
          <w:sz w:val="22"/>
          <w:szCs w:val="22"/>
          <w:lang w:val="pt-PT"/>
        </w:rPr>
      </w:pPr>
      <w:r>
        <w:rPr>
          <w:rFonts w:cs="Arial"/>
          <w:iCs/>
          <w:sz w:val="22"/>
          <w:szCs w:val="22"/>
          <w:lang w:val="pt-PT"/>
        </w:rPr>
        <w:t xml:space="preserve">Point </w:t>
      </w:r>
      <w:r w:rsidR="00180B11">
        <w:rPr>
          <w:rFonts w:cs="Arial"/>
          <w:iCs/>
          <w:sz w:val="22"/>
          <w:szCs w:val="22"/>
          <w:lang w:val="pt-PT"/>
        </w:rPr>
        <w:t>24.1.6</w:t>
      </w:r>
      <w:r>
        <w:rPr>
          <w:rFonts w:cs="Arial"/>
          <w:iCs/>
          <w:sz w:val="22"/>
          <w:szCs w:val="22"/>
          <w:lang w:val="pt-PT"/>
        </w:rPr>
        <w:t xml:space="preserve"> de l’ordre du jour</w:t>
      </w: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81600F" w:rsidRPr="002F6F9B" w14:paraId="5449971D" w14:textId="77777777" w:rsidTr="00972D36">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14:paraId="0A0F95DC" w14:textId="77777777" w:rsidR="0081600F" w:rsidRPr="00FA61AF" w:rsidRDefault="00EB2285" w:rsidP="00EB2285">
            <w:pPr>
              <w:tabs>
                <w:tab w:val="left" w:pos="-1057"/>
                <w:tab w:val="left" w:pos="-720"/>
                <w:tab w:val="left" w:pos="0"/>
                <w:tab w:val="left" w:pos="141"/>
                <w:tab w:val="left" w:pos="720"/>
                <w:tab w:val="left" w:pos="1155"/>
                <w:tab w:val="right" w:pos="9072"/>
                <w:tab w:val="right" w:pos="9432"/>
              </w:tabs>
              <w:rPr>
                <w:rFonts w:cs="Arial"/>
                <w:sz w:val="22"/>
                <w:szCs w:val="22"/>
                <w:lang w:val="en-GB"/>
              </w:rPr>
            </w:pPr>
            <w:r w:rsidRPr="009E5B91">
              <w:rPr>
                <w:rFonts w:cs="Arial"/>
                <w:b/>
                <w:sz w:val="28"/>
                <w:szCs w:val="28"/>
                <w:lang w:val="fr-FR"/>
              </w:rPr>
              <w:tab/>
            </w:r>
            <w:r w:rsidRPr="009E5B91">
              <w:rPr>
                <w:rFonts w:cs="Arial"/>
                <w:b/>
                <w:sz w:val="28"/>
                <w:szCs w:val="28"/>
                <w:lang w:val="fr-FR"/>
              </w:rPr>
              <w:tab/>
            </w:r>
            <w:r w:rsidRPr="009E5B91">
              <w:rPr>
                <w:rFonts w:cs="Arial"/>
                <w:b/>
                <w:sz w:val="28"/>
                <w:szCs w:val="28"/>
                <w:lang w:val="fr-FR"/>
              </w:rPr>
              <w:tab/>
            </w:r>
            <w:r w:rsidRPr="009E5B91">
              <w:rPr>
                <w:rFonts w:cs="Arial"/>
                <w:b/>
                <w:sz w:val="28"/>
                <w:szCs w:val="28"/>
                <w:lang w:val="fr-FR"/>
              </w:rPr>
              <w:tab/>
            </w:r>
            <w:r w:rsidR="00FA61AF" w:rsidRPr="002F6F9B">
              <w:rPr>
                <w:rFonts w:cs="Arial"/>
                <w:b/>
                <w:sz w:val="28"/>
                <w:szCs w:val="28"/>
                <w:lang w:val="en-GB"/>
              </w:rPr>
              <w:t>CMS</w:t>
            </w:r>
          </w:p>
          <w:p w14:paraId="12F4CC2D" w14:textId="77777777" w:rsidR="00FA61AF" w:rsidRPr="002F6F9B" w:rsidRDefault="00FA61AF" w:rsidP="00972D36">
            <w:pPr>
              <w:tabs>
                <w:tab w:val="left" w:pos="-1057"/>
                <w:tab w:val="left" w:pos="-720"/>
                <w:tab w:val="left" w:pos="0"/>
                <w:tab w:val="left" w:pos="141"/>
                <w:tab w:val="left" w:pos="720"/>
                <w:tab w:val="right" w:pos="9072"/>
              </w:tabs>
              <w:rPr>
                <w:rFonts w:cs="Arial"/>
                <w:sz w:val="22"/>
                <w:szCs w:val="22"/>
                <w:lang w:val="en-GB"/>
              </w:rPr>
            </w:pPr>
          </w:p>
        </w:tc>
      </w:tr>
      <w:tr w:rsidR="0081600F" w:rsidRPr="00682B31" w14:paraId="4118F6B5" w14:textId="77777777" w:rsidTr="00682B31">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14:paraId="2637194A" w14:textId="77777777" w:rsidR="0081600F" w:rsidRPr="00682B31" w:rsidRDefault="00745222">
            <w:pPr>
              <w:rPr>
                <w:rFonts w:cs="Arial"/>
                <w:sz w:val="22"/>
                <w:szCs w:val="22"/>
                <w:lang w:val="en-GB"/>
              </w:rPr>
            </w:pPr>
            <w:r w:rsidRPr="00682B31">
              <w:rPr>
                <w:rFonts w:cs="Arial"/>
                <w:noProof/>
                <w:sz w:val="22"/>
                <w:szCs w:val="22"/>
              </w:rPr>
              <w:drawing>
                <wp:inline distT="0" distB="0" distL="0" distR="0" wp14:anchorId="3D6D53AD" wp14:editId="262FE3DF">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14:paraId="2AD1F8FC" w14:textId="77777777" w:rsidR="0081600F" w:rsidRPr="00682B31" w:rsidRDefault="0081600F">
            <w:pPr>
              <w:rPr>
                <w:rFonts w:cs="Arial"/>
                <w:sz w:val="22"/>
                <w:szCs w:val="22"/>
                <w:lang w:val="en-GB"/>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14:paraId="5449B1DD" w14:textId="77777777" w:rsidR="00682B31" w:rsidRPr="00682B31" w:rsidRDefault="00682B31" w:rsidP="006B1037">
            <w:pPr>
              <w:pStyle w:val="Heading2"/>
              <w:pBdr>
                <w:top w:val="none" w:sz="0" w:space="0" w:color="auto"/>
                <w:left w:val="none" w:sz="0" w:space="0" w:color="auto"/>
                <w:bottom w:val="none" w:sz="0" w:space="0" w:color="auto"/>
                <w:right w:val="none" w:sz="0" w:space="0" w:color="auto"/>
              </w:pBdr>
              <w:ind w:left="-108"/>
              <w:rPr>
                <w:rFonts w:cs="Arial"/>
                <w:b w:val="0"/>
                <w:bCs w:val="0"/>
                <w:sz w:val="12"/>
                <w:szCs w:val="12"/>
              </w:rPr>
            </w:pPr>
          </w:p>
          <w:p w14:paraId="2A394EB7" w14:textId="52A9FE6A" w:rsidR="0081600F" w:rsidRPr="009E5B91" w:rsidRDefault="009E5B91"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lang w:val="fr-FR"/>
              </w:rPr>
            </w:pPr>
            <w:r w:rsidRPr="009E5B91">
              <w:rPr>
                <w:rFonts w:cs="Arial"/>
                <w:bCs w:val="0"/>
                <w:sz w:val="32"/>
                <w:szCs w:val="32"/>
                <w:lang w:val="fr-FR"/>
              </w:rPr>
              <w:t>CONVENTION SUR</w:t>
            </w:r>
          </w:p>
          <w:p w14:paraId="1AE96502" w14:textId="1AC57971" w:rsidR="0081600F" w:rsidRPr="009E5B91" w:rsidRDefault="009E5B91" w:rsidP="009E5B91">
            <w:pPr>
              <w:pStyle w:val="Heading2"/>
              <w:pBdr>
                <w:top w:val="none" w:sz="0" w:space="0" w:color="auto"/>
                <w:left w:val="none" w:sz="0" w:space="0" w:color="auto"/>
                <w:bottom w:val="none" w:sz="0" w:space="0" w:color="auto"/>
                <w:right w:val="none" w:sz="0" w:space="0" w:color="auto"/>
              </w:pBdr>
              <w:ind w:left="-108"/>
              <w:rPr>
                <w:rFonts w:cs="Arial"/>
                <w:bCs w:val="0"/>
                <w:sz w:val="32"/>
                <w:szCs w:val="32"/>
                <w:lang w:val="fr-FR"/>
              </w:rPr>
            </w:pPr>
            <w:r w:rsidRPr="009E5B91">
              <w:rPr>
                <w:rFonts w:cs="Arial"/>
                <w:bCs w:val="0"/>
                <w:sz w:val="32"/>
                <w:szCs w:val="32"/>
                <w:lang w:val="fr-FR"/>
              </w:rPr>
              <w:t>LES ESPÈCES MIGRATRICES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14:paraId="06D4AF42" w14:textId="77777777" w:rsidR="00682B31" w:rsidRPr="009E5B91" w:rsidRDefault="00682B31" w:rsidP="000C21B1">
            <w:pPr>
              <w:tabs>
                <w:tab w:val="left" w:pos="5040"/>
                <w:tab w:val="left" w:pos="5760"/>
                <w:tab w:val="left" w:pos="6008"/>
                <w:tab w:val="left" w:pos="6480"/>
                <w:tab w:val="left" w:pos="7200"/>
                <w:tab w:val="left" w:pos="7920"/>
                <w:tab w:val="left" w:pos="8640"/>
              </w:tabs>
              <w:rPr>
                <w:rFonts w:cs="Arial"/>
                <w:sz w:val="12"/>
                <w:szCs w:val="12"/>
                <w:lang w:val="fr-FR"/>
              </w:rPr>
            </w:pPr>
          </w:p>
          <w:p w14:paraId="28542CED" w14:textId="7CC458F3" w:rsidR="0081600F" w:rsidRPr="004D084A" w:rsidRDefault="009E5B91" w:rsidP="000C21B1">
            <w:pPr>
              <w:tabs>
                <w:tab w:val="left" w:pos="5040"/>
                <w:tab w:val="left" w:pos="5760"/>
                <w:tab w:val="left" w:pos="6008"/>
                <w:tab w:val="left" w:pos="6480"/>
                <w:tab w:val="left" w:pos="7200"/>
                <w:tab w:val="left" w:pos="7920"/>
                <w:tab w:val="left" w:pos="8640"/>
              </w:tabs>
              <w:rPr>
                <w:rFonts w:cs="Arial"/>
                <w:sz w:val="22"/>
                <w:szCs w:val="22"/>
                <w:lang w:val="fr-FR"/>
              </w:rPr>
            </w:pPr>
            <w:r w:rsidRPr="004D084A">
              <w:rPr>
                <w:rFonts w:cs="Arial"/>
                <w:sz w:val="22"/>
                <w:szCs w:val="22"/>
                <w:lang w:val="fr-FR"/>
              </w:rPr>
              <w:t>Distribution: Géné</w:t>
            </w:r>
            <w:r w:rsidR="0081600F" w:rsidRPr="004D084A">
              <w:rPr>
                <w:rFonts w:cs="Arial"/>
                <w:sz w:val="22"/>
                <w:szCs w:val="22"/>
                <w:lang w:val="fr-FR"/>
              </w:rPr>
              <w:t>ral</w:t>
            </w:r>
            <w:r w:rsidRPr="004D084A">
              <w:rPr>
                <w:rFonts w:cs="Arial"/>
                <w:sz w:val="22"/>
                <w:szCs w:val="22"/>
                <w:lang w:val="fr-FR"/>
              </w:rPr>
              <w:t>e</w:t>
            </w:r>
          </w:p>
          <w:p w14:paraId="404C518C" w14:textId="77777777" w:rsidR="0081600F" w:rsidRPr="004D084A" w:rsidRDefault="0081600F" w:rsidP="000C21B1">
            <w:pPr>
              <w:tabs>
                <w:tab w:val="left" w:pos="-1057"/>
                <w:tab w:val="left" w:pos="-720"/>
                <w:tab w:val="left" w:pos="5040"/>
                <w:tab w:val="left" w:pos="5760"/>
                <w:tab w:val="left" w:pos="6008"/>
                <w:tab w:val="left" w:pos="6480"/>
                <w:tab w:val="left" w:pos="7200"/>
                <w:tab w:val="left" w:pos="7920"/>
                <w:tab w:val="left" w:pos="8640"/>
              </w:tabs>
              <w:rPr>
                <w:rFonts w:cs="Arial"/>
                <w:sz w:val="12"/>
                <w:szCs w:val="12"/>
                <w:lang w:val="fr-FR"/>
              </w:rPr>
            </w:pPr>
          </w:p>
          <w:p w14:paraId="4AE12C58" w14:textId="77777777" w:rsidR="004E7A47" w:rsidRPr="004D084A" w:rsidRDefault="00921D62" w:rsidP="000C21B1">
            <w:pPr>
              <w:tabs>
                <w:tab w:val="left" w:pos="5040"/>
                <w:tab w:val="left" w:pos="5760"/>
                <w:tab w:val="left" w:pos="6008"/>
                <w:tab w:val="left" w:pos="6480"/>
                <w:tab w:val="left" w:pos="7200"/>
                <w:tab w:val="left" w:pos="7920"/>
                <w:tab w:val="left" w:pos="8640"/>
              </w:tabs>
              <w:rPr>
                <w:rFonts w:cs="Arial"/>
                <w:sz w:val="22"/>
                <w:szCs w:val="22"/>
                <w:lang w:val="fr-FR"/>
              </w:rPr>
            </w:pPr>
            <w:r w:rsidRPr="004D084A">
              <w:rPr>
                <w:rFonts w:cs="Arial"/>
                <w:sz w:val="22"/>
                <w:szCs w:val="22"/>
                <w:lang w:val="fr-FR"/>
              </w:rPr>
              <w:t>UNEP/CMS/</w:t>
            </w:r>
            <w:r w:rsidR="00ED02D3" w:rsidRPr="004D084A">
              <w:rPr>
                <w:rFonts w:cs="Arial"/>
                <w:sz w:val="22"/>
                <w:szCs w:val="22"/>
                <w:lang w:val="fr-FR"/>
              </w:rPr>
              <w:t>COP12</w:t>
            </w:r>
            <w:r w:rsidR="00A27BE3" w:rsidRPr="004D084A">
              <w:rPr>
                <w:rFonts w:cs="Arial"/>
                <w:sz w:val="22"/>
                <w:szCs w:val="22"/>
                <w:lang w:val="fr-FR"/>
              </w:rPr>
              <w:t>/</w:t>
            </w:r>
            <w:r w:rsidR="0079075D" w:rsidRPr="004D084A">
              <w:rPr>
                <w:rFonts w:cs="Arial"/>
                <w:sz w:val="22"/>
                <w:szCs w:val="22"/>
                <w:lang w:val="fr-FR"/>
              </w:rPr>
              <w:t>Doc.</w:t>
            </w:r>
            <w:r w:rsidR="00B76ED7" w:rsidRPr="004D084A">
              <w:rPr>
                <w:rFonts w:cs="Arial"/>
                <w:sz w:val="22"/>
                <w:szCs w:val="22"/>
                <w:lang w:val="fr-FR"/>
              </w:rPr>
              <w:t>24.1.6</w:t>
            </w:r>
          </w:p>
          <w:p w14:paraId="3B6F068F" w14:textId="4885351E" w:rsidR="0081600F" w:rsidRPr="00420040" w:rsidRDefault="00060FED" w:rsidP="000C21B1">
            <w:pPr>
              <w:tabs>
                <w:tab w:val="left" w:pos="5040"/>
                <w:tab w:val="left" w:pos="5760"/>
                <w:tab w:val="left" w:pos="6008"/>
                <w:tab w:val="left" w:pos="6480"/>
                <w:tab w:val="left" w:pos="7200"/>
                <w:tab w:val="left" w:pos="7920"/>
                <w:tab w:val="left" w:pos="8640"/>
              </w:tabs>
              <w:rPr>
                <w:rFonts w:cs="Arial"/>
                <w:sz w:val="22"/>
                <w:szCs w:val="22"/>
                <w:lang w:val="en-GB"/>
              </w:rPr>
            </w:pPr>
            <w:r>
              <w:rPr>
                <w:rFonts w:cs="Arial"/>
                <w:sz w:val="22"/>
                <w:szCs w:val="22"/>
                <w:lang w:val="en-GB"/>
              </w:rPr>
              <w:t>25</w:t>
            </w:r>
            <w:r w:rsidR="004E7A47" w:rsidRPr="0080080C">
              <w:rPr>
                <w:rFonts w:cs="Arial"/>
                <w:sz w:val="22"/>
                <w:szCs w:val="22"/>
                <w:lang w:val="en-GB"/>
              </w:rPr>
              <w:t xml:space="preserve"> </w:t>
            </w:r>
            <w:r w:rsidR="009E5B91">
              <w:rPr>
                <w:rFonts w:cs="Arial"/>
                <w:sz w:val="22"/>
                <w:szCs w:val="22"/>
                <w:lang w:val="en-GB"/>
              </w:rPr>
              <w:t>mai</w:t>
            </w:r>
            <w:r w:rsidR="0079075D" w:rsidRPr="0080080C">
              <w:rPr>
                <w:rFonts w:cs="Arial"/>
                <w:sz w:val="22"/>
                <w:szCs w:val="22"/>
                <w:lang w:val="en-GB"/>
              </w:rPr>
              <w:t xml:space="preserve"> </w:t>
            </w:r>
            <w:r w:rsidR="00EA0B88" w:rsidRPr="0080080C">
              <w:rPr>
                <w:rFonts w:cs="Arial"/>
                <w:sz w:val="22"/>
                <w:szCs w:val="22"/>
                <w:lang w:val="en-GB"/>
              </w:rPr>
              <w:t>2017</w:t>
            </w:r>
          </w:p>
          <w:p w14:paraId="2D5B6694" w14:textId="77777777" w:rsidR="00E8776E" w:rsidRDefault="00E8776E" w:rsidP="00E8776E">
            <w:pPr>
              <w:tabs>
                <w:tab w:val="left" w:pos="5040"/>
                <w:tab w:val="left" w:pos="5760"/>
                <w:tab w:val="left" w:pos="6008"/>
                <w:tab w:val="left" w:pos="6480"/>
                <w:tab w:val="left" w:pos="7200"/>
                <w:tab w:val="left" w:pos="7920"/>
                <w:tab w:val="left" w:pos="8640"/>
              </w:tabs>
              <w:rPr>
                <w:rFonts w:cs="Arial"/>
                <w:sz w:val="22"/>
                <w:szCs w:val="22"/>
                <w:lang w:val="en-GB"/>
              </w:rPr>
            </w:pPr>
          </w:p>
          <w:p w14:paraId="3953A13B" w14:textId="70484C65" w:rsidR="009E5B91" w:rsidRPr="009E5B91" w:rsidRDefault="009E5B91" w:rsidP="009E5B91">
            <w:pPr>
              <w:tabs>
                <w:tab w:val="left" w:pos="5040"/>
                <w:tab w:val="left" w:pos="5760"/>
                <w:tab w:val="left" w:pos="6008"/>
                <w:tab w:val="left" w:pos="6480"/>
                <w:tab w:val="left" w:pos="7200"/>
                <w:tab w:val="left" w:pos="7920"/>
                <w:tab w:val="left" w:pos="8640"/>
              </w:tabs>
              <w:rPr>
                <w:rFonts w:cs="Arial"/>
                <w:sz w:val="22"/>
                <w:szCs w:val="22"/>
                <w:lang w:val="en-GB"/>
              </w:rPr>
            </w:pPr>
            <w:r>
              <w:rPr>
                <w:rFonts w:cs="Arial"/>
                <w:sz w:val="22"/>
                <w:szCs w:val="22"/>
                <w:lang w:val="en-GB"/>
              </w:rPr>
              <w:t>Français</w:t>
            </w:r>
          </w:p>
          <w:p w14:paraId="5A7A32AB" w14:textId="2D094267" w:rsidR="0081600F" w:rsidRPr="00420040" w:rsidRDefault="0081600F" w:rsidP="000C21B1">
            <w:pPr>
              <w:rPr>
                <w:rFonts w:cs="Arial"/>
                <w:sz w:val="22"/>
                <w:szCs w:val="22"/>
                <w:lang w:val="en-GB"/>
              </w:rPr>
            </w:pPr>
            <w:r w:rsidRPr="00420040">
              <w:rPr>
                <w:rFonts w:cs="Arial"/>
                <w:sz w:val="22"/>
                <w:szCs w:val="22"/>
                <w:lang w:val="en-GB"/>
              </w:rPr>
              <w:t>Original</w:t>
            </w:r>
            <w:r w:rsidR="009E5B91">
              <w:rPr>
                <w:rFonts w:cs="Arial"/>
                <w:sz w:val="22"/>
                <w:szCs w:val="22"/>
                <w:lang w:val="en-GB"/>
              </w:rPr>
              <w:t xml:space="preserve"> : A</w:t>
            </w:r>
            <w:r w:rsidRPr="00420040">
              <w:rPr>
                <w:rFonts w:cs="Arial"/>
                <w:sz w:val="22"/>
                <w:szCs w:val="22"/>
                <w:lang w:val="en-GB"/>
              </w:rPr>
              <w:t>ngl</w:t>
            </w:r>
            <w:r w:rsidR="009E5B91">
              <w:rPr>
                <w:rFonts w:cs="Arial"/>
                <w:sz w:val="22"/>
                <w:szCs w:val="22"/>
                <w:lang w:val="en-GB"/>
              </w:rPr>
              <w:t>ais</w:t>
            </w:r>
          </w:p>
          <w:p w14:paraId="1CF6BF63" w14:textId="77777777" w:rsidR="00682B31" w:rsidRPr="00682B31" w:rsidRDefault="00682B31" w:rsidP="000C21B1">
            <w:pPr>
              <w:rPr>
                <w:rFonts w:cs="Arial"/>
                <w:sz w:val="12"/>
                <w:szCs w:val="12"/>
                <w:lang w:val="en-GB"/>
              </w:rPr>
            </w:pPr>
          </w:p>
        </w:tc>
      </w:tr>
    </w:tbl>
    <w:p w14:paraId="75BD4B01" w14:textId="77777777" w:rsidR="00E8776E" w:rsidRPr="00682B31" w:rsidRDefault="00E8776E" w:rsidP="00E8776E">
      <w:pPr>
        <w:tabs>
          <w:tab w:val="left" w:pos="7020"/>
        </w:tabs>
        <w:rPr>
          <w:rFonts w:cs="Arial"/>
          <w:sz w:val="22"/>
          <w:szCs w:val="22"/>
        </w:rPr>
      </w:pPr>
    </w:p>
    <w:p w14:paraId="79F3499D" w14:textId="77777777" w:rsidR="00354A9C" w:rsidRPr="00682B31" w:rsidRDefault="00354A9C" w:rsidP="00922791">
      <w:pPr>
        <w:tabs>
          <w:tab w:val="left" w:pos="7020"/>
        </w:tabs>
        <w:rPr>
          <w:rFonts w:cs="Arial"/>
          <w:sz w:val="22"/>
          <w:szCs w:val="22"/>
        </w:rPr>
      </w:pPr>
    </w:p>
    <w:p w14:paraId="055C0DBD" w14:textId="77777777" w:rsidR="0052082F" w:rsidRPr="00682B31" w:rsidRDefault="0052082F" w:rsidP="00354A9C">
      <w:pPr>
        <w:rPr>
          <w:rFonts w:cs="Arial"/>
          <w:sz w:val="22"/>
          <w:szCs w:val="22"/>
        </w:rPr>
      </w:pPr>
    </w:p>
    <w:p w14:paraId="3787CF52" w14:textId="053EFB10" w:rsidR="00B64904" w:rsidRPr="00C1694D" w:rsidRDefault="00180B11" w:rsidP="00056DC1">
      <w:pPr>
        <w:pStyle w:val="Heading2"/>
        <w:keepNext w:val="0"/>
        <w:ind w:left="-90" w:right="-367"/>
        <w:jc w:val="center"/>
        <w:rPr>
          <w:rFonts w:cs="Arial"/>
          <w:sz w:val="22"/>
          <w:szCs w:val="22"/>
          <w:lang w:val="fr-FR"/>
        </w:rPr>
      </w:pPr>
      <w:r w:rsidRPr="00C1694D">
        <w:rPr>
          <w:rFonts w:cs="Arial"/>
          <w:sz w:val="22"/>
          <w:szCs w:val="22"/>
          <w:lang w:val="fr-FR"/>
        </w:rPr>
        <w:t xml:space="preserve">PLAN </w:t>
      </w:r>
      <w:r w:rsidR="00C1694D" w:rsidRPr="00C1694D">
        <w:rPr>
          <w:rFonts w:cs="Arial"/>
          <w:sz w:val="22"/>
          <w:szCs w:val="22"/>
          <w:lang w:val="fr-FR"/>
        </w:rPr>
        <w:t>D’</w:t>
      </w:r>
      <w:r w:rsidR="00C1694D">
        <w:rPr>
          <w:rFonts w:cs="Arial"/>
          <w:sz w:val="22"/>
          <w:szCs w:val="22"/>
          <w:lang w:val="fr-FR"/>
        </w:rPr>
        <w:t>ACTION POUR LA TOURTERELLE DES BOIS</w:t>
      </w:r>
    </w:p>
    <w:p w14:paraId="70295773" w14:textId="77777777" w:rsidR="00593736" w:rsidRPr="00C1694D" w:rsidRDefault="00593736" w:rsidP="00593736">
      <w:pPr>
        <w:rPr>
          <w:sz w:val="8"/>
          <w:szCs w:val="8"/>
          <w:lang w:val="fr-FR"/>
        </w:rPr>
      </w:pPr>
    </w:p>
    <w:p w14:paraId="7D0CCEBC" w14:textId="27DC4D0A" w:rsidR="00B64904" w:rsidRPr="00695F1D" w:rsidRDefault="00B64904" w:rsidP="00B64904">
      <w:pPr>
        <w:jc w:val="center"/>
        <w:rPr>
          <w:rFonts w:cs="Arial"/>
          <w:i/>
          <w:sz w:val="22"/>
          <w:szCs w:val="22"/>
          <w:lang w:val="fr-FR"/>
        </w:rPr>
      </w:pPr>
      <w:r w:rsidRPr="00695F1D">
        <w:rPr>
          <w:rFonts w:cs="Arial"/>
          <w:i/>
          <w:sz w:val="22"/>
          <w:szCs w:val="22"/>
          <w:lang w:val="fr-FR"/>
        </w:rPr>
        <w:t>(</w:t>
      </w:r>
      <w:r w:rsidR="00F11793" w:rsidRPr="00695F1D">
        <w:rPr>
          <w:rFonts w:cs="Arial"/>
          <w:i/>
          <w:sz w:val="22"/>
          <w:szCs w:val="22"/>
          <w:lang w:val="fr-FR"/>
        </w:rPr>
        <w:t>P</w:t>
      </w:r>
      <w:r w:rsidR="00C1694D" w:rsidRPr="00695F1D">
        <w:rPr>
          <w:rFonts w:cs="Arial"/>
          <w:i/>
          <w:sz w:val="22"/>
          <w:szCs w:val="22"/>
          <w:lang w:val="fr-FR"/>
        </w:rPr>
        <w:t>réparé par le Secré</w:t>
      </w:r>
      <w:r w:rsidR="00870FB9" w:rsidRPr="00695F1D">
        <w:rPr>
          <w:rFonts w:cs="Arial"/>
          <w:i/>
          <w:sz w:val="22"/>
          <w:szCs w:val="22"/>
          <w:lang w:val="fr-FR"/>
        </w:rPr>
        <w:t>tariat</w:t>
      </w:r>
      <w:r w:rsidRPr="00695F1D">
        <w:rPr>
          <w:rFonts w:cs="Arial"/>
          <w:i/>
          <w:sz w:val="22"/>
          <w:szCs w:val="22"/>
          <w:lang w:val="fr-FR"/>
        </w:rPr>
        <w:t>)</w:t>
      </w:r>
      <w:r w:rsidR="00497E66" w:rsidRPr="00695F1D">
        <w:rPr>
          <w:rFonts w:cs="Arial"/>
          <w:i/>
          <w:sz w:val="22"/>
          <w:szCs w:val="22"/>
          <w:lang w:val="fr-FR"/>
        </w:rPr>
        <w:t xml:space="preserve"> </w:t>
      </w:r>
    </w:p>
    <w:p w14:paraId="6F63FB27" w14:textId="77777777" w:rsidR="00870FB9" w:rsidRPr="00695F1D" w:rsidRDefault="00870FB9" w:rsidP="00870FB9">
      <w:pPr>
        <w:rPr>
          <w:sz w:val="8"/>
          <w:szCs w:val="8"/>
          <w:lang w:val="fr-FR"/>
        </w:rPr>
      </w:pPr>
    </w:p>
    <w:p w14:paraId="69A706EB" w14:textId="77777777" w:rsidR="00870FB9" w:rsidRPr="00695F1D" w:rsidRDefault="00870FB9" w:rsidP="00870FB9">
      <w:pPr>
        <w:jc w:val="center"/>
        <w:rPr>
          <w:rFonts w:cs="Arial"/>
          <w:i/>
          <w:sz w:val="22"/>
          <w:szCs w:val="22"/>
          <w:lang w:val="fr-FR"/>
        </w:rPr>
      </w:pPr>
    </w:p>
    <w:p w14:paraId="47C15A09" w14:textId="77777777" w:rsidR="00870FB9" w:rsidRPr="00695F1D" w:rsidRDefault="00870FB9" w:rsidP="00B64904">
      <w:pPr>
        <w:jc w:val="center"/>
        <w:rPr>
          <w:rFonts w:cs="Arial"/>
          <w:i/>
          <w:sz w:val="22"/>
          <w:szCs w:val="22"/>
          <w:lang w:val="fr-FR"/>
        </w:rPr>
      </w:pPr>
    </w:p>
    <w:p w14:paraId="5FA7DDFD" w14:textId="77777777" w:rsidR="001764E6" w:rsidRPr="00695F1D" w:rsidRDefault="001764E6" w:rsidP="001764E6">
      <w:pPr>
        <w:jc w:val="both"/>
        <w:rPr>
          <w:rFonts w:cs="Arial"/>
          <w:sz w:val="21"/>
          <w:szCs w:val="21"/>
          <w:lang w:val="fr-FR"/>
        </w:rPr>
      </w:pPr>
    </w:p>
    <w:p w14:paraId="45FC2121" w14:textId="77777777" w:rsidR="001764E6" w:rsidRPr="00695F1D" w:rsidRDefault="001764E6" w:rsidP="00D605A4">
      <w:pPr>
        <w:tabs>
          <w:tab w:val="left" w:pos="8295"/>
        </w:tabs>
        <w:jc w:val="both"/>
        <w:rPr>
          <w:rFonts w:cs="Arial"/>
          <w:sz w:val="21"/>
          <w:szCs w:val="21"/>
          <w:lang w:val="fr-FR"/>
        </w:rPr>
      </w:pPr>
    </w:p>
    <w:p w14:paraId="748FD03E" w14:textId="3A33AC29" w:rsidR="00D605A4" w:rsidRPr="00695F1D" w:rsidRDefault="00D605A4" w:rsidP="00D605A4">
      <w:pPr>
        <w:rPr>
          <w:rFonts w:cs="Arial"/>
          <w:sz w:val="21"/>
          <w:szCs w:val="21"/>
          <w:lang w:val="fr-FR"/>
        </w:rPr>
      </w:pPr>
    </w:p>
    <w:p w14:paraId="4C34D1E2" w14:textId="6B607B8E" w:rsidR="00D605A4" w:rsidRPr="00695F1D" w:rsidRDefault="00C1694D" w:rsidP="00D605A4">
      <w:pPr>
        <w:rPr>
          <w:rFonts w:cs="Arial"/>
          <w:sz w:val="21"/>
          <w:szCs w:val="21"/>
          <w:lang w:val="fr-FR"/>
        </w:rPr>
      </w:pPr>
      <w:r w:rsidRPr="00C169ED">
        <w:rPr>
          <w:rFonts w:cs="Arial"/>
          <w:noProof/>
          <w:sz w:val="21"/>
          <w:szCs w:val="21"/>
        </w:rPr>
        <mc:AlternateContent>
          <mc:Choice Requires="wps">
            <w:drawing>
              <wp:anchor distT="0" distB="0" distL="114300" distR="114300" simplePos="0" relativeHeight="251657728" behindDoc="0" locked="0" layoutInCell="1" allowOverlap="1" wp14:anchorId="1645BB8E" wp14:editId="6C30D372">
                <wp:simplePos x="0" y="0"/>
                <wp:positionH relativeFrom="column">
                  <wp:posOffset>780415</wp:posOffset>
                </wp:positionH>
                <wp:positionV relativeFrom="paragraph">
                  <wp:posOffset>5080</wp:posOffset>
                </wp:positionV>
                <wp:extent cx="4305300" cy="2971800"/>
                <wp:effectExtent l="0" t="0" r="19050" b="1905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971800"/>
                        </a:xfrm>
                        <a:prstGeom prst="rect">
                          <a:avLst/>
                        </a:prstGeom>
                        <a:solidFill>
                          <a:srgbClr val="FFFFFF"/>
                        </a:solidFill>
                        <a:ln w="3175">
                          <a:solidFill>
                            <a:srgbClr val="000000"/>
                          </a:solidFill>
                          <a:miter lim="800000"/>
                          <a:headEnd/>
                          <a:tailEnd/>
                        </a:ln>
                      </wps:spPr>
                      <wps:txbx>
                        <w:txbxContent>
                          <w:p w14:paraId="23D3388D" w14:textId="4E160A71" w:rsidR="00C46CCB" w:rsidRPr="00C1694D" w:rsidRDefault="00C46CCB" w:rsidP="00E475D4">
                            <w:pPr>
                              <w:rPr>
                                <w:rFonts w:cs="Arial"/>
                                <w:sz w:val="22"/>
                                <w:szCs w:val="22"/>
                                <w:lang w:val="fr-FR"/>
                              </w:rPr>
                            </w:pPr>
                            <w:r w:rsidRPr="00C1694D">
                              <w:rPr>
                                <w:rFonts w:cs="Arial"/>
                                <w:sz w:val="22"/>
                                <w:szCs w:val="22"/>
                                <w:lang w:val="fr-FR"/>
                              </w:rPr>
                              <w:t>Sommaire:</w:t>
                            </w:r>
                          </w:p>
                          <w:p w14:paraId="792D4665" w14:textId="77777777" w:rsidR="00C46CCB" w:rsidRPr="00C1694D" w:rsidRDefault="00C46CCB" w:rsidP="00E8776E">
                            <w:pPr>
                              <w:rPr>
                                <w:rFonts w:cs="Arial"/>
                                <w:i/>
                                <w:sz w:val="22"/>
                                <w:szCs w:val="22"/>
                                <w:lang w:val="fr-FR"/>
                              </w:rPr>
                            </w:pPr>
                          </w:p>
                          <w:p w14:paraId="58F29457" w14:textId="7731CC63" w:rsidR="00C46CCB" w:rsidRPr="00695F1D" w:rsidRDefault="00C46CCB" w:rsidP="008C00B8">
                            <w:pPr>
                              <w:jc w:val="both"/>
                              <w:rPr>
                                <w:rFonts w:cs="Arial"/>
                                <w:sz w:val="22"/>
                                <w:szCs w:val="22"/>
                                <w:lang w:val="fr-FR"/>
                              </w:rPr>
                            </w:pPr>
                            <w:r w:rsidRPr="00E62CEF">
                              <w:rPr>
                                <w:rFonts w:cs="Arial"/>
                                <w:sz w:val="22"/>
                                <w:szCs w:val="22"/>
                                <w:lang w:val="fr-FR"/>
                              </w:rPr>
                              <w:t xml:space="preserve">La résolution 11.17 sur le Plan d’action pour les oiseaux terrestres migrateurs d’Afrique-Eurasie </w:t>
                            </w:r>
                            <w:r>
                              <w:rPr>
                                <w:rFonts w:cs="Arial"/>
                                <w:sz w:val="22"/>
                                <w:szCs w:val="22"/>
                                <w:lang w:val="fr-FR"/>
                              </w:rPr>
                              <w:t>a demandé d’élaborer un Plan d’a</w:t>
                            </w:r>
                            <w:r w:rsidRPr="00E62CEF">
                              <w:rPr>
                                <w:rFonts w:cs="Arial"/>
                                <w:sz w:val="22"/>
                                <w:szCs w:val="22"/>
                                <w:lang w:val="fr-FR"/>
                              </w:rPr>
                              <w:t>ction</w:t>
                            </w:r>
                            <w:r>
                              <w:rPr>
                                <w:rFonts w:cs="Arial"/>
                                <w:sz w:val="22"/>
                                <w:szCs w:val="22"/>
                                <w:lang w:val="fr-FR"/>
                              </w:rPr>
                              <w:t xml:space="preserve"> par espèce pour la Tourterelle des bois</w:t>
                            </w:r>
                            <w:r w:rsidRPr="00E62CEF">
                              <w:rPr>
                                <w:rFonts w:cs="Arial"/>
                                <w:sz w:val="22"/>
                                <w:szCs w:val="22"/>
                                <w:lang w:val="fr-FR"/>
                              </w:rPr>
                              <w:t xml:space="preserve">. </w:t>
                            </w:r>
                            <w:r>
                              <w:rPr>
                                <w:rFonts w:cs="Arial"/>
                                <w:sz w:val="22"/>
                                <w:szCs w:val="22"/>
                                <w:lang w:val="fr-FR"/>
                              </w:rPr>
                              <w:t>Cette espèce est class</w:t>
                            </w:r>
                            <w:r w:rsidRPr="00695F1D">
                              <w:rPr>
                                <w:rFonts w:cs="Arial"/>
                                <w:sz w:val="22"/>
                                <w:szCs w:val="22"/>
                                <w:lang w:val="fr-FR"/>
                              </w:rPr>
                              <w:t>ée comme espèce vulnérable par l’UICN.</w:t>
                            </w:r>
                          </w:p>
                          <w:p w14:paraId="6D31ACFD" w14:textId="77777777" w:rsidR="00C46CCB" w:rsidRPr="00695F1D" w:rsidRDefault="00C46CCB" w:rsidP="008C00B8">
                            <w:pPr>
                              <w:jc w:val="both"/>
                              <w:rPr>
                                <w:rFonts w:cs="Arial"/>
                                <w:sz w:val="22"/>
                                <w:szCs w:val="22"/>
                                <w:lang w:val="fr-FR"/>
                              </w:rPr>
                            </w:pPr>
                          </w:p>
                          <w:p w14:paraId="25C64885" w14:textId="0B06AE9A" w:rsidR="00C46CCB" w:rsidRPr="00C1694D" w:rsidRDefault="00C46CCB" w:rsidP="008C00B8">
                            <w:pPr>
                              <w:jc w:val="both"/>
                              <w:rPr>
                                <w:rFonts w:cs="Arial"/>
                                <w:sz w:val="22"/>
                                <w:szCs w:val="22"/>
                                <w:lang w:val="fr-FR"/>
                              </w:rPr>
                            </w:pPr>
                            <w:r w:rsidRPr="00C1694D">
                              <w:rPr>
                                <w:rFonts w:cs="Arial"/>
                                <w:sz w:val="22"/>
                                <w:szCs w:val="22"/>
                                <w:lang w:val="fr-FR"/>
                              </w:rPr>
                              <w:t xml:space="preserve">Le projet de plan </w:t>
                            </w:r>
                            <w:r>
                              <w:rPr>
                                <w:rFonts w:cs="Arial"/>
                                <w:sz w:val="22"/>
                                <w:szCs w:val="22"/>
                                <w:lang w:val="fr-FR"/>
                              </w:rPr>
                              <w:t xml:space="preserve">d’action </w:t>
                            </w:r>
                            <w:r w:rsidR="00A91CA9">
                              <w:rPr>
                                <w:rFonts w:cs="Arial"/>
                                <w:sz w:val="22"/>
                                <w:szCs w:val="22"/>
                                <w:lang w:val="fr-FR"/>
                              </w:rPr>
                              <w:t>a été élabo</w:t>
                            </w:r>
                            <w:r w:rsidRPr="00C1694D">
                              <w:rPr>
                                <w:rFonts w:cs="Arial"/>
                                <w:sz w:val="22"/>
                                <w:szCs w:val="22"/>
                                <w:lang w:val="fr-FR"/>
                              </w:rPr>
                              <w:t>ré dans le cadre d’EuroSAP, un projet prép</w:t>
                            </w:r>
                            <w:r w:rsidR="00A91CA9">
                              <w:rPr>
                                <w:rFonts w:cs="Arial"/>
                                <w:sz w:val="22"/>
                                <w:szCs w:val="22"/>
                                <w:lang w:val="fr-FR"/>
                              </w:rPr>
                              <w:t xml:space="preserve">aratoire de LIFE, </w:t>
                            </w:r>
                            <w:r>
                              <w:rPr>
                                <w:rFonts w:cs="Arial"/>
                                <w:sz w:val="22"/>
                                <w:szCs w:val="22"/>
                                <w:lang w:val="fr-FR"/>
                              </w:rPr>
                              <w:t xml:space="preserve">financé </w:t>
                            </w:r>
                            <w:r w:rsidR="00A91CA9">
                              <w:rPr>
                                <w:rFonts w:cs="Arial"/>
                                <w:sz w:val="22"/>
                                <w:szCs w:val="22"/>
                                <w:lang w:val="fr-FR"/>
                              </w:rPr>
                              <w:t xml:space="preserve">conjontement </w:t>
                            </w:r>
                            <w:r>
                              <w:rPr>
                                <w:rFonts w:cs="Arial"/>
                                <w:sz w:val="22"/>
                                <w:szCs w:val="22"/>
                                <w:lang w:val="fr-FR"/>
                              </w:rPr>
                              <w:t xml:space="preserve">par </w:t>
                            </w:r>
                            <w:r w:rsidRPr="00C1694D">
                              <w:rPr>
                                <w:rFonts w:cs="Arial"/>
                                <w:sz w:val="22"/>
                                <w:szCs w:val="22"/>
                                <w:lang w:val="fr-FR"/>
                              </w:rPr>
                              <w:t xml:space="preserve">la Commission </w:t>
                            </w:r>
                            <w:r>
                              <w:rPr>
                                <w:rFonts w:cs="Arial"/>
                                <w:sz w:val="22"/>
                                <w:szCs w:val="22"/>
                                <w:lang w:val="fr-FR"/>
                              </w:rPr>
                              <w:t>européenne -</w:t>
                            </w:r>
                            <w:r w:rsidRPr="00C1694D">
                              <w:rPr>
                                <w:rFonts w:cs="Arial"/>
                                <w:sz w:val="22"/>
                                <w:szCs w:val="22"/>
                                <w:lang w:val="fr-FR"/>
                              </w:rPr>
                              <w:t xml:space="preserve"> Directi</w:t>
                            </w:r>
                            <w:r>
                              <w:rPr>
                                <w:rFonts w:cs="Arial"/>
                                <w:sz w:val="22"/>
                                <w:szCs w:val="22"/>
                                <w:lang w:val="fr-FR"/>
                              </w:rPr>
                              <w:t>on gé</w:t>
                            </w:r>
                            <w:r w:rsidR="00A91CA9">
                              <w:rPr>
                                <w:rFonts w:cs="Arial"/>
                                <w:sz w:val="22"/>
                                <w:szCs w:val="22"/>
                                <w:lang w:val="fr-FR"/>
                              </w:rPr>
                              <w:t>nérale de l’environnement,</w:t>
                            </w:r>
                            <w:r>
                              <w:rPr>
                                <w:rFonts w:cs="Arial"/>
                                <w:sz w:val="22"/>
                                <w:szCs w:val="22"/>
                                <w:lang w:val="fr-FR"/>
                              </w:rPr>
                              <w:t xml:space="preserve"> </w:t>
                            </w:r>
                            <w:r w:rsidR="00A91CA9">
                              <w:rPr>
                                <w:rFonts w:cs="Arial"/>
                                <w:sz w:val="22"/>
                                <w:szCs w:val="22"/>
                                <w:lang w:val="fr-FR"/>
                              </w:rPr>
                              <w:t xml:space="preserve">par </w:t>
                            </w:r>
                            <w:r>
                              <w:rPr>
                                <w:rFonts w:cs="Arial"/>
                                <w:sz w:val="22"/>
                                <w:szCs w:val="22"/>
                                <w:lang w:val="fr-FR"/>
                              </w:rPr>
                              <w:t>l’Accord sur la conservation des oiseaux migrateurs d’Afrique-Eurasie</w:t>
                            </w:r>
                            <w:r w:rsidRPr="00C1694D">
                              <w:rPr>
                                <w:rFonts w:cs="Arial"/>
                                <w:sz w:val="22"/>
                                <w:szCs w:val="22"/>
                                <w:lang w:val="fr-FR"/>
                              </w:rPr>
                              <w:t xml:space="preserve"> (AEWA), </w:t>
                            </w:r>
                            <w:r>
                              <w:rPr>
                                <w:rFonts w:cs="Arial"/>
                                <w:sz w:val="22"/>
                                <w:szCs w:val="22"/>
                                <w:lang w:val="fr-FR"/>
                              </w:rPr>
                              <w:t xml:space="preserve">et par chacun des partenaires du projet, et coordonné par </w:t>
                            </w:r>
                            <w:r w:rsidRPr="00C1694D">
                              <w:rPr>
                                <w:rFonts w:cs="Arial"/>
                                <w:sz w:val="22"/>
                                <w:szCs w:val="22"/>
                                <w:lang w:val="fr-FR"/>
                              </w:rPr>
                              <w:t>BirdLife International.</w:t>
                            </w:r>
                          </w:p>
                          <w:p w14:paraId="42D8CB4A" w14:textId="77777777" w:rsidR="00C46CCB" w:rsidRPr="00C1694D" w:rsidRDefault="00C46CCB" w:rsidP="008C00B8">
                            <w:pPr>
                              <w:jc w:val="both"/>
                              <w:rPr>
                                <w:rFonts w:cs="Arial"/>
                                <w:sz w:val="22"/>
                                <w:szCs w:val="22"/>
                                <w:lang w:val="fr-FR"/>
                              </w:rPr>
                            </w:pPr>
                          </w:p>
                          <w:p w14:paraId="11FBBFD6" w14:textId="177A6A1F" w:rsidR="00C46CCB" w:rsidRPr="004D084A" w:rsidRDefault="00C46CCB" w:rsidP="008C00B8">
                            <w:pPr>
                              <w:jc w:val="both"/>
                              <w:rPr>
                                <w:rFonts w:cs="Arial"/>
                                <w:sz w:val="22"/>
                                <w:szCs w:val="22"/>
                                <w:lang w:val="fr-FR"/>
                              </w:rPr>
                            </w:pPr>
                            <w:r w:rsidRPr="004D084A">
                              <w:rPr>
                                <w:rFonts w:cs="Arial"/>
                                <w:sz w:val="22"/>
                                <w:szCs w:val="22"/>
                                <w:lang w:val="fr-FR"/>
                              </w:rPr>
                              <w:t xml:space="preserve">L’adoption </w:t>
                            </w:r>
                            <w:r>
                              <w:rPr>
                                <w:rFonts w:cs="Arial"/>
                                <w:sz w:val="22"/>
                                <w:szCs w:val="22"/>
                                <w:lang w:val="fr-FR"/>
                              </w:rPr>
                              <w:t xml:space="preserve">de ce </w:t>
                            </w:r>
                            <w:r w:rsidR="00A91CA9">
                              <w:rPr>
                                <w:rFonts w:cs="Arial"/>
                                <w:sz w:val="22"/>
                                <w:szCs w:val="22"/>
                                <w:lang w:val="fr-FR"/>
                              </w:rPr>
                              <w:t>P</w:t>
                            </w:r>
                            <w:r w:rsidRPr="004D084A">
                              <w:rPr>
                                <w:rFonts w:cs="Arial"/>
                                <w:sz w:val="22"/>
                                <w:szCs w:val="22"/>
                                <w:lang w:val="fr-FR"/>
                              </w:rPr>
                              <w:t xml:space="preserve">lan </w:t>
                            </w:r>
                            <w:r>
                              <w:rPr>
                                <w:rFonts w:cs="Arial"/>
                                <w:sz w:val="22"/>
                                <w:szCs w:val="22"/>
                                <w:lang w:val="fr-FR"/>
                              </w:rPr>
                              <w:t>d’action contribu</w:t>
                            </w:r>
                            <w:r w:rsidRPr="004D084A">
                              <w:rPr>
                                <w:rFonts w:cs="Arial"/>
                                <w:sz w:val="22"/>
                                <w:szCs w:val="22"/>
                                <w:lang w:val="fr-FR"/>
                              </w:rPr>
                              <w:t>e</w:t>
                            </w:r>
                            <w:r>
                              <w:rPr>
                                <w:rFonts w:cs="Arial"/>
                                <w:sz w:val="22"/>
                                <w:szCs w:val="22"/>
                                <w:lang w:val="fr-FR"/>
                              </w:rPr>
                              <w:t>ra à la réalisation des objectifs</w:t>
                            </w:r>
                            <w:r w:rsidRPr="004D084A">
                              <w:rPr>
                                <w:rFonts w:cs="Arial"/>
                                <w:sz w:val="22"/>
                                <w:szCs w:val="22"/>
                                <w:lang w:val="fr-FR"/>
                              </w:rPr>
                              <w:t xml:space="preserve"> 8, 9 et 10 du Plan stratégique pour les espèces migratrices 2015-2023.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45BB8E" id="_x0000_t202" coordsize="21600,21600" o:spt="202" path="m,l,21600r21600,l21600,xe">
                <v:stroke joinstyle="miter"/>
                <v:path gradientshapeok="t" o:connecttype="rect"/>
              </v:shapetype>
              <v:shape id="Text Box 4" o:spid="_x0000_s1026" type="#_x0000_t202" style="position:absolute;margin-left:61.45pt;margin-top:.4pt;width:339pt;height:23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" strokeweight=".25pt">
                <v:textbox>
                  <w:txbxContent>
                    <w:p w14:paraId="23D3388D" w14:textId="4E160A71" w:rsidR="00C46CCB" w:rsidRPr="00C1694D" w:rsidRDefault="00C46CCB" w:rsidP="00E475D4">
                      <w:pPr>
                        <w:rPr>
                          <w:rFonts w:cs="Arial"/>
                          <w:sz w:val="22"/>
                          <w:szCs w:val="22"/>
                          <w:lang w:val="fr-FR"/>
                        </w:rPr>
                      </w:pPr>
                      <w:r w:rsidRPr="00C1694D">
                        <w:rPr>
                          <w:rFonts w:cs="Arial"/>
                          <w:sz w:val="22"/>
                          <w:szCs w:val="22"/>
                          <w:lang w:val="fr-FR"/>
                        </w:rPr>
                        <w:t>Sommaire:</w:t>
                      </w:r>
                    </w:p>
                    <w:p w14:paraId="792D4665" w14:textId="77777777" w:rsidR="00C46CCB" w:rsidRPr="00C1694D" w:rsidRDefault="00C46CCB" w:rsidP="00E8776E">
                      <w:pPr>
                        <w:rPr>
                          <w:rFonts w:cs="Arial"/>
                          <w:i/>
                          <w:sz w:val="22"/>
                          <w:szCs w:val="22"/>
                          <w:lang w:val="fr-FR"/>
                        </w:rPr>
                      </w:pPr>
                    </w:p>
                    <w:p w14:paraId="58F29457" w14:textId="7731CC63" w:rsidR="00C46CCB" w:rsidRPr="00695F1D" w:rsidRDefault="00C46CCB" w:rsidP="008C00B8">
                      <w:pPr>
                        <w:jc w:val="both"/>
                        <w:rPr>
                          <w:rFonts w:cs="Arial"/>
                          <w:sz w:val="22"/>
                          <w:szCs w:val="22"/>
                          <w:lang w:val="fr-FR"/>
                        </w:rPr>
                      </w:pPr>
                      <w:r w:rsidRPr="00E62CEF">
                        <w:rPr>
                          <w:rFonts w:cs="Arial"/>
                          <w:sz w:val="22"/>
                          <w:szCs w:val="22"/>
                          <w:lang w:val="fr-FR"/>
                        </w:rPr>
                        <w:t xml:space="preserve">La résolution 11.17 sur le Plan d’action pour les oiseaux terrestres migrateurs d’Afrique-Eurasie </w:t>
                      </w:r>
                      <w:r>
                        <w:rPr>
                          <w:rFonts w:cs="Arial"/>
                          <w:sz w:val="22"/>
                          <w:szCs w:val="22"/>
                          <w:lang w:val="fr-FR"/>
                        </w:rPr>
                        <w:t>a demandé d’élaborer un Plan d’a</w:t>
                      </w:r>
                      <w:r w:rsidRPr="00E62CEF">
                        <w:rPr>
                          <w:rFonts w:cs="Arial"/>
                          <w:sz w:val="22"/>
                          <w:szCs w:val="22"/>
                          <w:lang w:val="fr-FR"/>
                        </w:rPr>
                        <w:t>ction</w:t>
                      </w:r>
                      <w:r>
                        <w:rPr>
                          <w:rFonts w:cs="Arial"/>
                          <w:sz w:val="22"/>
                          <w:szCs w:val="22"/>
                          <w:lang w:val="fr-FR"/>
                        </w:rPr>
                        <w:t xml:space="preserve"> par espèce pour la Tourterelle des bois</w:t>
                      </w:r>
                      <w:r w:rsidRPr="00E62CEF">
                        <w:rPr>
                          <w:rFonts w:cs="Arial"/>
                          <w:sz w:val="22"/>
                          <w:szCs w:val="22"/>
                          <w:lang w:val="fr-FR"/>
                        </w:rPr>
                        <w:t xml:space="preserve">. </w:t>
                      </w:r>
                      <w:r>
                        <w:rPr>
                          <w:rFonts w:cs="Arial"/>
                          <w:sz w:val="22"/>
                          <w:szCs w:val="22"/>
                          <w:lang w:val="fr-FR"/>
                        </w:rPr>
                        <w:t>Cette espèce est class</w:t>
                      </w:r>
                      <w:r w:rsidRPr="00695F1D">
                        <w:rPr>
                          <w:rFonts w:cs="Arial"/>
                          <w:sz w:val="22"/>
                          <w:szCs w:val="22"/>
                          <w:lang w:val="fr-FR"/>
                        </w:rPr>
                        <w:t>ée comme espèce vulnérable par l’UICN.</w:t>
                      </w:r>
                    </w:p>
                    <w:p w14:paraId="6D31ACFD" w14:textId="77777777" w:rsidR="00C46CCB" w:rsidRPr="00695F1D" w:rsidRDefault="00C46CCB" w:rsidP="008C00B8">
                      <w:pPr>
                        <w:jc w:val="both"/>
                        <w:rPr>
                          <w:rFonts w:cs="Arial"/>
                          <w:sz w:val="22"/>
                          <w:szCs w:val="22"/>
                          <w:lang w:val="fr-FR"/>
                        </w:rPr>
                      </w:pPr>
                    </w:p>
                    <w:p w14:paraId="25C64885" w14:textId="0B06AE9A" w:rsidR="00C46CCB" w:rsidRPr="00C1694D" w:rsidRDefault="00C46CCB" w:rsidP="008C00B8">
                      <w:pPr>
                        <w:jc w:val="both"/>
                        <w:rPr>
                          <w:rFonts w:cs="Arial"/>
                          <w:sz w:val="22"/>
                          <w:szCs w:val="22"/>
                          <w:lang w:val="fr-FR"/>
                        </w:rPr>
                      </w:pPr>
                      <w:r w:rsidRPr="00C1694D">
                        <w:rPr>
                          <w:rFonts w:cs="Arial"/>
                          <w:sz w:val="22"/>
                          <w:szCs w:val="22"/>
                          <w:lang w:val="fr-FR"/>
                        </w:rPr>
                        <w:t xml:space="preserve">Le projet de plan </w:t>
                      </w:r>
                      <w:r>
                        <w:rPr>
                          <w:rFonts w:cs="Arial"/>
                          <w:sz w:val="22"/>
                          <w:szCs w:val="22"/>
                          <w:lang w:val="fr-FR"/>
                        </w:rPr>
                        <w:t xml:space="preserve">d’action </w:t>
                      </w:r>
                      <w:r w:rsidR="00A91CA9">
                        <w:rPr>
                          <w:rFonts w:cs="Arial"/>
                          <w:sz w:val="22"/>
                          <w:szCs w:val="22"/>
                          <w:lang w:val="fr-FR"/>
                        </w:rPr>
                        <w:t>a été élabo</w:t>
                      </w:r>
                      <w:r w:rsidRPr="00C1694D">
                        <w:rPr>
                          <w:rFonts w:cs="Arial"/>
                          <w:sz w:val="22"/>
                          <w:szCs w:val="22"/>
                          <w:lang w:val="fr-FR"/>
                        </w:rPr>
                        <w:t>ré dans le cadre d’EuroSAP, un projet prép</w:t>
                      </w:r>
                      <w:r w:rsidR="00A91CA9">
                        <w:rPr>
                          <w:rFonts w:cs="Arial"/>
                          <w:sz w:val="22"/>
                          <w:szCs w:val="22"/>
                          <w:lang w:val="fr-FR"/>
                        </w:rPr>
                        <w:t xml:space="preserve">aratoire de LIFE, </w:t>
                      </w:r>
                      <w:r>
                        <w:rPr>
                          <w:rFonts w:cs="Arial"/>
                          <w:sz w:val="22"/>
                          <w:szCs w:val="22"/>
                          <w:lang w:val="fr-FR"/>
                        </w:rPr>
                        <w:t xml:space="preserve">financé </w:t>
                      </w:r>
                      <w:r w:rsidR="00A91CA9">
                        <w:rPr>
                          <w:rFonts w:cs="Arial"/>
                          <w:sz w:val="22"/>
                          <w:szCs w:val="22"/>
                          <w:lang w:val="fr-FR"/>
                        </w:rPr>
                        <w:t xml:space="preserve">conjontement </w:t>
                      </w:r>
                      <w:r>
                        <w:rPr>
                          <w:rFonts w:cs="Arial"/>
                          <w:sz w:val="22"/>
                          <w:szCs w:val="22"/>
                          <w:lang w:val="fr-FR"/>
                        </w:rPr>
                        <w:t xml:space="preserve">par </w:t>
                      </w:r>
                      <w:r w:rsidRPr="00C1694D">
                        <w:rPr>
                          <w:rFonts w:cs="Arial"/>
                          <w:sz w:val="22"/>
                          <w:szCs w:val="22"/>
                          <w:lang w:val="fr-FR"/>
                        </w:rPr>
                        <w:t xml:space="preserve">la Commission </w:t>
                      </w:r>
                      <w:r>
                        <w:rPr>
                          <w:rFonts w:cs="Arial"/>
                          <w:sz w:val="22"/>
                          <w:szCs w:val="22"/>
                          <w:lang w:val="fr-FR"/>
                        </w:rPr>
                        <w:t>européenne -</w:t>
                      </w:r>
                      <w:r w:rsidRPr="00C1694D">
                        <w:rPr>
                          <w:rFonts w:cs="Arial"/>
                          <w:sz w:val="22"/>
                          <w:szCs w:val="22"/>
                          <w:lang w:val="fr-FR"/>
                        </w:rPr>
                        <w:t xml:space="preserve"> Directi</w:t>
                      </w:r>
                      <w:r>
                        <w:rPr>
                          <w:rFonts w:cs="Arial"/>
                          <w:sz w:val="22"/>
                          <w:szCs w:val="22"/>
                          <w:lang w:val="fr-FR"/>
                        </w:rPr>
                        <w:t>on gé</w:t>
                      </w:r>
                      <w:r w:rsidR="00A91CA9">
                        <w:rPr>
                          <w:rFonts w:cs="Arial"/>
                          <w:sz w:val="22"/>
                          <w:szCs w:val="22"/>
                          <w:lang w:val="fr-FR"/>
                        </w:rPr>
                        <w:t>nérale de l’environnement,</w:t>
                      </w:r>
                      <w:r>
                        <w:rPr>
                          <w:rFonts w:cs="Arial"/>
                          <w:sz w:val="22"/>
                          <w:szCs w:val="22"/>
                          <w:lang w:val="fr-FR"/>
                        </w:rPr>
                        <w:t xml:space="preserve"> </w:t>
                      </w:r>
                      <w:r w:rsidR="00A91CA9">
                        <w:rPr>
                          <w:rFonts w:cs="Arial"/>
                          <w:sz w:val="22"/>
                          <w:szCs w:val="22"/>
                          <w:lang w:val="fr-FR"/>
                        </w:rPr>
                        <w:t xml:space="preserve">par </w:t>
                      </w:r>
                      <w:r>
                        <w:rPr>
                          <w:rFonts w:cs="Arial"/>
                          <w:sz w:val="22"/>
                          <w:szCs w:val="22"/>
                          <w:lang w:val="fr-FR"/>
                        </w:rPr>
                        <w:t>l’Accord sur la conservation des oiseaux migrateurs d’Afrique-Eurasie</w:t>
                      </w:r>
                      <w:r w:rsidRPr="00C1694D">
                        <w:rPr>
                          <w:rFonts w:cs="Arial"/>
                          <w:sz w:val="22"/>
                          <w:szCs w:val="22"/>
                          <w:lang w:val="fr-FR"/>
                        </w:rPr>
                        <w:t xml:space="preserve"> (AEWA), </w:t>
                      </w:r>
                      <w:r>
                        <w:rPr>
                          <w:rFonts w:cs="Arial"/>
                          <w:sz w:val="22"/>
                          <w:szCs w:val="22"/>
                          <w:lang w:val="fr-FR"/>
                        </w:rPr>
                        <w:t xml:space="preserve">et par chacun des partenaires du projet, et coordonné par </w:t>
                      </w:r>
                      <w:r w:rsidRPr="00C1694D">
                        <w:rPr>
                          <w:rFonts w:cs="Arial"/>
                          <w:sz w:val="22"/>
                          <w:szCs w:val="22"/>
                          <w:lang w:val="fr-FR"/>
                        </w:rPr>
                        <w:t>BirdLife International.</w:t>
                      </w:r>
                    </w:p>
                    <w:p w14:paraId="42D8CB4A" w14:textId="77777777" w:rsidR="00C46CCB" w:rsidRPr="00C1694D" w:rsidRDefault="00C46CCB" w:rsidP="008C00B8">
                      <w:pPr>
                        <w:jc w:val="both"/>
                        <w:rPr>
                          <w:rFonts w:cs="Arial"/>
                          <w:sz w:val="22"/>
                          <w:szCs w:val="22"/>
                          <w:lang w:val="fr-FR"/>
                        </w:rPr>
                      </w:pPr>
                    </w:p>
                    <w:p w14:paraId="11FBBFD6" w14:textId="177A6A1F" w:rsidR="00C46CCB" w:rsidRPr="004D084A" w:rsidRDefault="00C46CCB" w:rsidP="008C00B8">
                      <w:pPr>
                        <w:jc w:val="both"/>
                        <w:rPr>
                          <w:rFonts w:cs="Arial"/>
                          <w:sz w:val="22"/>
                          <w:szCs w:val="22"/>
                          <w:lang w:val="fr-FR"/>
                        </w:rPr>
                      </w:pPr>
                      <w:r w:rsidRPr="004D084A">
                        <w:rPr>
                          <w:rFonts w:cs="Arial"/>
                          <w:sz w:val="22"/>
                          <w:szCs w:val="22"/>
                          <w:lang w:val="fr-FR"/>
                        </w:rPr>
                        <w:t xml:space="preserve">L’adoption </w:t>
                      </w:r>
                      <w:r>
                        <w:rPr>
                          <w:rFonts w:cs="Arial"/>
                          <w:sz w:val="22"/>
                          <w:szCs w:val="22"/>
                          <w:lang w:val="fr-FR"/>
                        </w:rPr>
                        <w:t xml:space="preserve">de ce </w:t>
                      </w:r>
                      <w:r w:rsidR="00A91CA9">
                        <w:rPr>
                          <w:rFonts w:cs="Arial"/>
                          <w:sz w:val="22"/>
                          <w:szCs w:val="22"/>
                          <w:lang w:val="fr-FR"/>
                        </w:rPr>
                        <w:t>P</w:t>
                      </w:r>
                      <w:r w:rsidRPr="004D084A">
                        <w:rPr>
                          <w:rFonts w:cs="Arial"/>
                          <w:sz w:val="22"/>
                          <w:szCs w:val="22"/>
                          <w:lang w:val="fr-FR"/>
                        </w:rPr>
                        <w:t xml:space="preserve">lan </w:t>
                      </w:r>
                      <w:r>
                        <w:rPr>
                          <w:rFonts w:cs="Arial"/>
                          <w:sz w:val="22"/>
                          <w:szCs w:val="22"/>
                          <w:lang w:val="fr-FR"/>
                        </w:rPr>
                        <w:t>d’action contribu</w:t>
                      </w:r>
                      <w:r w:rsidRPr="004D084A">
                        <w:rPr>
                          <w:rFonts w:cs="Arial"/>
                          <w:sz w:val="22"/>
                          <w:szCs w:val="22"/>
                          <w:lang w:val="fr-FR"/>
                        </w:rPr>
                        <w:t>e</w:t>
                      </w:r>
                      <w:r>
                        <w:rPr>
                          <w:rFonts w:cs="Arial"/>
                          <w:sz w:val="22"/>
                          <w:szCs w:val="22"/>
                          <w:lang w:val="fr-FR"/>
                        </w:rPr>
                        <w:t>ra à la réalisation des objectifs</w:t>
                      </w:r>
                      <w:r w:rsidRPr="004D084A">
                        <w:rPr>
                          <w:rFonts w:cs="Arial"/>
                          <w:sz w:val="22"/>
                          <w:szCs w:val="22"/>
                          <w:lang w:val="fr-FR"/>
                        </w:rPr>
                        <w:t xml:space="preserve"> 8, 9 et 10 du Plan stratégique pour les espèces migratrices 2015-2023.</w:t>
                      </w:r>
                    </w:p>
                  </w:txbxContent>
                </v:textbox>
              </v:shape>
            </w:pict>
          </mc:Fallback>
        </mc:AlternateContent>
      </w:r>
    </w:p>
    <w:p w14:paraId="2164B294" w14:textId="77777777" w:rsidR="00D605A4" w:rsidRPr="00695F1D" w:rsidRDefault="00D605A4" w:rsidP="00D605A4">
      <w:pPr>
        <w:rPr>
          <w:rFonts w:cs="Arial"/>
          <w:sz w:val="21"/>
          <w:szCs w:val="21"/>
          <w:lang w:val="fr-FR"/>
        </w:rPr>
      </w:pPr>
    </w:p>
    <w:p w14:paraId="2F23ABB0" w14:textId="77777777" w:rsidR="00D605A4" w:rsidRPr="00695F1D" w:rsidRDefault="00D605A4" w:rsidP="00D605A4">
      <w:pPr>
        <w:rPr>
          <w:rFonts w:cs="Arial"/>
          <w:sz w:val="21"/>
          <w:szCs w:val="21"/>
          <w:lang w:val="fr-FR"/>
        </w:rPr>
      </w:pPr>
    </w:p>
    <w:p w14:paraId="067E4333" w14:textId="77777777" w:rsidR="00D605A4" w:rsidRPr="00695F1D" w:rsidRDefault="00D605A4" w:rsidP="00D605A4">
      <w:pPr>
        <w:rPr>
          <w:rFonts w:cs="Arial"/>
          <w:sz w:val="21"/>
          <w:szCs w:val="21"/>
          <w:lang w:val="fr-FR"/>
        </w:rPr>
      </w:pPr>
    </w:p>
    <w:p w14:paraId="34E4C136" w14:textId="77777777" w:rsidR="00D605A4" w:rsidRPr="00695F1D" w:rsidRDefault="00D605A4" w:rsidP="00D605A4">
      <w:pPr>
        <w:rPr>
          <w:rFonts w:cs="Arial"/>
          <w:sz w:val="21"/>
          <w:szCs w:val="21"/>
          <w:lang w:val="fr-FR"/>
        </w:rPr>
      </w:pPr>
    </w:p>
    <w:p w14:paraId="46D50B9C" w14:textId="77777777" w:rsidR="00D605A4" w:rsidRPr="00695F1D" w:rsidRDefault="00D605A4" w:rsidP="00D605A4">
      <w:pPr>
        <w:rPr>
          <w:rFonts w:cs="Arial"/>
          <w:sz w:val="21"/>
          <w:szCs w:val="21"/>
          <w:lang w:val="fr-FR"/>
        </w:rPr>
      </w:pPr>
    </w:p>
    <w:p w14:paraId="762B3516" w14:textId="77777777" w:rsidR="00D605A4" w:rsidRPr="00695F1D" w:rsidRDefault="00D605A4" w:rsidP="00D605A4">
      <w:pPr>
        <w:rPr>
          <w:rFonts w:cs="Arial"/>
          <w:sz w:val="21"/>
          <w:szCs w:val="21"/>
          <w:lang w:val="fr-FR"/>
        </w:rPr>
      </w:pPr>
    </w:p>
    <w:p w14:paraId="72A08FE4" w14:textId="77777777" w:rsidR="00D605A4" w:rsidRPr="00695F1D" w:rsidRDefault="00D605A4" w:rsidP="00D605A4">
      <w:pPr>
        <w:rPr>
          <w:rFonts w:cs="Arial"/>
          <w:sz w:val="21"/>
          <w:szCs w:val="21"/>
          <w:lang w:val="fr-FR"/>
        </w:rPr>
      </w:pPr>
    </w:p>
    <w:p w14:paraId="14BD0442" w14:textId="77777777" w:rsidR="00D605A4" w:rsidRPr="00695F1D" w:rsidRDefault="00D605A4" w:rsidP="00D605A4">
      <w:pPr>
        <w:rPr>
          <w:rFonts w:cs="Arial"/>
          <w:sz w:val="21"/>
          <w:szCs w:val="21"/>
          <w:lang w:val="fr-FR"/>
        </w:rPr>
      </w:pPr>
    </w:p>
    <w:p w14:paraId="32591724" w14:textId="77777777" w:rsidR="00D605A4" w:rsidRPr="00695F1D" w:rsidRDefault="00D605A4" w:rsidP="00D605A4">
      <w:pPr>
        <w:rPr>
          <w:rFonts w:cs="Arial"/>
          <w:sz w:val="21"/>
          <w:szCs w:val="21"/>
          <w:lang w:val="fr-FR"/>
        </w:rPr>
      </w:pPr>
    </w:p>
    <w:p w14:paraId="1ED99EA4" w14:textId="77777777" w:rsidR="00D605A4" w:rsidRPr="00695F1D" w:rsidRDefault="00D605A4" w:rsidP="00D605A4">
      <w:pPr>
        <w:rPr>
          <w:rFonts w:cs="Arial"/>
          <w:sz w:val="21"/>
          <w:szCs w:val="21"/>
          <w:lang w:val="fr-FR"/>
        </w:rPr>
      </w:pPr>
    </w:p>
    <w:p w14:paraId="1DA7B5E6" w14:textId="77777777" w:rsidR="00D605A4" w:rsidRPr="00695F1D" w:rsidRDefault="00D605A4" w:rsidP="00D605A4">
      <w:pPr>
        <w:rPr>
          <w:rFonts w:cs="Arial"/>
          <w:sz w:val="21"/>
          <w:szCs w:val="21"/>
          <w:lang w:val="fr-FR"/>
        </w:rPr>
      </w:pPr>
    </w:p>
    <w:p w14:paraId="45F9F47F" w14:textId="77777777" w:rsidR="00D605A4" w:rsidRPr="00695F1D" w:rsidRDefault="00D605A4" w:rsidP="00D605A4">
      <w:pPr>
        <w:rPr>
          <w:rFonts w:cs="Arial"/>
          <w:sz w:val="21"/>
          <w:szCs w:val="21"/>
          <w:lang w:val="fr-FR"/>
        </w:rPr>
      </w:pPr>
    </w:p>
    <w:p w14:paraId="212591F7" w14:textId="77777777" w:rsidR="00D605A4" w:rsidRPr="00695F1D" w:rsidRDefault="00D605A4" w:rsidP="00D605A4">
      <w:pPr>
        <w:rPr>
          <w:rFonts w:cs="Arial"/>
          <w:sz w:val="21"/>
          <w:szCs w:val="21"/>
          <w:lang w:val="fr-FR"/>
        </w:rPr>
      </w:pPr>
    </w:p>
    <w:p w14:paraId="395D84CD" w14:textId="77777777" w:rsidR="00D605A4" w:rsidRPr="00695F1D" w:rsidRDefault="00D605A4" w:rsidP="00D605A4">
      <w:pPr>
        <w:rPr>
          <w:rFonts w:cs="Arial"/>
          <w:sz w:val="21"/>
          <w:szCs w:val="21"/>
          <w:lang w:val="fr-FR"/>
        </w:rPr>
      </w:pPr>
    </w:p>
    <w:p w14:paraId="53BC7EAB" w14:textId="77777777" w:rsidR="00D605A4" w:rsidRPr="00695F1D" w:rsidRDefault="00D605A4" w:rsidP="00D605A4">
      <w:pPr>
        <w:rPr>
          <w:rFonts w:cs="Arial"/>
          <w:sz w:val="21"/>
          <w:szCs w:val="21"/>
          <w:lang w:val="fr-FR"/>
        </w:rPr>
      </w:pPr>
    </w:p>
    <w:p w14:paraId="015449EE" w14:textId="77777777" w:rsidR="00D605A4" w:rsidRPr="00695F1D" w:rsidRDefault="00D605A4" w:rsidP="00D605A4">
      <w:pPr>
        <w:rPr>
          <w:rFonts w:cs="Arial"/>
          <w:sz w:val="21"/>
          <w:szCs w:val="21"/>
          <w:lang w:val="fr-FR"/>
        </w:rPr>
      </w:pPr>
    </w:p>
    <w:p w14:paraId="19A4E0D7" w14:textId="77777777" w:rsidR="00D605A4" w:rsidRPr="00695F1D" w:rsidRDefault="00D605A4" w:rsidP="00D605A4">
      <w:pPr>
        <w:rPr>
          <w:rFonts w:cs="Arial"/>
          <w:sz w:val="21"/>
          <w:szCs w:val="21"/>
          <w:lang w:val="fr-FR"/>
        </w:rPr>
      </w:pPr>
    </w:p>
    <w:p w14:paraId="6552667B" w14:textId="77777777" w:rsidR="00D605A4" w:rsidRPr="00695F1D" w:rsidRDefault="00D605A4" w:rsidP="00D605A4">
      <w:pPr>
        <w:rPr>
          <w:rFonts w:cs="Arial"/>
          <w:sz w:val="22"/>
          <w:szCs w:val="22"/>
          <w:lang w:val="fr-FR"/>
        </w:rPr>
      </w:pPr>
    </w:p>
    <w:p w14:paraId="253261E0" w14:textId="77777777" w:rsidR="00031A88" w:rsidRPr="00695F1D" w:rsidRDefault="00031A88" w:rsidP="00D605A4">
      <w:pPr>
        <w:rPr>
          <w:rFonts w:cs="Arial"/>
          <w:sz w:val="22"/>
          <w:szCs w:val="22"/>
          <w:lang w:val="fr-FR"/>
        </w:rPr>
      </w:pPr>
    </w:p>
    <w:p w14:paraId="18E1A0CD" w14:textId="77777777" w:rsidR="00031A88" w:rsidRPr="00695F1D" w:rsidRDefault="00031A88" w:rsidP="00D605A4">
      <w:pPr>
        <w:rPr>
          <w:rFonts w:cs="Arial"/>
          <w:sz w:val="22"/>
          <w:szCs w:val="22"/>
          <w:lang w:val="fr-FR"/>
        </w:rPr>
      </w:pPr>
    </w:p>
    <w:p w14:paraId="22E28475" w14:textId="77777777" w:rsidR="00031A88" w:rsidRPr="00695F1D" w:rsidRDefault="00031A88" w:rsidP="00D605A4">
      <w:pPr>
        <w:rPr>
          <w:rFonts w:cs="Arial"/>
          <w:sz w:val="22"/>
          <w:szCs w:val="22"/>
          <w:lang w:val="fr-FR"/>
        </w:rPr>
      </w:pPr>
    </w:p>
    <w:p w14:paraId="670047E1" w14:textId="77777777" w:rsidR="00031A88" w:rsidRPr="00695F1D" w:rsidRDefault="00031A88" w:rsidP="00D605A4">
      <w:pPr>
        <w:rPr>
          <w:rFonts w:cs="Arial"/>
          <w:sz w:val="22"/>
          <w:szCs w:val="22"/>
          <w:lang w:val="fr-FR"/>
        </w:rPr>
      </w:pPr>
    </w:p>
    <w:p w14:paraId="10D2789B" w14:textId="77777777" w:rsidR="00031A88" w:rsidRPr="00695F1D" w:rsidRDefault="00031A88" w:rsidP="00D605A4">
      <w:pPr>
        <w:rPr>
          <w:rFonts w:cs="Arial"/>
          <w:sz w:val="22"/>
          <w:szCs w:val="22"/>
          <w:lang w:val="fr-FR"/>
        </w:rPr>
      </w:pPr>
    </w:p>
    <w:p w14:paraId="75697B11" w14:textId="77777777" w:rsidR="00031A88" w:rsidRPr="00695F1D" w:rsidRDefault="00031A88" w:rsidP="00D605A4">
      <w:pPr>
        <w:rPr>
          <w:rFonts w:cs="Arial"/>
          <w:sz w:val="22"/>
          <w:szCs w:val="22"/>
          <w:lang w:val="fr-FR"/>
        </w:rPr>
      </w:pPr>
    </w:p>
    <w:p w14:paraId="6AA3342F" w14:textId="77777777" w:rsidR="00031A88" w:rsidRPr="00C1694D" w:rsidRDefault="00031A88" w:rsidP="00D605A4">
      <w:pPr>
        <w:rPr>
          <w:rFonts w:cs="Arial"/>
          <w:sz w:val="22"/>
          <w:szCs w:val="22"/>
          <w:lang w:val="fr-FR"/>
        </w:rPr>
      </w:pPr>
    </w:p>
    <w:p w14:paraId="1215D667" w14:textId="77777777" w:rsidR="00031A88" w:rsidRPr="00C1694D" w:rsidRDefault="00031A88" w:rsidP="00D605A4">
      <w:pPr>
        <w:rPr>
          <w:rFonts w:cs="Arial"/>
          <w:sz w:val="22"/>
          <w:szCs w:val="22"/>
          <w:lang w:val="fr-FR"/>
        </w:rPr>
      </w:pPr>
    </w:p>
    <w:p w14:paraId="6ACEF366" w14:textId="77777777" w:rsidR="00031A88" w:rsidRPr="00C1694D" w:rsidRDefault="00031A88" w:rsidP="00D605A4">
      <w:pPr>
        <w:rPr>
          <w:rFonts w:cs="Arial"/>
          <w:sz w:val="22"/>
          <w:szCs w:val="22"/>
          <w:lang w:val="fr-FR"/>
        </w:rPr>
      </w:pPr>
    </w:p>
    <w:p w14:paraId="205C82EC" w14:textId="77777777" w:rsidR="00031A88" w:rsidRPr="00C1694D" w:rsidRDefault="00031A88" w:rsidP="00D605A4">
      <w:pPr>
        <w:rPr>
          <w:rFonts w:cs="Arial"/>
          <w:sz w:val="22"/>
          <w:szCs w:val="22"/>
          <w:lang w:val="fr-FR"/>
        </w:rPr>
      </w:pPr>
    </w:p>
    <w:p w14:paraId="18175CBF" w14:textId="77777777" w:rsidR="00031A88" w:rsidRPr="00C1694D" w:rsidRDefault="00031A88" w:rsidP="00D605A4">
      <w:pPr>
        <w:rPr>
          <w:rFonts w:cs="Arial"/>
          <w:sz w:val="22"/>
          <w:szCs w:val="22"/>
          <w:lang w:val="fr-FR"/>
        </w:rPr>
      </w:pPr>
    </w:p>
    <w:p w14:paraId="534DCA07" w14:textId="77777777" w:rsidR="00D605A4" w:rsidRPr="00C1694D" w:rsidRDefault="00D605A4" w:rsidP="00D605A4">
      <w:pPr>
        <w:rPr>
          <w:rFonts w:cs="Arial"/>
          <w:sz w:val="22"/>
          <w:szCs w:val="22"/>
          <w:lang w:val="fr-FR"/>
        </w:rPr>
      </w:pPr>
    </w:p>
    <w:p w14:paraId="6A4C42AF" w14:textId="77777777" w:rsidR="00D605A4" w:rsidRPr="00C1694D" w:rsidRDefault="00D605A4" w:rsidP="00D605A4">
      <w:pPr>
        <w:tabs>
          <w:tab w:val="left" w:pos="1020"/>
        </w:tabs>
        <w:rPr>
          <w:rFonts w:cs="Arial"/>
          <w:sz w:val="22"/>
          <w:szCs w:val="22"/>
          <w:lang w:val="fr-FR"/>
        </w:rPr>
        <w:sectPr w:rsidR="00D605A4" w:rsidRPr="00C1694D" w:rsidSect="0052082F">
          <w:headerReference w:type="even" r:id="rId9"/>
          <w:headerReference w:type="default" r:id="rId10"/>
          <w:footerReference w:type="even" r:id="rId11"/>
          <w:footerReference w:type="default" r:id="rId12"/>
          <w:headerReference w:type="first" r:id="rId13"/>
          <w:footerReference w:type="first" r:id="rId14"/>
          <w:endnotePr>
            <w:numFmt w:val="decimal"/>
          </w:endnotePr>
          <w:pgSz w:w="11905" w:h="16837" w:code="9"/>
          <w:pgMar w:top="1008" w:right="1411" w:bottom="1152" w:left="1411" w:header="432" w:footer="432" w:gutter="0"/>
          <w:cols w:space="720"/>
          <w:noEndnote/>
          <w:titlePg/>
          <w:docGrid w:linePitch="272"/>
        </w:sectPr>
      </w:pPr>
    </w:p>
    <w:p w14:paraId="3915C885" w14:textId="77777777" w:rsidR="00767B8F" w:rsidRPr="00C1694D" w:rsidRDefault="00767B8F" w:rsidP="007910DD">
      <w:pPr>
        <w:pBdr>
          <w:top w:val="single" w:sz="6" w:space="0" w:color="FFFFFF"/>
          <w:left w:val="single" w:sz="6" w:space="0" w:color="FFFFFF"/>
          <w:bottom w:val="single" w:sz="6" w:space="0" w:color="FFFFFF"/>
          <w:right w:val="single" w:sz="6" w:space="0" w:color="FFFFFF"/>
        </w:pBdr>
        <w:jc w:val="center"/>
        <w:outlineLvl w:val="1"/>
        <w:rPr>
          <w:rFonts w:cs="Arial"/>
          <w:b/>
          <w:caps/>
          <w:sz w:val="22"/>
          <w:szCs w:val="22"/>
          <w:lang w:val="fr-FR"/>
        </w:rPr>
      </w:pPr>
    </w:p>
    <w:p w14:paraId="0AA7331B" w14:textId="2A1D4E91" w:rsidR="007910DD" w:rsidRPr="00C1694D" w:rsidRDefault="009211D4" w:rsidP="00A91CA9">
      <w:pPr>
        <w:pBdr>
          <w:top w:val="single" w:sz="6" w:space="0" w:color="FFFFFF"/>
          <w:left w:val="single" w:sz="6" w:space="0" w:color="FFFFFF"/>
          <w:bottom w:val="single" w:sz="6" w:space="0" w:color="FFFFFF"/>
          <w:right w:val="single" w:sz="6" w:space="0" w:color="FFFFFF"/>
        </w:pBdr>
        <w:spacing w:before="120"/>
        <w:jc w:val="center"/>
        <w:outlineLvl w:val="1"/>
        <w:rPr>
          <w:rFonts w:cs="Arial"/>
          <w:b/>
          <w:caps/>
          <w:sz w:val="22"/>
          <w:szCs w:val="22"/>
          <w:lang w:val="fr-FR"/>
        </w:rPr>
      </w:pPr>
      <w:r w:rsidRPr="00C1694D">
        <w:rPr>
          <w:rFonts w:cs="Arial"/>
          <w:b/>
          <w:caps/>
          <w:sz w:val="22"/>
          <w:szCs w:val="22"/>
          <w:lang w:val="fr-FR"/>
        </w:rPr>
        <w:t xml:space="preserve">PLAN </w:t>
      </w:r>
      <w:r w:rsidR="00C1694D" w:rsidRPr="00C1694D">
        <w:rPr>
          <w:rFonts w:cs="Arial"/>
          <w:b/>
          <w:caps/>
          <w:sz w:val="22"/>
          <w:szCs w:val="22"/>
          <w:lang w:val="fr-FR"/>
        </w:rPr>
        <w:t xml:space="preserve">d’ACTION POUR LA TOURTERELLE DES BOIS </w:t>
      </w:r>
    </w:p>
    <w:p w14:paraId="0F3AE4AA" w14:textId="77777777" w:rsidR="00EE4815" w:rsidRPr="00C1694D" w:rsidRDefault="00EE4815" w:rsidP="007910DD">
      <w:pPr>
        <w:jc w:val="both"/>
        <w:rPr>
          <w:rFonts w:cs="Arial"/>
          <w:sz w:val="22"/>
          <w:szCs w:val="22"/>
          <w:lang w:val="fr-FR"/>
        </w:rPr>
      </w:pPr>
    </w:p>
    <w:p w14:paraId="616312D7" w14:textId="576D12E5" w:rsidR="007910DD" w:rsidRPr="00CD0FE9" w:rsidRDefault="00C1694D" w:rsidP="00BE20B6">
      <w:pPr>
        <w:jc w:val="both"/>
        <w:rPr>
          <w:rFonts w:cs="Arial"/>
          <w:sz w:val="22"/>
          <w:szCs w:val="22"/>
          <w:u w:val="single"/>
          <w:lang w:val="en-GB"/>
        </w:rPr>
      </w:pPr>
      <w:r>
        <w:rPr>
          <w:rFonts w:cs="Arial"/>
          <w:sz w:val="22"/>
          <w:szCs w:val="22"/>
          <w:u w:val="single"/>
          <w:lang w:val="en-GB"/>
        </w:rPr>
        <w:t>Contexte</w:t>
      </w:r>
    </w:p>
    <w:p w14:paraId="30D6AE14" w14:textId="77777777" w:rsidR="007910DD" w:rsidRPr="00CD0FE9" w:rsidRDefault="007910DD" w:rsidP="00BE20B6">
      <w:pPr>
        <w:jc w:val="both"/>
        <w:rPr>
          <w:rFonts w:cs="Arial"/>
          <w:sz w:val="22"/>
          <w:szCs w:val="22"/>
          <w:lang w:val="en-GB"/>
        </w:rPr>
      </w:pPr>
    </w:p>
    <w:p w14:paraId="36E1054A" w14:textId="5947E035" w:rsidR="004E7A47" w:rsidRPr="00093B90" w:rsidRDefault="004D084A" w:rsidP="00BE20B6">
      <w:pPr>
        <w:pStyle w:val="ListParagraph"/>
        <w:numPr>
          <w:ilvl w:val="0"/>
          <w:numId w:val="2"/>
        </w:numPr>
        <w:jc w:val="both"/>
        <w:rPr>
          <w:rFonts w:cs="Arial"/>
          <w:sz w:val="22"/>
          <w:szCs w:val="22"/>
          <w:lang w:val="fr-FR"/>
        </w:rPr>
      </w:pPr>
      <w:r w:rsidRPr="00C1694D">
        <w:rPr>
          <w:rFonts w:cs="Arial"/>
          <w:sz w:val="22"/>
          <w:szCs w:val="22"/>
          <w:lang w:val="fr-FR"/>
        </w:rPr>
        <w:t>La ré</w:t>
      </w:r>
      <w:r w:rsidR="009211D4" w:rsidRPr="00C1694D">
        <w:rPr>
          <w:rFonts w:cs="Arial"/>
          <w:sz w:val="22"/>
          <w:szCs w:val="22"/>
          <w:lang w:val="fr-FR"/>
        </w:rPr>
        <w:t>solution 11.17</w:t>
      </w:r>
      <w:r w:rsidR="004E7A47" w:rsidRPr="00C1694D">
        <w:rPr>
          <w:rFonts w:cs="Arial"/>
          <w:sz w:val="22"/>
          <w:szCs w:val="22"/>
          <w:lang w:val="fr-FR"/>
        </w:rPr>
        <w:t xml:space="preserve"> </w:t>
      </w:r>
      <w:r w:rsidRPr="00C1694D">
        <w:rPr>
          <w:rFonts w:cs="Arial"/>
          <w:sz w:val="22"/>
          <w:szCs w:val="22"/>
          <w:lang w:val="fr-FR"/>
        </w:rPr>
        <w:t>sur le</w:t>
      </w:r>
      <w:r w:rsidR="00243E9E" w:rsidRPr="00C1694D">
        <w:rPr>
          <w:rFonts w:cs="Arial"/>
          <w:sz w:val="22"/>
          <w:szCs w:val="22"/>
          <w:lang w:val="fr-FR"/>
        </w:rPr>
        <w:t xml:space="preserve"> Plan </w:t>
      </w:r>
      <w:r w:rsidRPr="00C1694D">
        <w:rPr>
          <w:rFonts w:cs="Arial"/>
          <w:sz w:val="22"/>
          <w:szCs w:val="22"/>
          <w:lang w:val="fr-FR"/>
        </w:rPr>
        <w:t>d’action pour les espèces terrestres migratrices d’Afrique-Eurasie a demandé</w:t>
      </w:r>
      <w:r w:rsidR="00243E9E" w:rsidRPr="00C1694D">
        <w:rPr>
          <w:rFonts w:cs="Arial"/>
          <w:sz w:val="22"/>
          <w:szCs w:val="22"/>
          <w:lang w:val="fr-FR"/>
        </w:rPr>
        <w:t xml:space="preserve"> </w:t>
      </w:r>
      <w:r w:rsidR="00C1694D" w:rsidRPr="00C1694D">
        <w:rPr>
          <w:rFonts w:cs="Arial"/>
          <w:sz w:val="22"/>
          <w:szCs w:val="22"/>
          <w:lang w:val="fr-FR"/>
        </w:rPr>
        <w:t>au Groupe de travail sur les oiseaux terrestres et au Conseil scientifique, e</w:t>
      </w:r>
      <w:r w:rsidR="00243E9E" w:rsidRPr="00C1694D">
        <w:rPr>
          <w:rFonts w:cs="Arial"/>
          <w:sz w:val="22"/>
          <w:szCs w:val="22"/>
          <w:lang w:val="fr-FR"/>
        </w:rPr>
        <w:t xml:space="preserve">n liaison </w:t>
      </w:r>
      <w:r w:rsidR="00C1694D" w:rsidRPr="00C1694D">
        <w:rPr>
          <w:rFonts w:cs="Arial"/>
          <w:sz w:val="22"/>
          <w:szCs w:val="22"/>
          <w:lang w:val="fr-FR"/>
        </w:rPr>
        <w:t xml:space="preserve">avec le Groupe d’étude sur les oiseaux </w:t>
      </w:r>
      <w:r w:rsidR="00DB5B0C" w:rsidRPr="00C1694D">
        <w:rPr>
          <w:rFonts w:cs="Arial"/>
          <w:sz w:val="22"/>
          <w:szCs w:val="22"/>
          <w:lang w:val="fr-FR"/>
        </w:rPr>
        <w:t>terrestres</w:t>
      </w:r>
      <w:r w:rsidR="00C1694D" w:rsidRPr="00C1694D">
        <w:rPr>
          <w:rFonts w:cs="Arial"/>
          <w:sz w:val="22"/>
          <w:szCs w:val="22"/>
          <w:lang w:val="fr-FR"/>
        </w:rPr>
        <w:t xml:space="preserve"> migrateur</w:t>
      </w:r>
      <w:r w:rsidR="00A91CA9">
        <w:rPr>
          <w:rFonts w:cs="Arial"/>
          <w:sz w:val="22"/>
          <w:szCs w:val="22"/>
          <w:lang w:val="fr-FR"/>
        </w:rPr>
        <w:t>s et les Amis du Plan d’action po</w:t>
      </w:r>
      <w:r w:rsidR="00C1694D" w:rsidRPr="00C1694D">
        <w:rPr>
          <w:rFonts w:cs="Arial"/>
          <w:sz w:val="22"/>
          <w:szCs w:val="22"/>
          <w:lang w:val="fr-FR"/>
        </w:rPr>
        <w:t>ur les oiseaux</w:t>
      </w:r>
      <w:r w:rsidR="00A91CA9">
        <w:rPr>
          <w:rFonts w:cs="Arial"/>
          <w:sz w:val="22"/>
          <w:szCs w:val="22"/>
          <w:lang w:val="fr-FR"/>
        </w:rPr>
        <w:t xml:space="preserve"> terrestres, avec l’appui</w:t>
      </w:r>
      <w:r w:rsidR="00C1694D">
        <w:rPr>
          <w:rFonts w:cs="Arial"/>
          <w:sz w:val="22"/>
          <w:szCs w:val="22"/>
          <w:lang w:val="fr-FR"/>
        </w:rPr>
        <w:t xml:space="preserve"> du Secré</w:t>
      </w:r>
      <w:r w:rsidR="00243E9E" w:rsidRPr="00C1694D">
        <w:rPr>
          <w:rFonts w:cs="Arial"/>
          <w:sz w:val="22"/>
          <w:szCs w:val="22"/>
          <w:lang w:val="fr-FR"/>
        </w:rPr>
        <w:t xml:space="preserve">tariat, </w:t>
      </w:r>
      <w:r w:rsidR="00C1694D">
        <w:rPr>
          <w:rFonts w:cs="Arial"/>
          <w:sz w:val="22"/>
          <w:szCs w:val="22"/>
          <w:lang w:val="fr-FR"/>
        </w:rPr>
        <w:t>d’élaborer</w:t>
      </w:r>
      <w:r w:rsidR="00A91CA9">
        <w:rPr>
          <w:rFonts w:cs="Arial"/>
          <w:sz w:val="22"/>
          <w:szCs w:val="22"/>
          <w:lang w:val="fr-FR"/>
        </w:rPr>
        <w:t xml:space="preserve"> dans le cadre des nouvelles questions traitées</w:t>
      </w:r>
      <w:r w:rsidR="00093B90">
        <w:rPr>
          <w:rFonts w:cs="Arial"/>
          <w:sz w:val="22"/>
          <w:szCs w:val="22"/>
          <w:lang w:val="fr-FR"/>
        </w:rPr>
        <w:t xml:space="preserve"> des plans d’action pour une pre</w:t>
      </w:r>
      <w:r w:rsidR="00A91CA9">
        <w:rPr>
          <w:rFonts w:cs="Arial"/>
          <w:sz w:val="22"/>
          <w:szCs w:val="22"/>
          <w:lang w:val="fr-FR"/>
        </w:rPr>
        <w:t>mière série d’espèces, dont la T</w:t>
      </w:r>
      <w:r w:rsidR="00093B90">
        <w:rPr>
          <w:rFonts w:cs="Arial"/>
          <w:sz w:val="22"/>
          <w:szCs w:val="22"/>
          <w:lang w:val="fr-FR"/>
        </w:rPr>
        <w:t xml:space="preserve">ourterelle des bois </w:t>
      </w:r>
      <w:r w:rsidR="008151EA" w:rsidRPr="00C1694D">
        <w:rPr>
          <w:rFonts w:cs="Arial"/>
          <w:sz w:val="22"/>
          <w:szCs w:val="22"/>
          <w:lang w:val="fr-FR"/>
        </w:rPr>
        <w:t>(</w:t>
      </w:r>
      <w:r w:rsidR="00243E9E" w:rsidRPr="00C1694D">
        <w:rPr>
          <w:rFonts w:cs="Arial"/>
          <w:i/>
          <w:sz w:val="22"/>
          <w:szCs w:val="22"/>
          <w:lang w:val="fr-FR"/>
        </w:rPr>
        <w:t>Streptopelia turtur</w:t>
      </w:r>
      <w:r w:rsidR="008151EA" w:rsidRPr="00C1694D">
        <w:rPr>
          <w:rFonts w:cs="Arial"/>
          <w:sz w:val="22"/>
          <w:szCs w:val="22"/>
          <w:lang w:val="fr-FR"/>
        </w:rPr>
        <w:t>)</w:t>
      </w:r>
      <w:r w:rsidR="00093B90">
        <w:rPr>
          <w:rFonts w:cs="Arial"/>
          <w:sz w:val="22"/>
          <w:szCs w:val="22"/>
          <w:lang w:val="fr-FR"/>
        </w:rPr>
        <w:t>, conformé</w:t>
      </w:r>
      <w:r w:rsidR="00A91CA9">
        <w:rPr>
          <w:rFonts w:cs="Arial"/>
          <w:sz w:val="22"/>
          <w:szCs w:val="22"/>
          <w:lang w:val="fr-FR"/>
        </w:rPr>
        <w:t xml:space="preserve">ment aux priorités établies par </w:t>
      </w:r>
      <w:r w:rsidR="00093B90">
        <w:rPr>
          <w:rFonts w:cs="Arial"/>
          <w:sz w:val="22"/>
          <w:szCs w:val="22"/>
          <w:lang w:val="fr-FR"/>
        </w:rPr>
        <w:t xml:space="preserve">la </w:t>
      </w:r>
      <w:r w:rsidR="00A91CA9">
        <w:rPr>
          <w:rFonts w:cs="Arial"/>
          <w:sz w:val="22"/>
          <w:szCs w:val="22"/>
          <w:lang w:val="fr-FR"/>
        </w:rPr>
        <w:t>CMS concernant l</w:t>
      </w:r>
      <w:r w:rsidR="00093B90">
        <w:rPr>
          <w:rFonts w:cs="Arial"/>
          <w:sz w:val="22"/>
          <w:szCs w:val="22"/>
          <w:lang w:val="fr-FR"/>
        </w:rPr>
        <w:t xml:space="preserve">es actions </w:t>
      </w:r>
      <w:r w:rsidR="004E7A47" w:rsidRPr="00C1694D">
        <w:rPr>
          <w:rFonts w:cs="Arial"/>
          <w:sz w:val="22"/>
          <w:szCs w:val="22"/>
          <w:lang w:val="fr-FR"/>
        </w:rPr>
        <w:t>concer</w:t>
      </w:r>
      <w:r w:rsidR="00243E9E" w:rsidRPr="00C1694D">
        <w:rPr>
          <w:rFonts w:cs="Arial"/>
          <w:sz w:val="22"/>
          <w:szCs w:val="22"/>
          <w:lang w:val="fr-FR"/>
        </w:rPr>
        <w:t>t</w:t>
      </w:r>
      <w:r w:rsidR="00093B90">
        <w:rPr>
          <w:rFonts w:cs="Arial"/>
          <w:sz w:val="22"/>
          <w:szCs w:val="22"/>
          <w:lang w:val="fr-FR"/>
        </w:rPr>
        <w:t>ées et en coopération</w:t>
      </w:r>
      <w:r w:rsidR="00243E9E" w:rsidRPr="00C1694D">
        <w:rPr>
          <w:rFonts w:cs="Arial"/>
          <w:sz w:val="22"/>
          <w:szCs w:val="22"/>
          <w:lang w:val="fr-FR"/>
        </w:rPr>
        <w:t xml:space="preserve">. </w:t>
      </w:r>
      <w:r w:rsidR="00093B90" w:rsidRPr="00093B90">
        <w:rPr>
          <w:rFonts w:cs="Arial"/>
          <w:sz w:val="22"/>
          <w:szCs w:val="22"/>
          <w:lang w:val="fr-FR"/>
        </w:rPr>
        <w:t xml:space="preserve">La sous-espèce </w:t>
      </w:r>
      <w:r w:rsidR="00243E9E" w:rsidRPr="00093B90">
        <w:rPr>
          <w:rFonts w:cs="Arial"/>
          <w:i/>
          <w:sz w:val="22"/>
          <w:szCs w:val="22"/>
          <w:lang w:val="fr-FR"/>
        </w:rPr>
        <w:t>S. t. turtur</w:t>
      </w:r>
      <w:r w:rsidR="00243E9E" w:rsidRPr="00093B90">
        <w:rPr>
          <w:rFonts w:cs="Arial"/>
          <w:sz w:val="22"/>
          <w:szCs w:val="22"/>
          <w:lang w:val="fr-FR"/>
        </w:rPr>
        <w:t xml:space="preserve"> </w:t>
      </w:r>
      <w:r w:rsidR="00093B90" w:rsidRPr="00093B90">
        <w:rPr>
          <w:rFonts w:cs="Arial"/>
          <w:sz w:val="22"/>
          <w:szCs w:val="22"/>
          <w:lang w:val="fr-FR"/>
        </w:rPr>
        <w:t>est inscrite à l’</w:t>
      </w:r>
      <w:r w:rsidR="00093B90">
        <w:rPr>
          <w:rFonts w:cs="Arial"/>
          <w:sz w:val="22"/>
          <w:szCs w:val="22"/>
          <w:lang w:val="fr-FR"/>
        </w:rPr>
        <w:t>Annexe</w:t>
      </w:r>
      <w:r w:rsidR="00D76AD2" w:rsidRPr="00093B90">
        <w:rPr>
          <w:rFonts w:cs="Arial"/>
          <w:sz w:val="22"/>
          <w:szCs w:val="22"/>
          <w:lang w:val="fr-FR"/>
        </w:rPr>
        <w:t xml:space="preserve"> I</w:t>
      </w:r>
      <w:r w:rsidR="00243E9E" w:rsidRPr="00093B90">
        <w:rPr>
          <w:rFonts w:cs="Arial"/>
          <w:sz w:val="22"/>
          <w:szCs w:val="22"/>
          <w:lang w:val="fr-FR"/>
        </w:rPr>
        <w:t>I</w:t>
      </w:r>
      <w:r w:rsidR="00D76AD2" w:rsidRPr="00093B90">
        <w:rPr>
          <w:rFonts w:cs="Arial"/>
          <w:sz w:val="22"/>
          <w:szCs w:val="22"/>
          <w:lang w:val="fr-FR"/>
        </w:rPr>
        <w:t xml:space="preserve"> </w:t>
      </w:r>
      <w:r w:rsidR="00A91CA9">
        <w:rPr>
          <w:rFonts w:cs="Arial"/>
          <w:sz w:val="22"/>
          <w:szCs w:val="22"/>
          <w:lang w:val="fr-FR"/>
        </w:rPr>
        <w:t>de la CMS et est classée</w:t>
      </w:r>
      <w:r w:rsidR="00093B90">
        <w:rPr>
          <w:rFonts w:cs="Arial"/>
          <w:sz w:val="22"/>
          <w:szCs w:val="22"/>
          <w:lang w:val="fr-FR"/>
        </w:rPr>
        <w:t xml:space="preserve"> comme </w:t>
      </w:r>
      <w:r w:rsidR="00A91CA9">
        <w:rPr>
          <w:rFonts w:cs="Arial"/>
          <w:sz w:val="22"/>
          <w:szCs w:val="22"/>
          <w:lang w:val="fr-FR"/>
        </w:rPr>
        <w:t xml:space="preserve">espèce </w:t>
      </w:r>
      <w:r w:rsidR="00093B90">
        <w:rPr>
          <w:rFonts w:cs="Arial"/>
          <w:sz w:val="22"/>
          <w:szCs w:val="22"/>
          <w:lang w:val="fr-FR"/>
        </w:rPr>
        <w:t>vulné</w:t>
      </w:r>
      <w:r w:rsidR="00243E9E" w:rsidRPr="00093B90">
        <w:rPr>
          <w:rFonts w:cs="Arial"/>
          <w:sz w:val="22"/>
          <w:szCs w:val="22"/>
          <w:lang w:val="fr-FR"/>
        </w:rPr>
        <w:t>rable</w:t>
      </w:r>
      <w:r w:rsidR="00093B90">
        <w:rPr>
          <w:rFonts w:cs="Arial"/>
          <w:sz w:val="22"/>
          <w:szCs w:val="22"/>
          <w:lang w:val="fr-FR"/>
        </w:rPr>
        <w:t xml:space="preserve"> par l’</w:t>
      </w:r>
      <w:r w:rsidR="004E7A47" w:rsidRPr="00093B90">
        <w:rPr>
          <w:rFonts w:cs="Arial"/>
          <w:sz w:val="22"/>
          <w:szCs w:val="22"/>
          <w:lang w:val="fr-FR"/>
        </w:rPr>
        <w:t>U</w:t>
      </w:r>
      <w:r w:rsidR="00093B90">
        <w:rPr>
          <w:rFonts w:cs="Arial"/>
          <w:sz w:val="22"/>
          <w:szCs w:val="22"/>
          <w:lang w:val="fr-FR"/>
        </w:rPr>
        <w:t>I</w:t>
      </w:r>
      <w:r w:rsidR="004E7A47" w:rsidRPr="00093B90">
        <w:rPr>
          <w:rFonts w:cs="Arial"/>
          <w:sz w:val="22"/>
          <w:szCs w:val="22"/>
          <w:lang w:val="fr-FR"/>
        </w:rPr>
        <w:t>CN</w:t>
      </w:r>
      <w:r w:rsidR="00253BC1" w:rsidRPr="00093B90">
        <w:rPr>
          <w:rFonts w:cs="Arial"/>
          <w:sz w:val="22"/>
          <w:szCs w:val="22"/>
          <w:lang w:val="fr-FR"/>
        </w:rPr>
        <w:t>.</w:t>
      </w:r>
    </w:p>
    <w:p w14:paraId="7194C16B" w14:textId="77777777" w:rsidR="005A2E8C" w:rsidRPr="00093B90" w:rsidRDefault="005A2E8C" w:rsidP="00BE20B6">
      <w:pPr>
        <w:pStyle w:val="ListParagraph"/>
        <w:jc w:val="both"/>
        <w:rPr>
          <w:rFonts w:cs="Arial"/>
          <w:sz w:val="22"/>
          <w:szCs w:val="22"/>
          <w:lang w:val="fr-FR"/>
        </w:rPr>
      </w:pPr>
    </w:p>
    <w:p w14:paraId="0FBD0B39" w14:textId="35713030" w:rsidR="005A2E8C" w:rsidRPr="00E963E7" w:rsidRDefault="00A91CA9" w:rsidP="00BE20B6">
      <w:pPr>
        <w:numPr>
          <w:ilvl w:val="0"/>
          <w:numId w:val="2"/>
        </w:numPr>
        <w:contextualSpacing/>
        <w:jc w:val="both"/>
        <w:rPr>
          <w:rFonts w:cs="Arial"/>
          <w:sz w:val="22"/>
          <w:szCs w:val="22"/>
          <w:lang w:val="fr-FR"/>
        </w:rPr>
      </w:pPr>
      <w:r>
        <w:rPr>
          <w:rFonts w:cs="Arial"/>
          <w:sz w:val="22"/>
          <w:szCs w:val="22"/>
          <w:lang w:val="fr-FR"/>
        </w:rPr>
        <w:t>Le P</w:t>
      </w:r>
      <w:r w:rsidR="00890F11" w:rsidRPr="00093B90">
        <w:rPr>
          <w:rFonts w:cs="Arial"/>
          <w:sz w:val="22"/>
          <w:szCs w:val="22"/>
          <w:lang w:val="fr-FR"/>
        </w:rPr>
        <w:t>lan</w:t>
      </w:r>
      <w:r w:rsidR="004D084A" w:rsidRPr="00093B90">
        <w:rPr>
          <w:rFonts w:cs="Arial"/>
          <w:sz w:val="22"/>
          <w:szCs w:val="22"/>
          <w:lang w:val="fr-FR"/>
        </w:rPr>
        <w:t xml:space="preserve"> d’action couvre</w:t>
      </w:r>
      <w:r w:rsidR="00890F11" w:rsidRPr="00093B90">
        <w:rPr>
          <w:rFonts w:cs="Arial"/>
          <w:sz w:val="22"/>
          <w:szCs w:val="22"/>
          <w:lang w:val="fr-FR"/>
        </w:rPr>
        <w:t xml:space="preserve"> </w:t>
      </w:r>
      <w:r w:rsidR="00093B90" w:rsidRPr="00093B90">
        <w:rPr>
          <w:rFonts w:cs="Arial"/>
          <w:sz w:val="22"/>
          <w:szCs w:val="22"/>
          <w:lang w:val="fr-FR"/>
        </w:rPr>
        <w:t xml:space="preserve">la population reproductrice européenne, méditerranéenne et nord-africaine, et inclut aussi </w:t>
      </w:r>
      <w:r>
        <w:rPr>
          <w:rFonts w:cs="Arial"/>
          <w:sz w:val="22"/>
          <w:szCs w:val="22"/>
          <w:lang w:val="fr-FR"/>
        </w:rPr>
        <w:t>l</w:t>
      </w:r>
      <w:r w:rsidR="00093B90" w:rsidRPr="00093B90">
        <w:rPr>
          <w:rFonts w:cs="Arial"/>
          <w:sz w:val="22"/>
          <w:szCs w:val="22"/>
          <w:lang w:val="fr-FR"/>
        </w:rPr>
        <w:t xml:space="preserve">es </w:t>
      </w:r>
      <w:r w:rsidR="00093B90">
        <w:rPr>
          <w:rFonts w:cs="Arial"/>
          <w:sz w:val="22"/>
          <w:szCs w:val="22"/>
          <w:lang w:val="fr-FR"/>
        </w:rPr>
        <w:t>activité</w:t>
      </w:r>
      <w:r w:rsidR="00890F11" w:rsidRPr="00093B90">
        <w:rPr>
          <w:rFonts w:cs="Arial"/>
          <w:sz w:val="22"/>
          <w:szCs w:val="22"/>
          <w:lang w:val="fr-FR"/>
        </w:rPr>
        <w:t xml:space="preserve">s </w:t>
      </w:r>
      <w:r w:rsidR="00093B90">
        <w:rPr>
          <w:rFonts w:cs="Arial"/>
          <w:sz w:val="22"/>
          <w:szCs w:val="22"/>
          <w:lang w:val="fr-FR"/>
        </w:rPr>
        <w:t>visan</w:t>
      </w:r>
      <w:r>
        <w:rPr>
          <w:rFonts w:cs="Arial"/>
          <w:sz w:val="22"/>
          <w:szCs w:val="22"/>
          <w:lang w:val="fr-FR"/>
        </w:rPr>
        <w:t>t à approfondir</w:t>
      </w:r>
      <w:r w:rsidR="00093B90">
        <w:rPr>
          <w:rFonts w:cs="Arial"/>
          <w:sz w:val="22"/>
          <w:szCs w:val="22"/>
          <w:lang w:val="fr-FR"/>
        </w:rPr>
        <w:t xml:space="preserve"> les connaissances sur les Etats de l’aire de répartitio</w:t>
      </w:r>
      <w:r>
        <w:rPr>
          <w:rFonts w:cs="Arial"/>
          <w:sz w:val="22"/>
          <w:szCs w:val="22"/>
          <w:lang w:val="fr-FR"/>
        </w:rPr>
        <w:t>n se trouvant à l’est de cette zone</w:t>
      </w:r>
      <w:r w:rsidR="00890F11" w:rsidRPr="00093B90">
        <w:rPr>
          <w:rFonts w:cs="Arial"/>
          <w:sz w:val="22"/>
          <w:szCs w:val="22"/>
          <w:lang w:val="fr-FR"/>
        </w:rPr>
        <w:t xml:space="preserve">. </w:t>
      </w:r>
      <w:r w:rsidR="00093B90">
        <w:rPr>
          <w:rFonts w:cs="Arial"/>
          <w:sz w:val="22"/>
          <w:szCs w:val="22"/>
          <w:lang w:val="fr-FR"/>
        </w:rPr>
        <w:t>L’air</w:t>
      </w:r>
      <w:r>
        <w:rPr>
          <w:rFonts w:cs="Arial"/>
          <w:sz w:val="22"/>
          <w:szCs w:val="22"/>
          <w:lang w:val="fr-FR"/>
        </w:rPr>
        <w:t>e de reproduction de la T</w:t>
      </w:r>
      <w:r w:rsidR="00093B90" w:rsidRPr="00093B90">
        <w:rPr>
          <w:rFonts w:cs="Arial"/>
          <w:sz w:val="22"/>
          <w:szCs w:val="22"/>
          <w:lang w:val="fr-FR"/>
        </w:rPr>
        <w:t xml:space="preserve">ourterelle des bois </w:t>
      </w:r>
      <w:r w:rsidR="005A2E8C" w:rsidRPr="00093B90">
        <w:rPr>
          <w:rFonts w:cs="Arial"/>
          <w:sz w:val="22"/>
          <w:szCs w:val="22"/>
          <w:lang w:val="fr-FR"/>
        </w:rPr>
        <w:t>(</w:t>
      </w:r>
      <w:r w:rsidR="00093B90" w:rsidRPr="00093B90">
        <w:rPr>
          <w:rFonts w:cs="Arial"/>
          <w:sz w:val="22"/>
          <w:szCs w:val="22"/>
          <w:lang w:val="fr-FR"/>
        </w:rPr>
        <w:t xml:space="preserve">y </w:t>
      </w:r>
      <w:r w:rsidR="00093B90">
        <w:rPr>
          <w:rFonts w:cs="Arial"/>
          <w:sz w:val="22"/>
          <w:szCs w:val="22"/>
          <w:lang w:val="fr-FR"/>
        </w:rPr>
        <w:t>compris ses quatre sous-espèces</w:t>
      </w:r>
      <w:r w:rsidR="005A2E8C" w:rsidRPr="00093B90">
        <w:rPr>
          <w:rFonts w:cs="Arial"/>
          <w:sz w:val="22"/>
          <w:szCs w:val="22"/>
          <w:lang w:val="fr-FR"/>
        </w:rPr>
        <w:t>) s</w:t>
      </w:r>
      <w:r>
        <w:rPr>
          <w:rFonts w:cs="Arial"/>
          <w:sz w:val="22"/>
          <w:szCs w:val="22"/>
          <w:lang w:val="fr-FR"/>
        </w:rPr>
        <w:t>’étend de</w:t>
      </w:r>
      <w:r w:rsidR="00093B90">
        <w:rPr>
          <w:rFonts w:cs="Arial"/>
          <w:sz w:val="22"/>
          <w:szCs w:val="22"/>
          <w:lang w:val="fr-FR"/>
        </w:rPr>
        <w:t xml:space="preserve"> l’Europe de l’Oues</w:t>
      </w:r>
      <w:r>
        <w:rPr>
          <w:rFonts w:cs="Arial"/>
          <w:sz w:val="22"/>
          <w:szCs w:val="22"/>
          <w:lang w:val="fr-FR"/>
        </w:rPr>
        <w:t xml:space="preserve">t et l’Afrique du Nord vers l’est, </w:t>
      </w:r>
      <w:r w:rsidR="00093B90">
        <w:rPr>
          <w:rFonts w:cs="Arial"/>
          <w:sz w:val="22"/>
          <w:szCs w:val="22"/>
          <w:lang w:val="fr-FR"/>
        </w:rPr>
        <w:t>jusque dans le nord-ouest de la Chine</w:t>
      </w:r>
      <w:r w:rsidR="005A2E8C" w:rsidRPr="00093B90">
        <w:rPr>
          <w:rFonts w:cs="Arial"/>
          <w:sz w:val="22"/>
          <w:szCs w:val="22"/>
          <w:lang w:val="fr-FR"/>
        </w:rPr>
        <w:t xml:space="preserve">. </w:t>
      </w:r>
      <w:r w:rsidR="00093B90" w:rsidRPr="00093B90">
        <w:rPr>
          <w:rFonts w:cs="Arial"/>
          <w:sz w:val="22"/>
          <w:szCs w:val="22"/>
          <w:lang w:val="fr-FR"/>
        </w:rPr>
        <w:t>La</w:t>
      </w:r>
      <w:r w:rsidR="005A2E8C" w:rsidRPr="00093B90">
        <w:rPr>
          <w:rFonts w:cs="Arial"/>
          <w:sz w:val="22"/>
          <w:szCs w:val="22"/>
          <w:lang w:val="fr-FR"/>
        </w:rPr>
        <w:t xml:space="preserve"> population </w:t>
      </w:r>
      <w:r>
        <w:rPr>
          <w:rFonts w:cs="Arial"/>
          <w:sz w:val="22"/>
          <w:szCs w:val="22"/>
          <w:lang w:val="fr-FR"/>
        </w:rPr>
        <w:t>reprod</w:t>
      </w:r>
      <w:r w:rsidR="00E54718">
        <w:rPr>
          <w:rFonts w:cs="Arial"/>
          <w:sz w:val="22"/>
          <w:szCs w:val="22"/>
          <w:lang w:val="fr-FR"/>
        </w:rPr>
        <w:t xml:space="preserve">uctrice est estimée </w:t>
      </w:r>
      <w:r>
        <w:rPr>
          <w:rFonts w:cs="Arial"/>
          <w:sz w:val="22"/>
          <w:szCs w:val="22"/>
          <w:lang w:val="fr-FR"/>
        </w:rPr>
        <w:t>entre</w:t>
      </w:r>
      <w:r w:rsidR="00093B90" w:rsidRPr="00093B90">
        <w:rPr>
          <w:rFonts w:cs="Arial"/>
          <w:sz w:val="22"/>
          <w:szCs w:val="22"/>
          <w:lang w:val="fr-FR"/>
        </w:rPr>
        <w:t xml:space="preserve"> 2,</w:t>
      </w:r>
      <w:r w:rsidR="005A2E8C" w:rsidRPr="00093B90">
        <w:rPr>
          <w:rFonts w:cs="Arial"/>
          <w:sz w:val="22"/>
          <w:szCs w:val="22"/>
          <w:lang w:val="fr-FR"/>
        </w:rPr>
        <w:t>4</w:t>
      </w:r>
      <w:r w:rsidR="003F6C6E" w:rsidRPr="00093B90">
        <w:rPr>
          <w:rFonts w:cs="Arial"/>
          <w:sz w:val="22"/>
          <w:szCs w:val="22"/>
          <w:lang w:val="fr-FR"/>
        </w:rPr>
        <w:t xml:space="preserve"> million</w:t>
      </w:r>
      <w:r w:rsidR="00093B90" w:rsidRPr="00093B90">
        <w:rPr>
          <w:rFonts w:cs="Arial"/>
          <w:sz w:val="22"/>
          <w:szCs w:val="22"/>
          <w:lang w:val="fr-FR"/>
        </w:rPr>
        <w:t>s et 4,</w:t>
      </w:r>
      <w:r w:rsidR="005A2E8C" w:rsidRPr="00093B90">
        <w:rPr>
          <w:rFonts w:cs="Arial"/>
          <w:sz w:val="22"/>
          <w:szCs w:val="22"/>
          <w:lang w:val="fr-FR"/>
        </w:rPr>
        <w:t>2 million</w:t>
      </w:r>
      <w:r>
        <w:rPr>
          <w:rFonts w:cs="Arial"/>
          <w:sz w:val="22"/>
          <w:szCs w:val="22"/>
          <w:lang w:val="fr-FR"/>
        </w:rPr>
        <w:t xml:space="preserve">s d’oiseaux </w:t>
      </w:r>
      <w:r w:rsidR="00E54718">
        <w:rPr>
          <w:rFonts w:cs="Arial"/>
          <w:sz w:val="22"/>
          <w:szCs w:val="22"/>
          <w:lang w:val="fr-FR"/>
        </w:rPr>
        <w:t>dans la zone de l’</w:t>
      </w:r>
      <w:r w:rsidR="00093B90" w:rsidRPr="00093B90">
        <w:rPr>
          <w:rFonts w:cs="Arial"/>
          <w:sz w:val="22"/>
          <w:szCs w:val="22"/>
          <w:lang w:val="fr-FR"/>
        </w:rPr>
        <w:t>Union européenne, soit environ</w:t>
      </w:r>
      <w:r w:rsidR="005A2E8C" w:rsidRPr="00093B90">
        <w:rPr>
          <w:rFonts w:cs="Arial"/>
          <w:sz w:val="22"/>
          <w:szCs w:val="22"/>
          <w:lang w:val="fr-FR"/>
        </w:rPr>
        <w:t xml:space="preserve"> 75</w:t>
      </w:r>
      <w:r w:rsidR="00093B90" w:rsidRPr="00093B90">
        <w:rPr>
          <w:rFonts w:cs="Arial"/>
          <w:sz w:val="22"/>
          <w:szCs w:val="22"/>
          <w:lang w:val="fr-FR"/>
        </w:rPr>
        <w:t>%</w:t>
      </w:r>
      <w:r w:rsidR="00E54718">
        <w:rPr>
          <w:rFonts w:cs="Arial"/>
          <w:sz w:val="22"/>
          <w:szCs w:val="22"/>
          <w:lang w:val="fr-FR"/>
        </w:rPr>
        <w:t xml:space="preserve"> du total de</w:t>
      </w:r>
      <w:r w:rsidR="00093B90">
        <w:rPr>
          <w:rFonts w:cs="Arial"/>
          <w:sz w:val="22"/>
          <w:szCs w:val="22"/>
          <w:lang w:val="fr-FR"/>
        </w:rPr>
        <w:t xml:space="preserve"> 2,</w:t>
      </w:r>
      <w:r w:rsidR="005A2E8C" w:rsidRPr="00093B90">
        <w:rPr>
          <w:rFonts w:cs="Arial"/>
          <w:sz w:val="22"/>
          <w:szCs w:val="22"/>
          <w:lang w:val="fr-FR"/>
        </w:rPr>
        <w:t xml:space="preserve">9 </w:t>
      </w:r>
      <w:r w:rsidR="003F6C6E" w:rsidRPr="00093B90">
        <w:rPr>
          <w:rFonts w:cs="Arial"/>
          <w:sz w:val="22"/>
          <w:szCs w:val="22"/>
          <w:lang w:val="fr-FR"/>
        </w:rPr>
        <w:t>million</w:t>
      </w:r>
      <w:r w:rsidR="00093B90">
        <w:rPr>
          <w:rFonts w:cs="Arial"/>
          <w:sz w:val="22"/>
          <w:szCs w:val="22"/>
          <w:lang w:val="fr-FR"/>
        </w:rPr>
        <w:t>s</w:t>
      </w:r>
      <w:r w:rsidR="003F6C6E" w:rsidRPr="00093B90">
        <w:rPr>
          <w:rFonts w:cs="Arial"/>
          <w:sz w:val="22"/>
          <w:szCs w:val="22"/>
          <w:lang w:val="fr-FR"/>
        </w:rPr>
        <w:t xml:space="preserve"> </w:t>
      </w:r>
      <w:r w:rsidR="00E54718">
        <w:rPr>
          <w:rFonts w:cs="Arial"/>
          <w:sz w:val="22"/>
          <w:szCs w:val="22"/>
          <w:lang w:val="fr-FR"/>
        </w:rPr>
        <w:t xml:space="preserve">à </w:t>
      </w:r>
      <w:r w:rsidR="00093B90">
        <w:rPr>
          <w:rFonts w:cs="Arial"/>
          <w:sz w:val="22"/>
          <w:szCs w:val="22"/>
          <w:lang w:val="fr-FR"/>
        </w:rPr>
        <w:t>5,</w:t>
      </w:r>
      <w:r w:rsidR="00E54718">
        <w:rPr>
          <w:rFonts w:cs="Arial"/>
          <w:sz w:val="22"/>
          <w:szCs w:val="22"/>
          <w:lang w:val="fr-FR"/>
        </w:rPr>
        <w:t>6 </w:t>
      </w:r>
      <w:r w:rsidR="005A2E8C" w:rsidRPr="00093B90">
        <w:rPr>
          <w:rFonts w:cs="Arial"/>
          <w:sz w:val="22"/>
          <w:szCs w:val="22"/>
          <w:lang w:val="fr-FR"/>
        </w:rPr>
        <w:t>million</w:t>
      </w:r>
      <w:r w:rsidR="00093B90">
        <w:rPr>
          <w:rFonts w:cs="Arial"/>
          <w:sz w:val="22"/>
          <w:szCs w:val="22"/>
          <w:lang w:val="fr-FR"/>
        </w:rPr>
        <w:t>s de couple</w:t>
      </w:r>
      <w:r w:rsidR="005A2E8C" w:rsidRPr="00093B90">
        <w:rPr>
          <w:rFonts w:cs="Arial"/>
          <w:sz w:val="22"/>
          <w:szCs w:val="22"/>
          <w:lang w:val="fr-FR"/>
        </w:rPr>
        <w:t>s</w:t>
      </w:r>
      <w:r w:rsidR="00CD6DE1">
        <w:rPr>
          <w:rFonts w:cs="Arial"/>
          <w:sz w:val="22"/>
          <w:szCs w:val="22"/>
          <w:lang w:val="fr-FR"/>
        </w:rPr>
        <w:t xml:space="preserve"> </w:t>
      </w:r>
      <w:r w:rsidR="00E54718">
        <w:rPr>
          <w:rFonts w:cs="Arial"/>
          <w:sz w:val="22"/>
          <w:szCs w:val="22"/>
          <w:lang w:val="fr-FR"/>
        </w:rPr>
        <w:t>en Europe</w:t>
      </w:r>
      <w:r w:rsidR="00253BC1" w:rsidRPr="00093B90">
        <w:rPr>
          <w:rFonts w:cs="Arial"/>
          <w:sz w:val="22"/>
          <w:szCs w:val="22"/>
          <w:lang w:val="fr-FR"/>
        </w:rPr>
        <w:t xml:space="preserve">. </w:t>
      </w:r>
      <w:r w:rsidR="00093B90" w:rsidRPr="00093B90">
        <w:rPr>
          <w:rFonts w:cs="Arial"/>
          <w:sz w:val="22"/>
          <w:szCs w:val="22"/>
          <w:lang w:val="fr-FR"/>
        </w:rPr>
        <w:t xml:space="preserve">La </w:t>
      </w:r>
      <w:r w:rsidR="005A2E8C" w:rsidRPr="00093B90">
        <w:rPr>
          <w:rFonts w:cs="Arial"/>
          <w:sz w:val="22"/>
          <w:szCs w:val="22"/>
          <w:lang w:val="fr-FR"/>
        </w:rPr>
        <w:t xml:space="preserve">population </w:t>
      </w:r>
      <w:r w:rsidR="00093B90" w:rsidRPr="00093B90">
        <w:rPr>
          <w:rFonts w:cs="Arial"/>
          <w:sz w:val="22"/>
          <w:szCs w:val="22"/>
          <w:lang w:val="fr-FR"/>
        </w:rPr>
        <w:t xml:space="preserve">mondiale </w:t>
      </w:r>
      <w:r w:rsidR="00CD6DE1">
        <w:rPr>
          <w:rFonts w:cs="Arial"/>
          <w:sz w:val="22"/>
          <w:szCs w:val="22"/>
          <w:lang w:val="fr-FR"/>
        </w:rPr>
        <w:t>de Tourte</w:t>
      </w:r>
      <w:r w:rsidR="00DB5B0C">
        <w:rPr>
          <w:rFonts w:cs="Arial"/>
          <w:sz w:val="22"/>
          <w:szCs w:val="22"/>
          <w:lang w:val="fr-FR"/>
        </w:rPr>
        <w:t>re</w:t>
      </w:r>
      <w:r w:rsidR="00CD6DE1">
        <w:rPr>
          <w:rFonts w:cs="Arial"/>
          <w:sz w:val="22"/>
          <w:szCs w:val="22"/>
          <w:lang w:val="fr-FR"/>
        </w:rPr>
        <w:t xml:space="preserve">lle des bois </w:t>
      </w:r>
      <w:r w:rsidR="00093B90" w:rsidRPr="00093B90">
        <w:rPr>
          <w:rFonts w:cs="Arial"/>
          <w:sz w:val="22"/>
          <w:szCs w:val="22"/>
          <w:lang w:val="fr-FR"/>
        </w:rPr>
        <w:t xml:space="preserve">est estimée entre </w:t>
      </w:r>
      <w:r w:rsidR="005A2E8C" w:rsidRPr="00093B90">
        <w:rPr>
          <w:rFonts w:cs="Arial"/>
          <w:sz w:val="22"/>
          <w:szCs w:val="22"/>
          <w:lang w:val="fr-FR"/>
        </w:rPr>
        <w:t xml:space="preserve">13 </w:t>
      </w:r>
      <w:r w:rsidR="00093B90" w:rsidRPr="00093B90">
        <w:rPr>
          <w:rFonts w:cs="Arial"/>
          <w:sz w:val="22"/>
          <w:szCs w:val="22"/>
          <w:lang w:val="fr-FR"/>
        </w:rPr>
        <w:t>et</w:t>
      </w:r>
      <w:r w:rsidR="005A2E8C" w:rsidRPr="00093B90">
        <w:rPr>
          <w:rFonts w:cs="Arial"/>
          <w:sz w:val="22"/>
          <w:szCs w:val="22"/>
          <w:lang w:val="fr-FR"/>
        </w:rPr>
        <w:t xml:space="preserve"> 48 million</w:t>
      </w:r>
      <w:r w:rsidR="00093B90" w:rsidRPr="00093B90">
        <w:rPr>
          <w:rFonts w:cs="Arial"/>
          <w:sz w:val="22"/>
          <w:szCs w:val="22"/>
          <w:lang w:val="fr-FR"/>
        </w:rPr>
        <w:t>s de</w:t>
      </w:r>
      <w:r w:rsidR="00093B90">
        <w:rPr>
          <w:rFonts w:cs="Arial"/>
          <w:sz w:val="22"/>
          <w:szCs w:val="22"/>
          <w:lang w:val="fr-FR"/>
        </w:rPr>
        <w:t xml:space="preserve"> couple</w:t>
      </w:r>
      <w:r w:rsidR="005A2E8C" w:rsidRPr="00093B90">
        <w:rPr>
          <w:rFonts w:cs="Arial"/>
          <w:sz w:val="22"/>
          <w:szCs w:val="22"/>
          <w:lang w:val="fr-FR"/>
        </w:rPr>
        <w:t>s.</w:t>
      </w:r>
      <w:r w:rsidR="00093B90">
        <w:rPr>
          <w:rFonts w:cs="Arial"/>
          <w:sz w:val="20"/>
          <w:szCs w:val="20"/>
          <w:lang w:val="fr-FR"/>
        </w:rPr>
        <w:t xml:space="preserve"> </w:t>
      </w:r>
      <w:r w:rsidR="00093B90" w:rsidRPr="00093B90">
        <w:rPr>
          <w:rFonts w:cs="Arial"/>
          <w:sz w:val="22"/>
          <w:szCs w:val="22"/>
          <w:lang w:val="fr-FR"/>
        </w:rPr>
        <w:t xml:space="preserve">Les oiseaux migrent vers l’Afrique sub-saharienne pour hiverner, en utilisant au moins trois itinéraires </w:t>
      </w:r>
      <w:r w:rsidR="00E54718">
        <w:rPr>
          <w:rFonts w:cs="Arial"/>
          <w:sz w:val="22"/>
          <w:szCs w:val="22"/>
          <w:lang w:val="fr-FR"/>
        </w:rPr>
        <w:t xml:space="preserve">différents </w:t>
      </w:r>
      <w:r w:rsidR="00093B90" w:rsidRPr="00093B90">
        <w:rPr>
          <w:rFonts w:cs="Arial"/>
          <w:sz w:val="22"/>
          <w:szCs w:val="22"/>
          <w:lang w:val="fr-FR"/>
        </w:rPr>
        <w:t>au-dessus de la Méditerranée</w:t>
      </w:r>
      <w:r w:rsidR="005A2E8C" w:rsidRPr="00093B90">
        <w:rPr>
          <w:rFonts w:cs="Arial"/>
          <w:sz w:val="22"/>
          <w:szCs w:val="22"/>
          <w:lang w:val="fr-FR"/>
        </w:rPr>
        <w:t xml:space="preserve">. </w:t>
      </w:r>
      <w:r w:rsidR="00CD6DE1">
        <w:rPr>
          <w:rFonts w:cs="Arial"/>
          <w:sz w:val="22"/>
          <w:szCs w:val="22"/>
          <w:lang w:val="fr-FR"/>
        </w:rPr>
        <w:t>La Tourterelle des bois</w:t>
      </w:r>
      <w:r w:rsidR="00E54718">
        <w:rPr>
          <w:rFonts w:cs="Arial"/>
          <w:sz w:val="22"/>
          <w:szCs w:val="22"/>
          <w:lang w:val="fr-FR"/>
        </w:rPr>
        <w:t xml:space="preserve"> est i</w:t>
      </w:r>
      <w:r w:rsidR="00093B90" w:rsidRPr="00093B90">
        <w:rPr>
          <w:rFonts w:cs="Arial"/>
          <w:sz w:val="22"/>
          <w:szCs w:val="22"/>
          <w:lang w:val="fr-FR"/>
        </w:rPr>
        <w:t>nscrite à l’</w:t>
      </w:r>
      <w:r w:rsidR="005A2E8C" w:rsidRPr="00093B90">
        <w:rPr>
          <w:rFonts w:cs="Arial"/>
          <w:sz w:val="22"/>
          <w:szCs w:val="22"/>
          <w:lang w:val="fr-FR"/>
        </w:rPr>
        <w:t>Annex</w:t>
      </w:r>
      <w:r w:rsidR="00093B90" w:rsidRPr="00093B90">
        <w:rPr>
          <w:rFonts w:cs="Arial"/>
          <w:sz w:val="22"/>
          <w:szCs w:val="22"/>
          <w:lang w:val="fr-FR"/>
        </w:rPr>
        <w:t>e II/2 de la Directive</w:t>
      </w:r>
      <w:r w:rsidR="00093B90">
        <w:rPr>
          <w:rFonts w:cs="Arial"/>
          <w:sz w:val="22"/>
          <w:szCs w:val="22"/>
          <w:lang w:val="fr-FR"/>
        </w:rPr>
        <w:t xml:space="preserve"> UE</w:t>
      </w:r>
      <w:r w:rsidR="005A2E8C" w:rsidRPr="00093B90">
        <w:rPr>
          <w:rFonts w:cs="Arial"/>
          <w:sz w:val="22"/>
          <w:szCs w:val="22"/>
          <w:lang w:val="fr-FR"/>
        </w:rPr>
        <w:t xml:space="preserve">, </w:t>
      </w:r>
      <w:r w:rsidR="00E54718">
        <w:rPr>
          <w:rFonts w:cs="Arial"/>
          <w:sz w:val="22"/>
          <w:szCs w:val="22"/>
          <w:lang w:val="fr-FR"/>
        </w:rPr>
        <w:t xml:space="preserve">et </w:t>
      </w:r>
      <w:r w:rsidR="00CD6DE1">
        <w:rPr>
          <w:rFonts w:cs="Arial"/>
          <w:sz w:val="22"/>
          <w:szCs w:val="22"/>
          <w:lang w:val="fr-FR"/>
        </w:rPr>
        <w:t>s</w:t>
      </w:r>
      <w:r w:rsidR="00E54718">
        <w:rPr>
          <w:rFonts w:cs="Arial"/>
          <w:sz w:val="22"/>
          <w:szCs w:val="22"/>
          <w:lang w:val="fr-FR"/>
        </w:rPr>
        <w:t xml:space="preserve">a chasse </w:t>
      </w:r>
      <w:r w:rsidR="00093B90">
        <w:rPr>
          <w:rFonts w:cs="Arial"/>
          <w:sz w:val="22"/>
          <w:szCs w:val="22"/>
          <w:lang w:val="fr-FR"/>
        </w:rPr>
        <w:t xml:space="preserve">est autorisée dans </w:t>
      </w:r>
      <w:r w:rsidR="00D24D5F" w:rsidRPr="00093B90">
        <w:rPr>
          <w:rFonts w:cs="Arial"/>
          <w:sz w:val="22"/>
          <w:szCs w:val="22"/>
          <w:lang w:val="fr-FR"/>
        </w:rPr>
        <w:t xml:space="preserve">11 </w:t>
      </w:r>
      <w:r w:rsidR="00093B90">
        <w:rPr>
          <w:rFonts w:cs="Arial"/>
          <w:sz w:val="22"/>
          <w:szCs w:val="22"/>
          <w:lang w:val="fr-FR"/>
        </w:rPr>
        <w:t>Etats memb</w:t>
      </w:r>
      <w:r w:rsidR="005A2E8C" w:rsidRPr="00093B90">
        <w:rPr>
          <w:rFonts w:cs="Arial"/>
          <w:sz w:val="22"/>
          <w:szCs w:val="22"/>
          <w:lang w:val="fr-FR"/>
        </w:rPr>
        <w:t>r</w:t>
      </w:r>
      <w:r w:rsidR="00093B90">
        <w:rPr>
          <w:rFonts w:cs="Arial"/>
          <w:sz w:val="22"/>
          <w:szCs w:val="22"/>
          <w:lang w:val="fr-FR"/>
        </w:rPr>
        <w:t>es de l’Union européenne</w:t>
      </w:r>
      <w:r w:rsidR="00D24D5F" w:rsidRPr="00093B90">
        <w:rPr>
          <w:rFonts w:cs="Arial"/>
          <w:sz w:val="22"/>
          <w:szCs w:val="22"/>
          <w:lang w:val="fr-FR"/>
        </w:rPr>
        <w:t xml:space="preserve">. </w:t>
      </w:r>
      <w:r w:rsidR="00093B90">
        <w:rPr>
          <w:rFonts w:cs="Arial"/>
          <w:sz w:val="22"/>
          <w:szCs w:val="22"/>
          <w:lang w:val="fr-FR"/>
        </w:rPr>
        <w:t>Les prélèvements dans</w:t>
      </w:r>
      <w:r w:rsidR="00CD6DE1">
        <w:rPr>
          <w:rFonts w:cs="Arial"/>
          <w:sz w:val="22"/>
          <w:szCs w:val="22"/>
          <w:lang w:val="fr-FR"/>
        </w:rPr>
        <w:t xml:space="preserve"> ces pays sont estimés supérieurs à</w:t>
      </w:r>
      <w:r w:rsidR="00093B90">
        <w:rPr>
          <w:rFonts w:cs="Arial"/>
          <w:sz w:val="22"/>
          <w:szCs w:val="22"/>
          <w:lang w:val="fr-FR"/>
        </w:rPr>
        <w:t xml:space="preserve"> deux </w:t>
      </w:r>
      <w:r w:rsidR="005A2E8C" w:rsidRPr="00093B90">
        <w:rPr>
          <w:rFonts w:cs="Arial"/>
          <w:sz w:val="22"/>
          <w:szCs w:val="22"/>
          <w:lang w:val="fr-FR"/>
        </w:rPr>
        <w:t>million</w:t>
      </w:r>
      <w:r w:rsidR="00093B90">
        <w:rPr>
          <w:rFonts w:cs="Arial"/>
          <w:sz w:val="22"/>
          <w:szCs w:val="22"/>
          <w:lang w:val="fr-FR"/>
        </w:rPr>
        <w:t>s d’oiseaux chaque année</w:t>
      </w:r>
      <w:r w:rsidR="00D24D5F" w:rsidRPr="00093B90">
        <w:rPr>
          <w:rFonts w:cs="Arial"/>
          <w:sz w:val="22"/>
          <w:szCs w:val="22"/>
          <w:lang w:val="fr-FR"/>
        </w:rPr>
        <w:t xml:space="preserve">. </w:t>
      </w:r>
      <w:r w:rsidR="00DB5B0C">
        <w:rPr>
          <w:rFonts w:cs="Arial"/>
          <w:sz w:val="22"/>
          <w:szCs w:val="22"/>
          <w:lang w:val="fr-FR"/>
        </w:rPr>
        <w:t>En raison de différentes</w:t>
      </w:r>
      <w:r w:rsidR="00E963E7" w:rsidRPr="00E963E7">
        <w:rPr>
          <w:rFonts w:cs="Arial"/>
          <w:sz w:val="22"/>
          <w:szCs w:val="22"/>
          <w:lang w:val="fr-FR"/>
        </w:rPr>
        <w:t xml:space="preserve"> menaces, les </w:t>
      </w:r>
      <w:r w:rsidR="008A61D1" w:rsidRPr="00E963E7">
        <w:rPr>
          <w:rFonts w:cs="Arial"/>
          <w:sz w:val="22"/>
          <w:szCs w:val="22"/>
          <w:lang w:val="fr-FR"/>
        </w:rPr>
        <w:t>p</w:t>
      </w:r>
      <w:r w:rsidR="00D24D5F" w:rsidRPr="00E963E7">
        <w:rPr>
          <w:rFonts w:cs="Arial"/>
          <w:sz w:val="22"/>
          <w:szCs w:val="22"/>
          <w:lang w:val="fr-FR"/>
        </w:rPr>
        <w:t xml:space="preserve">opulations </w:t>
      </w:r>
      <w:r w:rsidR="00DB5B0C">
        <w:rPr>
          <w:rFonts w:cs="Arial"/>
          <w:sz w:val="22"/>
          <w:szCs w:val="22"/>
          <w:lang w:val="fr-FR"/>
        </w:rPr>
        <w:t>connaissent un</w:t>
      </w:r>
      <w:r w:rsidR="00E963E7" w:rsidRPr="00E963E7">
        <w:rPr>
          <w:rFonts w:cs="Arial"/>
          <w:sz w:val="22"/>
          <w:szCs w:val="22"/>
          <w:lang w:val="fr-FR"/>
        </w:rPr>
        <w:t xml:space="preserve"> déclin depuis les années </w:t>
      </w:r>
      <w:r w:rsidR="00E963E7">
        <w:rPr>
          <w:rFonts w:cs="Arial"/>
          <w:sz w:val="22"/>
          <w:szCs w:val="22"/>
          <w:lang w:val="fr-FR"/>
        </w:rPr>
        <w:t>1970</w:t>
      </w:r>
      <w:r w:rsidR="00D417C2" w:rsidRPr="00E963E7">
        <w:rPr>
          <w:rFonts w:cs="Arial"/>
          <w:sz w:val="22"/>
          <w:szCs w:val="22"/>
          <w:lang w:val="fr-FR"/>
        </w:rPr>
        <w:t xml:space="preserve">, </w:t>
      </w:r>
      <w:r w:rsidR="00DB5B0C">
        <w:rPr>
          <w:rFonts w:cs="Arial"/>
          <w:sz w:val="22"/>
          <w:szCs w:val="22"/>
          <w:lang w:val="fr-FR"/>
        </w:rPr>
        <w:t xml:space="preserve">dont </w:t>
      </w:r>
      <w:r w:rsidR="00E963E7">
        <w:rPr>
          <w:rFonts w:cs="Arial"/>
          <w:sz w:val="22"/>
          <w:szCs w:val="22"/>
          <w:lang w:val="fr-FR"/>
        </w:rPr>
        <w:t xml:space="preserve">un déclin de </w:t>
      </w:r>
      <w:r w:rsidR="00D417C2" w:rsidRPr="00E963E7">
        <w:rPr>
          <w:rFonts w:cs="Arial"/>
          <w:sz w:val="22"/>
          <w:szCs w:val="22"/>
          <w:lang w:val="fr-FR"/>
        </w:rPr>
        <w:t>79</w:t>
      </w:r>
      <w:r w:rsidR="00E963E7">
        <w:rPr>
          <w:rFonts w:cs="Arial"/>
          <w:sz w:val="22"/>
          <w:szCs w:val="22"/>
          <w:lang w:val="fr-FR"/>
        </w:rPr>
        <w:t>% e</w:t>
      </w:r>
      <w:r w:rsidR="00D417C2" w:rsidRPr="00E963E7">
        <w:rPr>
          <w:rFonts w:cs="Arial"/>
          <w:sz w:val="22"/>
          <w:szCs w:val="22"/>
          <w:lang w:val="fr-FR"/>
        </w:rPr>
        <w:t xml:space="preserve">n Europe </w:t>
      </w:r>
      <w:r w:rsidR="00DB5B0C">
        <w:rPr>
          <w:rFonts w:cs="Arial"/>
          <w:sz w:val="22"/>
          <w:szCs w:val="22"/>
          <w:lang w:val="fr-FR"/>
        </w:rPr>
        <w:t>et un déclin pouvant dépasser</w:t>
      </w:r>
      <w:r w:rsidR="00E963E7">
        <w:rPr>
          <w:rFonts w:cs="Arial"/>
          <w:sz w:val="22"/>
          <w:szCs w:val="22"/>
          <w:lang w:val="fr-FR"/>
        </w:rPr>
        <w:t xml:space="preserve"> </w:t>
      </w:r>
      <w:r w:rsidR="00E27689" w:rsidRPr="00E963E7">
        <w:rPr>
          <w:rFonts w:cs="Arial"/>
          <w:sz w:val="22"/>
          <w:szCs w:val="22"/>
          <w:lang w:val="fr-FR"/>
        </w:rPr>
        <w:t>90</w:t>
      </w:r>
      <w:r w:rsidR="00DB5B0C">
        <w:rPr>
          <w:rFonts w:cs="Arial"/>
          <w:sz w:val="22"/>
          <w:szCs w:val="22"/>
          <w:lang w:val="fr-FR"/>
        </w:rPr>
        <w:t xml:space="preserve">% </w:t>
      </w:r>
      <w:r w:rsidR="00E963E7">
        <w:rPr>
          <w:rFonts w:cs="Arial"/>
          <w:sz w:val="22"/>
          <w:szCs w:val="22"/>
          <w:lang w:val="fr-FR"/>
        </w:rPr>
        <w:t xml:space="preserve">à l’extérieur de l’Union européenne entre 1980 et </w:t>
      </w:r>
      <w:r w:rsidR="00D417C2" w:rsidRPr="00E963E7">
        <w:rPr>
          <w:rFonts w:cs="Arial"/>
          <w:sz w:val="22"/>
          <w:szCs w:val="22"/>
          <w:lang w:val="fr-FR"/>
        </w:rPr>
        <w:t>2014</w:t>
      </w:r>
      <w:r w:rsidR="00791680" w:rsidRPr="00E963E7">
        <w:rPr>
          <w:rFonts w:cs="Arial"/>
          <w:sz w:val="22"/>
          <w:szCs w:val="22"/>
          <w:lang w:val="fr-FR"/>
        </w:rPr>
        <w:t>.</w:t>
      </w:r>
    </w:p>
    <w:p w14:paraId="10F11F00" w14:textId="77777777" w:rsidR="00B75124" w:rsidRPr="00E963E7" w:rsidRDefault="00B75124" w:rsidP="00B75124">
      <w:pPr>
        <w:pStyle w:val="ListParagraph"/>
        <w:rPr>
          <w:rFonts w:cs="Arial"/>
          <w:sz w:val="22"/>
          <w:szCs w:val="22"/>
          <w:lang w:val="fr-FR"/>
        </w:rPr>
      </w:pPr>
    </w:p>
    <w:p w14:paraId="72467B74" w14:textId="1774FB8A" w:rsidR="00B75124" w:rsidRPr="00E963E7" w:rsidRDefault="004D084A" w:rsidP="00B75124">
      <w:pPr>
        <w:numPr>
          <w:ilvl w:val="0"/>
          <w:numId w:val="2"/>
        </w:numPr>
        <w:contextualSpacing/>
        <w:jc w:val="both"/>
        <w:rPr>
          <w:rFonts w:cs="Arial"/>
          <w:sz w:val="22"/>
          <w:szCs w:val="22"/>
          <w:lang w:val="fr-FR"/>
        </w:rPr>
      </w:pPr>
      <w:r w:rsidRPr="00E963E7">
        <w:rPr>
          <w:rFonts w:cs="Arial"/>
          <w:sz w:val="22"/>
          <w:szCs w:val="22"/>
          <w:lang w:val="fr-FR"/>
        </w:rPr>
        <w:t>Deux ateliers internationaux</w:t>
      </w:r>
      <w:r w:rsidR="00B75124" w:rsidRPr="00E963E7">
        <w:rPr>
          <w:rFonts w:cs="Arial"/>
          <w:sz w:val="22"/>
          <w:szCs w:val="22"/>
          <w:lang w:val="fr-FR"/>
        </w:rPr>
        <w:t xml:space="preserve"> </w:t>
      </w:r>
      <w:r w:rsidR="00DB5B0C">
        <w:rPr>
          <w:rFonts w:cs="Arial"/>
          <w:sz w:val="22"/>
          <w:szCs w:val="22"/>
          <w:lang w:val="fr-FR"/>
        </w:rPr>
        <w:t>sur la Tourterelle des bois ont été organisés :</w:t>
      </w:r>
      <w:r w:rsidR="00E963E7" w:rsidRPr="00E963E7">
        <w:rPr>
          <w:rFonts w:cs="Arial"/>
          <w:sz w:val="22"/>
          <w:szCs w:val="22"/>
          <w:lang w:val="fr-FR"/>
        </w:rPr>
        <w:t xml:space="preserve"> un atelier pour la voie de migration occidentale</w:t>
      </w:r>
      <w:r w:rsidR="00DB5B0C">
        <w:rPr>
          <w:rFonts w:cs="Arial"/>
          <w:sz w:val="22"/>
          <w:szCs w:val="22"/>
          <w:lang w:val="fr-FR"/>
        </w:rPr>
        <w:t>, tenu</w:t>
      </w:r>
      <w:r w:rsidR="00E963E7" w:rsidRPr="00E963E7">
        <w:rPr>
          <w:rFonts w:cs="Arial"/>
          <w:sz w:val="22"/>
          <w:szCs w:val="22"/>
          <w:lang w:val="fr-FR"/>
        </w:rPr>
        <w:t xml:space="preserve"> à </w:t>
      </w:r>
      <w:r w:rsidR="00E963E7">
        <w:rPr>
          <w:rFonts w:cs="Arial"/>
          <w:sz w:val="22"/>
          <w:szCs w:val="22"/>
          <w:lang w:val="fr-FR"/>
        </w:rPr>
        <w:t>Valsain (Espagne), du 19 au 21 décemb</w:t>
      </w:r>
      <w:r w:rsidR="00B75124" w:rsidRPr="00E963E7">
        <w:rPr>
          <w:rFonts w:cs="Arial"/>
          <w:sz w:val="22"/>
          <w:szCs w:val="22"/>
          <w:lang w:val="fr-FR"/>
        </w:rPr>
        <w:t>r</w:t>
      </w:r>
      <w:r w:rsidR="00E963E7">
        <w:rPr>
          <w:rFonts w:cs="Arial"/>
          <w:sz w:val="22"/>
          <w:szCs w:val="22"/>
          <w:lang w:val="fr-FR"/>
        </w:rPr>
        <w:t>e</w:t>
      </w:r>
      <w:r w:rsidR="00B75124" w:rsidRPr="00E963E7">
        <w:rPr>
          <w:rFonts w:cs="Arial"/>
          <w:sz w:val="22"/>
          <w:szCs w:val="22"/>
          <w:lang w:val="fr-FR"/>
        </w:rPr>
        <w:t xml:space="preserve"> 2016, </w:t>
      </w:r>
      <w:r w:rsidR="00E963E7">
        <w:rPr>
          <w:rFonts w:cs="Arial"/>
          <w:sz w:val="22"/>
          <w:szCs w:val="22"/>
          <w:lang w:val="fr-FR"/>
        </w:rPr>
        <w:t xml:space="preserve">et un atelier pour la voie de migration </w:t>
      </w:r>
      <w:r w:rsidR="00B75124" w:rsidRPr="00E963E7">
        <w:rPr>
          <w:rFonts w:cs="Arial"/>
          <w:sz w:val="22"/>
          <w:szCs w:val="22"/>
          <w:lang w:val="fr-FR"/>
        </w:rPr>
        <w:t>central</w:t>
      </w:r>
      <w:r w:rsidR="00DB5B0C">
        <w:rPr>
          <w:rFonts w:cs="Arial"/>
          <w:sz w:val="22"/>
          <w:szCs w:val="22"/>
          <w:lang w:val="fr-FR"/>
        </w:rPr>
        <w:t>e et orientale, tenu à</w:t>
      </w:r>
      <w:r w:rsidR="00E963E7">
        <w:rPr>
          <w:rFonts w:cs="Arial"/>
          <w:sz w:val="22"/>
          <w:szCs w:val="22"/>
          <w:lang w:val="fr-FR"/>
        </w:rPr>
        <w:t xml:space="preserve"> Kecskemét (Hongrie), du 16 au 18 janvier</w:t>
      </w:r>
      <w:r w:rsidR="00B75124" w:rsidRPr="00E963E7">
        <w:rPr>
          <w:rFonts w:cs="Arial"/>
          <w:sz w:val="22"/>
          <w:szCs w:val="22"/>
          <w:lang w:val="fr-FR"/>
        </w:rPr>
        <w:t xml:space="preserve"> 2017. </w:t>
      </w:r>
      <w:r w:rsidR="00DB5B0C">
        <w:rPr>
          <w:rFonts w:cs="Arial"/>
          <w:sz w:val="22"/>
          <w:szCs w:val="22"/>
          <w:lang w:val="fr-FR"/>
        </w:rPr>
        <w:t>C</w:t>
      </w:r>
      <w:r w:rsidR="00E963E7" w:rsidRPr="00E963E7">
        <w:rPr>
          <w:rFonts w:cs="Arial"/>
          <w:sz w:val="22"/>
          <w:szCs w:val="22"/>
          <w:lang w:val="fr-FR"/>
        </w:rPr>
        <w:t xml:space="preserve">es réunions ont été organisées par </w:t>
      </w:r>
      <w:r w:rsidR="00B75124" w:rsidRPr="00E963E7">
        <w:rPr>
          <w:rFonts w:cs="Arial"/>
          <w:sz w:val="22"/>
          <w:szCs w:val="22"/>
          <w:lang w:val="fr-FR"/>
        </w:rPr>
        <w:t>BirdLife International</w:t>
      </w:r>
      <w:r w:rsidR="00DB5B0C">
        <w:rPr>
          <w:rFonts w:cs="Arial"/>
          <w:sz w:val="22"/>
          <w:szCs w:val="22"/>
          <w:lang w:val="fr-FR"/>
        </w:rPr>
        <w:t>,</w:t>
      </w:r>
      <w:r w:rsidR="00B75124" w:rsidRPr="00E963E7">
        <w:rPr>
          <w:rFonts w:cs="Arial"/>
          <w:sz w:val="22"/>
          <w:szCs w:val="22"/>
          <w:lang w:val="fr-FR"/>
        </w:rPr>
        <w:t xml:space="preserve"> </w:t>
      </w:r>
      <w:r w:rsidR="00E963E7" w:rsidRPr="00E963E7">
        <w:rPr>
          <w:rFonts w:cs="Arial"/>
          <w:sz w:val="22"/>
          <w:szCs w:val="22"/>
          <w:lang w:val="fr-FR"/>
        </w:rPr>
        <w:t xml:space="preserve">dans le cadre du </w:t>
      </w:r>
      <w:r w:rsidR="00DB5B0C">
        <w:rPr>
          <w:rFonts w:cs="Arial"/>
          <w:sz w:val="22"/>
          <w:szCs w:val="22"/>
          <w:lang w:val="fr-FR"/>
        </w:rPr>
        <w:t>Proje</w:t>
      </w:r>
      <w:r w:rsidR="00B75124" w:rsidRPr="00E963E7">
        <w:rPr>
          <w:rFonts w:cs="Arial"/>
          <w:sz w:val="22"/>
          <w:szCs w:val="22"/>
          <w:lang w:val="fr-FR"/>
        </w:rPr>
        <w:t>t LIFE EuroSAP (LIFE14 PRE UK 002)</w:t>
      </w:r>
      <w:r w:rsidR="00791680" w:rsidRPr="00E963E7">
        <w:rPr>
          <w:rFonts w:cs="Arial"/>
          <w:sz w:val="22"/>
          <w:szCs w:val="22"/>
          <w:lang w:val="fr-FR"/>
        </w:rPr>
        <w:t>.</w:t>
      </w:r>
    </w:p>
    <w:p w14:paraId="52BDF138" w14:textId="3EFB1DFC" w:rsidR="00B75124" w:rsidRPr="00E963E7" w:rsidRDefault="00B75124" w:rsidP="00B75124">
      <w:pPr>
        <w:contextualSpacing/>
        <w:jc w:val="both"/>
        <w:rPr>
          <w:rFonts w:cs="Arial"/>
          <w:sz w:val="22"/>
          <w:szCs w:val="22"/>
          <w:lang w:val="fr-FR"/>
        </w:rPr>
      </w:pPr>
    </w:p>
    <w:p w14:paraId="73CDCF3A" w14:textId="46E0FD7E" w:rsidR="00BE365A" w:rsidRPr="009E5B91" w:rsidRDefault="009E5B91" w:rsidP="00BE20B6">
      <w:pPr>
        <w:numPr>
          <w:ilvl w:val="0"/>
          <w:numId w:val="2"/>
        </w:numPr>
        <w:contextualSpacing/>
        <w:jc w:val="both"/>
        <w:rPr>
          <w:rFonts w:cs="Arial"/>
          <w:sz w:val="22"/>
          <w:szCs w:val="22"/>
          <w:lang w:val="fr-FR"/>
        </w:rPr>
      </w:pPr>
      <w:r w:rsidRPr="009E5B91">
        <w:rPr>
          <w:rFonts w:cs="Arial"/>
          <w:sz w:val="22"/>
          <w:szCs w:val="22"/>
          <w:lang w:val="fr-FR"/>
        </w:rPr>
        <w:t>Le projet de p</w:t>
      </w:r>
      <w:r w:rsidR="00B64FCF" w:rsidRPr="009E5B91">
        <w:rPr>
          <w:rFonts w:cs="Arial"/>
          <w:sz w:val="22"/>
          <w:szCs w:val="22"/>
          <w:lang w:val="fr-FR"/>
        </w:rPr>
        <w:t>lan</w:t>
      </w:r>
      <w:r w:rsidR="00DB5B0C">
        <w:rPr>
          <w:rFonts w:cs="Arial"/>
          <w:sz w:val="22"/>
          <w:szCs w:val="22"/>
          <w:lang w:val="fr-FR"/>
        </w:rPr>
        <w:t xml:space="preserve"> d’action figure dans</w:t>
      </w:r>
      <w:r w:rsidRPr="009E5B91">
        <w:rPr>
          <w:rFonts w:cs="Arial"/>
          <w:sz w:val="22"/>
          <w:szCs w:val="22"/>
          <w:lang w:val="fr-FR"/>
        </w:rPr>
        <w:t xml:space="preserve"> l’</w:t>
      </w:r>
      <w:r w:rsidR="00B64FCF" w:rsidRPr="009E5B91">
        <w:rPr>
          <w:rFonts w:cs="Arial"/>
          <w:sz w:val="22"/>
          <w:szCs w:val="22"/>
          <w:lang w:val="fr-FR"/>
        </w:rPr>
        <w:t>Annex</w:t>
      </w:r>
      <w:r w:rsidRPr="009E5B91">
        <w:rPr>
          <w:rFonts w:cs="Arial"/>
          <w:sz w:val="22"/>
          <w:szCs w:val="22"/>
          <w:lang w:val="fr-FR"/>
        </w:rPr>
        <w:t>e</w:t>
      </w:r>
      <w:r w:rsidR="00B64FCF" w:rsidRPr="009E5B91">
        <w:rPr>
          <w:rFonts w:cs="Arial"/>
          <w:sz w:val="22"/>
          <w:szCs w:val="22"/>
          <w:lang w:val="fr-FR"/>
        </w:rPr>
        <w:t xml:space="preserve"> 1</w:t>
      </w:r>
      <w:r w:rsidR="00DB5B0C">
        <w:rPr>
          <w:rFonts w:cs="Arial"/>
          <w:sz w:val="22"/>
          <w:szCs w:val="22"/>
          <w:lang w:val="fr-FR"/>
        </w:rPr>
        <w:t xml:space="preserve"> à la présente note</w:t>
      </w:r>
      <w:r w:rsidR="00B64FCF" w:rsidRPr="009E5B91">
        <w:rPr>
          <w:rFonts w:cs="Arial"/>
          <w:sz w:val="22"/>
          <w:szCs w:val="22"/>
          <w:lang w:val="fr-FR"/>
        </w:rPr>
        <w:t>. Con</w:t>
      </w:r>
      <w:r w:rsidRPr="009E5B91">
        <w:rPr>
          <w:rFonts w:cs="Arial"/>
          <w:sz w:val="22"/>
          <w:szCs w:val="22"/>
          <w:lang w:val="fr-FR"/>
        </w:rPr>
        <w:t xml:space="preserve">formément </w:t>
      </w:r>
      <w:r w:rsidR="00DB5B0C">
        <w:rPr>
          <w:rFonts w:cs="Arial"/>
          <w:sz w:val="22"/>
          <w:szCs w:val="22"/>
          <w:lang w:val="fr-FR"/>
        </w:rPr>
        <w:t xml:space="preserve">à la politique de la CMS concernant les différentes </w:t>
      </w:r>
      <w:r w:rsidR="00B64FCF" w:rsidRPr="009E5B91">
        <w:rPr>
          <w:rFonts w:cs="Arial"/>
          <w:sz w:val="22"/>
          <w:szCs w:val="22"/>
          <w:lang w:val="fr-FR"/>
        </w:rPr>
        <w:t xml:space="preserve">versions </w:t>
      </w:r>
      <w:r w:rsidR="00DB5B0C">
        <w:rPr>
          <w:rFonts w:cs="Arial"/>
          <w:sz w:val="22"/>
          <w:szCs w:val="22"/>
          <w:lang w:val="fr-FR"/>
        </w:rPr>
        <w:t>linguistique</w:t>
      </w:r>
      <w:r>
        <w:rPr>
          <w:rFonts w:cs="Arial"/>
          <w:sz w:val="22"/>
          <w:szCs w:val="22"/>
          <w:lang w:val="fr-FR"/>
        </w:rPr>
        <w:t>s des plans d’action par espèce, le document e</w:t>
      </w:r>
      <w:r w:rsidR="00B64FCF" w:rsidRPr="009E5B91">
        <w:rPr>
          <w:rFonts w:cs="Arial"/>
          <w:sz w:val="22"/>
          <w:szCs w:val="22"/>
          <w:lang w:val="fr-FR"/>
        </w:rPr>
        <w:t>s</w:t>
      </w:r>
      <w:r>
        <w:rPr>
          <w:rFonts w:cs="Arial"/>
          <w:sz w:val="22"/>
          <w:szCs w:val="22"/>
          <w:lang w:val="fr-FR"/>
        </w:rPr>
        <w:t>t diffusé uniq</w:t>
      </w:r>
      <w:r w:rsidR="00DB5B0C">
        <w:rPr>
          <w:rFonts w:cs="Arial"/>
          <w:sz w:val="22"/>
          <w:szCs w:val="22"/>
          <w:lang w:val="fr-FR"/>
        </w:rPr>
        <w:t>uement en anglais pour l’instant</w:t>
      </w:r>
      <w:r w:rsidRPr="009E5B91">
        <w:rPr>
          <w:rFonts w:cs="Arial"/>
          <w:sz w:val="22"/>
          <w:szCs w:val="22"/>
          <w:lang w:val="fr-FR"/>
        </w:rPr>
        <w:t xml:space="preserve">. Des versions en espagnol et en </w:t>
      </w:r>
      <w:r w:rsidR="00DB5B0C">
        <w:rPr>
          <w:rFonts w:cs="Arial"/>
          <w:sz w:val="22"/>
          <w:szCs w:val="22"/>
          <w:lang w:val="fr-FR"/>
        </w:rPr>
        <w:t>français suivront, selon l</w:t>
      </w:r>
      <w:r w:rsidRPr="009E5B91">
        <w:rPr>
          <w:rFonts w:cs="Arial"/>
          <w:sz w:val="22"/>
          <w:szCs w:val="22"/>
          <w:lang w:val="fr-FR"/>
        </w:rPr>
        <w:t xml:space="preserve">es </w:t>
      </w:r>
      <w:r w:rsidR="00153C2E" w:rsidRPr="009E5B91">
        <w:rPr>
          <w:rFonts w:cs="Arial"/>
          <w:sz w:val="22"/>
          <w:szCs w:val="22"/>
          <w:lang w:val="fr-FR"/>
        </w:rPr>
        <w:t>re</w:t>
      </w:r>
      <w:r w:rsidR="00DB5B0C">
        <w:rPr>
          <w:rFonts w:cs="Arial"/>
          <w:sz w:val="22"/>
          <w:szCs w:val="22"/>
          <w:lang w:val="fr-FR"/>
        </w:rPr>
        <w:t>s</w:t>
      </w:r>
      <w:r w:rsidR="00153C2E" w:rsidRPr="009E5B91">
        <w:rPr>
          <w:rFonts w:cs="Arial"/>
          <w:sz w:val="22"/>
          <w:szCs w:val="22"/>
          <w:lang w:val="fr-FR"/>
        </w:rPr>
        <w:t>sources</w:t>
      </w:r>
      <w:r>
        <w:rPr>
          <w:rFonts w:cs="Arial"/>
          <w:sz w:val="22"/>
          <w:szCs w:val="22"/>
          <w:lang w:val="fr-FR"/>
        </w:rPr>
        <w:t xml:space="preserve"> disponibles</w:t>
      </w:r>
      <w:r w:rsidR="00DB5B0C">
        <w:rPr>
          <w:rFonts w:cs="Arial"/>
          <w:sz w:val="22"/>
          <w:szCs w:val="22"/>
          <w:lang w:val="fr-FR"/>
        </w:rPr>
        <w:t>.</w:t>
      </w:r>
    </w:p>
    <w:p w14:paraId="561841A2" w14:textId="34DDF04C" w:rsidR="00D675FA" w:rsidRPr="009E5B91" w:rsidRDefault="00D675FA" w:rsidP="00BE20B6">
      <w:pPr>
        <w:contextualSpacing/>
        <w:jc w:val="both"/>
        <w:rPr>
          <w:rFonts w:cs="Arial"/>
          <w:sz w:val="22"/>
          <w:szCs w:val="22"/>
          <w:lang w:val="fr-FR"/>
        </w:rPr>
      </w:pPr>
    </w:p>
    <w:p w14:paraId="7B9AD211" w14:textId="77777777" w:rsidR="00BE3C08" w:rsidRPr="009E5B91" w:rsidRDefault="00BE3C08" w:rsidP="00BE20B6">
      <w:pPr>
        <w:jc w:val="both"/>
        <w:rPr>
          <w:rFonts w:cs="Arial"/>
          <w:sz w:val="22"/>
          <w:szCs w:val="22"/>
          <w:u w:val="single"/>
          <w:lang w:val="fr-FR"/>
        </w:rPr>
      </w:pPr>
    </w:p>
    <w:p w14:paraId="7D79DDCB" w14:textId="09EB538B" w:rsidR="007910DD" w:rsidRPr="00E27689" w:rsidRDefault="009E5B91" w:rsidP="00BE20B6">
      <w:pPr>
        <w:jc w:val="both"/>
        <w:rPr>
          <w:rFonts w:cs="Arial"/>
          <w:sz w:val="22"/>
          <w:szCs w:val="22"/>
          <w:lang w:val="en-GB"/>
        </w:rPr>
      </w:pPr>
      <w:r>
        <w:rPr>
          <w:rFonts w:cs="Arial"/>
          <w:sz w:val="22"/>
          <w:szCs w:val="22"/>
          <w:u w:val="single"/>
          <w:lang w:val="en-GB"/>
        </w:rPr>
        <w:t>Actions recommandée</w:t>
      </w:r>
      <w:r w:rsidR="0090059C" w:rsidRPr="00E27689">
        <w:rPr>
          <w:rFonts w:cs="Arial"/>
          <w:sz w:val="22"/>
          <w:szCs w:val="22"/>
          <w:u w:val="single"/>
          <w:lang w:val="en-GB"/>
        </w:rPr>
        <w:t>s</w:t>
      </w:r>
    </w:p>
    <w:p w14:paraId="473EAC42" w14:textId="77777777" w:rsidR="007910DD" w:rsidRPr="00E27689" w:rsidRDefault="007910DD" w:rsidP="00BE20B6">
      <w:pPr>
        <w:jc w:val="both"/>
        <w:rPr>
          <w:rFonts w:cs="Arial"/>
          <w:sz w:val="22"/>
          <w:szCs w:val="22"/>
          <w:lang w:val="en-GB"/>
        </w:rPr>
      </w:pPr>
    </w:p>
    <w:p w14:paraId="4A632F07" w14:textId="421C3B48" w:rsidR="007910DD" w:rsidRPr="009E5B91" w:rsidRDefault="009E5B91" w:rsidP="00BE20B6">
      <w:pPr>
        <w:numPr>
          <w:ilvl w:val="0"/>
          <w:numId w:val="2"/>
        </w:numPr>
        <w:jc w:val="both"/>
        <w:rPr>
          <w:rFonts w:cs="Arial"/>
          <w:sz w:val="22"/>
          <w:szCs w:val="22"/>
          <w:lang w:val="fr-FR"/>
        </w:rPr>
      </w:pPr>
      <w:r w:rsidRPr="009E5B91">
        <w:rPr>
          <w:rFonts w:cs="Arial"/>
          <w:sz w:val="22"/>
          <w:szCs w:val="22"/>
          <w:lang w:val="fr-FR" w:eastAsia="en-GB"/>
        </w:rPr>
        <w:t xml:space="preserve">Il est recommandé à la </w:t>
      </w:r>
      <w:r w:rsidR="00DB5B0C" w:rsidRPr="009E5B91">
        <w:rPr>
          <w:rFonts w:cs="Arial"/>
          <w:sz w:val="22"/>
          <w:szCs w:val="22"/>
          <w:lang w:val="fr-FR" w:eastAsia="en-GB"/>
        </w:rPr>
        <w:t>Conférence</w:t>
      </w:r>
      <w:r w:rsidRPr="009E5B91">
        <w:rPr>
          <w:rFonts w:cs="Arial"/>
          <w:sz w:val="22"/>
          <w:szCs w:val="22"/>
          <w:lang w:val="fr-FR" w:eastAsia="en-GB"/>
        </w:rPr>
        <w:t xml:space="preserve"> of the Parties de </w:t>
      </w:r>
      <w:r w:rsidR="007910DD" w:rsidRPr="009E5B91">
        <w:rPr>
          <w:rFonts w:cs="Arial"/>
          <w:sz w:val="22"/>
          <w:szCs w:val="22"/>
          <w:lang w:val="fr-FR"/>
        </w:rPr>
        <w:t>:</w:t>
      </w:r>
    </w:p>
    <w:p w14:paraId="5A0FEB38" w14:textId="77777777" w:rsidR="007910DD" w:rsidRPr="009E5B91" w:rsidRDefault="007910DD" w:rsidP="00BE20B6">
      <w:pPr>
        <w:jc w:val="both"/>
        <w:rPr>
          <w:rFonts w:cs="Arial"/>
          <w:sz w:val="22"/>
          <w:szCs w:val="22"/>
          <w:lang w:val="fr-FR"/>
        </w:rPr>
      </w:pPr>
    </w:p>
    <w:p w14:paraId="05BC5212" w14:textId="04451479" w:rsidR="00C96521" w:rsidRDefault="009E5B91" w:rsidP="009E5B91">
      <w:pPr>
        <w:widowControl/>
        <w:numPr>
          <w:ilvl w:val="0"/>
          <w:numId w:val="3"/>
        </w:numPr>
        <w:autoSpaceDE/>
        <w:adjustRightInd/>
        <w:contextualSpacing/>
        <w:jc w:val="both"/>
        <w:rPr>
          <w:rFonts w:cs="Arial"/>
          <w:sz w:val="22"/>
          <w:szCs w:val="22"/>
          <w:lang w:val="fr-FR"/>
        </w:rPr>
      </w:pPr>
      <w:r w:rsidRPr="009E5B91">
        <w:rPr>
          <w:rFonts w:cs="Arial"/>
          <w:sz w:val="22"/>
          <w:szCs w:val="22"/>
          <w:lang w:val="fr-FR"/>
        </w:rPr>
        <w:t>A</w:t>
      </w:r>
      <w:r w:rsidR="00C96521" w:rsidRPr="009E5B91">
        <w:rPr>
          <w:rFonts w:cs="Arial"/>
          <w:sz w:val="22"/>
          <w:szCs w:val="22"/>
          <w:lang w:val="fr-FR"/>
        </w:rPr>
        <w:t>dopt</w:t>
      </w:r>
      <w:r w:rsidRPr="009E5B91">
        <w:rPr>
          <w:rFonts w:cs="Arial"/>
          <w:sz w:val="22"/>
          <w:szCs w:val="22"/>
          <w:lang w:val="fr-FR"/>
        </w:rPr>
        <w:t>er</w:t>
      </w:r>
      <w:r w:rsidR="00C96521" w:rsidRPr="009E5B91">
        <w:rPr>
          <w:rFonts w:cs="Arial"/>
          <w:sz w:val="22"/>
          <w:szCs w:val="22"/>
          <w:lang w:val="fr-FR"/>
        </w:rPr>
        <w:t xml:space="preserve"> </w:t>
      </w:r>
      <w:r w:rsidRPr="009E5B91">
        <w:rPr>
          <w:rFonts w:cs="Arial"/>
          <w:sz w:val="22"/>
          <w:szCs w:val="22"/>
          <w:lang w:val="fr-FR"/>
        </w:rPr>
        <w:t xml:space="preserve">le </w:t>
      </w:r>
      <w:r w:rsidR="00C96521" w:rsidRPr="009E5B91">
        <w:rPr>
          <w:rFonts w:cs="Arial"/>
          <w:sz w:val="22"/>
          <w:szCs w:val="22"/>
          <w:lang w:val="fr-FR"/>
        </w:rPr>
        <w:t xml:space="preserve">Plan </w:t>
      </w:r>
      <w:r w:rsidR="00DB5B0C">
        <w:rPr>
          <w:rFonts w:cs="Arial"/>
          <w:sz w:val="22"/>
          <w:szCs w:val="22"/>
          <w:lang w:val="fr-FR"/>
        </w:rPr>
        <w:t xml:space="preserve">d’action contenu dans </w:t>
      </w:r>
      <w:r w:rsidRPr="009E5B91">
        <w:rPr>
          <w:rFonts w:cs="Arial"/>
          <w:sz w:val="22"/>
          <w:szCs w:val="22"/>
          <w:lang w:val="fr-FR"/>
        </w:rPr>
        <w:t>l’</w:t>
      </w:r>
      <w:r w:rsidR="00C96521" w:rsidRPr="009E5B91">
        <w:rPr>
          <w:rFonts w:cs="Arial"/>
          <w:sz w:val="22"/>
          <w:szCs w:val="22"/>
          <w:lang w:val="fr-FR"/>
        </w:rPr>
        <w:t>Annex</w:t>
      </w:r>
      <w:r w:rsidRPr="009E5B91">
        <w:rPr>
          <w:rFonts w:cs="Arial"/>
          <w:sz w:val="22"/>
          <w:szCs w:val="22"/>
          <w:lang w:val="fr-FR"/>
        </w:rPr>
        <w:t>e</w:t>
      </w:r>
      <w:r w:rsidR="00C96521" w:rsidRPr="009E5B91">
        <w:rPr>
          <w:rFonts w:cs="Arial"/>
          <w:sz w:val="22"/>
          <w:szCs w:val="22"/>
          <w:lang w:val="fr-FR"/>
        </w:rPr>
        <w:t xml:space="preserve"> 1</w:t>
      </w:r>
      <w:r>
        <w:rPr>
          <w:rFonts w:cs="Arial"/>
          <w:sz w:val="22"/>
          <w:szCs w:val="22"/>
          <w:lang w:val="fr-FR"/>
        </w:rPr>
        <w:t>, dans le cadre du projet de ré</w:t>
      </w:r>
      <w:r w:rsidR="0003375A" w:rsidRPr="009E5B91">
        <w:rPr>
          <w:rFonts w:cs="Arial"/>
          <w:sz w:val="22"/>
          <w:szCs w:val="22"/>
          <w:lang w:val="fr-FR"/>
        </w:rPr>
        <w:t>solution</w:t>
      </w:r>
      <w:r w:rsidR="00DB5B0C">
        <w:rPr>
          <w:rFonts w:cs="Arial"/>
          <w:sz w:val="22"/>
          <w:szCs w:val="22"/>
          <w:lang w:val="fr-FR"/>
        </w:rPr>
        <w:t xml:space="preserve"> su</w:t>
      </w:r>
      <w:r>
        <w:rPr>
          <w:rFonts w:cs="Arial"/>
          <w:sz w:val="22"/>
          <w:szCs w:val="22"/>
          <w:lang w:val="fr-FR"/>
        </w:rPr>
        <w:t>r les plans d’action par espèce</w:t>
      </w:r>
      <w:r w:rsidR="00DB5B0C">
        <w:rPr>
          <w:rFonts w:cs="Arial"/>
          <w:sz w:val="22"/>
          <w:szCs w:val="22"/>
          <w:lang w:val="fr-FR"/>
        </w:rPr>
        <w:t xml:space="preserve"> pour les oiseaux, qui figure</w:t>
      </w:r>
      <w:r>
        <w:rPr>
          <w:rFonts w:cs="Arial"/>
          <w:sz w:val="22"/>
          <w:szCs w:val="22"/>
          <w:lang w:val="fr-FR"/>
        </w:rPr>
        <w:t xml:space="preserve"> dans le </w:t>
      </w:r>
      <w:r w:rsidR="00C96521" w:rsidRPr="009E5B91">
        <w:rPr>
          <w:rFonts w:cs="Arial"/>
          <w:sz w:val="22"/>
          <w:szCs w:val="22"/>
          <w:lang w:val="fr-FR"/>
        </w:rPr>
        <w:t>document UNEP/CMS/COP12/Doc.24.1.11</w:t>
      </w:r>
      <w:r w:rsidR="00AC7264" w:rsidRPr="009E5B91">
        <w:rPr>
          <w:rFonts w:cs="Arial"/>
          <w:sz w:val="22"/>
          <w:szCs w:val="22"/>
          <w:lang w:val="fr-FR"/>
        </w:rPr>
        <w:t>.</w:t>
      </w:r>
    </w:p>
    <w:p w14:paraId="2C9A8FF3" w14:textId="77777777" w:rsidR="009E5B91" w:rsidRPr="009E5B91" w:rsidRDefault="009E5B91" w:rsidP="009E5B91">
      <w:pPr>
        <w:widowControl/>
        <w:numPr>
          <w:ilvl w:val="0"/>
          <w:numId w:val="3"/>
        </w:numPr>
        <w:autoSpaceDE/>
        <w:adjustRightInd/>
        <w:contextualSpacing/>
        <w:jc w:val="both"/>
        <w:rPr>
          <w:rFonts w:cs="Arial"/>
          <w:sz w:val="22"/>
          <w:szCs w:val="22"/>
          <w:lang w:val="fr-FR"/>
        </w:rPr>
        <w:sectPr w:rsidR="009E5B91" w:rsidRPr="009E5B91" w:rsidSect="00C96521">
          <w:headerReference w:type="first" r:id="rId15"/>
          <w:footerReference w:type="first" r:id="rId16"/>
          <w:endnotePr>
            <w:numFmt w:val="decimal"/>
          </w:endnotePr>
          <w:pgSz w:w="11905" w:h="16837" w:code="9"/>
          <w:pgMar w:top="1008" w:right="1411" w:bottom="1152" w:left="1411" w:header="706" w:footer="706" w:gutter="0"/>
          <w:cols w:space="720"/>
          <w:noEndnote/>
          <w:titlePg/>
          <w:docGrid w:linePitch="272"/>
        </w:sectPr>
      </w:pPr>
    </w:p>
    <w:p w14:paraId="47C07431" w14:textId="243182F2" w:rsidR="007910DD" w:rsidRPr="00CD0FE9" w:rsidRDefault="00C96521" w:rsidP="0003449E">
      <w:pPr>
        <w:widowControl/>
        <w:autoSpaceDE/>
        <w:adjustRightInd/>
        <w:jc w:val="right"/>
        <w:rPr>
          <w:rFonts w:cs="Arial"/>
          <w:b/>
          <w:bCs/>
          <w:caps/>
          <w:sz w:val="22"/>
          <w:szCs w:val="22"/>
          <w:lang w:val="en-GB"/>
        </w:rPr>
      </w:pPr>
      <w:r>
        <w:rPr>
          <w:rFonts w:cs="Arial"/>
          <w:b/>
          <w:caps/>
          <w:sz w:val="22"/>
          <w:szCs w:val="22"/>
          <w:lang w:val="en-GB"/>
        </w:rPr>
        <w:lastRenderedPageBreak/>
        <w:t>Annex 1</w:t>
      </w:r>
    </w:p>
    <w:p w14:paraId="3D3654F7" w14:textId="77777777" w:rsidR="007910DD" w:rsidRPr="00CD0FE9" w:rsidRDefault="007910DD" w:rsidP="007910DD">
      <w:pPr>
        <w:rPr>
          <w:rFonts w:cs="Arial"/>
          <w:sz w:val="22"/>
          <w:szCs w:val="22"/>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9"/>
        <w:gridCol w:w="2835"/>
        <w:gridCol w:w="4606"/>
      </w:tblGrid>
      <w:tr w:rsidR="00C96521" w:rsidRPr="00C96521" w14:paraId="18D17C6B" w14:textId="77777777" w:rsidTr="00C96521">
        <w:tc>
          <w:tcPr>
            <w:tcW w:w="2093" w:type="dxa"/>
            <w:shd w:val="clear" w:color="auto" w:fill="365F91"/>
          </w:tcPr>
          <w:p w14:paraId="1F55E945" w14:textId="77777777" w:rsidR="00C96521" w:rsidRPr="00C96521" w:rsidRDefault="00C96521" w:rsidP="00C96521">
            <w:pPr>
              <w:widowControl/>
              <w:autoSpaceDE/>
              <w:autoSpaceDN/>
              <w:adjustRightInd/>
              <w:spacing w:after="300"/>
              <w:contextualSpacing/>
              <w:jc w:val="center"/>
              <w:rPr>
                <w:rFonts w:eastAsia="MS Gothic"/>
                <w:color w:val="1F497D"/>
                <w:spacing w:val="5"/>
                <w:kern w:val="28"/>
                <w:sz w:val="36"/>
                <w:szCs w:val="52"/>
                <w:lang w:val="en-GB"/>
              </w:rPr>
            </w:pPr>
          </w:p>
        </w:tc>
        <w:tc>
          <w:tcPr>
            <w:tcW w:w="2835" w:type="dxa"/>
            <w:vAlign w:val="center"/>
          </w:tcPr>
          <w:p w14:paraId="3DE2CECA" w14:textId="77777777" w:rsidR="00C96521" w:rsidRPr="00C96521" w:rsidRDefault="00C96521" w:rsidP="00C96521">
            <w:pPr>
              <w:widowControl/>
              <w:autoSpaceDE/>
              <w:autoSpaceDN/>
              <w:adjustRightInd/>
              <w:spacing w:after="300"/>
              <w:contextualSpacing/>
              <w:rPr>
                <w:rFonts w:eastAsia="MS Gothic"/>
                <w:color w:val="1F497D"/>
                <w:spacing w:val="5"/>
                <w:kern w:val="28"/>
                <w:sz w:val="36"/>
                <w:szCs w:val="52"/>
                <w:lang w:val="en-GB"/>
              </w:rPr>
            </w:pPr>
            <w:r w:rsidRPr="00C96521">
              <w:rPr>
                <w:rFonts w:eastAsia="MS Gothic"/>
                <w:color w:val="1F497D"/>
                <w:spacing w:val="5"/>
                <w:kern w:val="28"/>
                <w:sz w:val="36"/>
                <w:szCs w:val="52"/>
                <w:lang w:val="en-GB"/>
              </w:rPr>
              <w:t>DRAFT 1</w:t>
            </w:r>
          </w:p>
        </w:tc>
        <w:tc>
          <w:tcPr>
            <w:tcW w:w="4608" w:type="dxa"/>
          </w:tcPr>
          <w:p w14:paraId="4123E33D" w14:textId="2753267E" w:rsidR="00C96521" w:rsidRPr="00C96521" w:rsidRDefault="00C96521" w:rsidP="00C96521">
            <w:pPr>
              <w:widowControl/>
              <w:autoSpaceDE/>
              <w:autoSpaceDN/>
              <w:adjustRightInd/>
              <w:spacing w:after="300"/>
              <w:contextualSpacing/>
              <w:jc w:val="right"/>
              <w:rPr>
                <w:rFonts w:eastAsia="MS Gothic"/>
                <w:color w:val="1F497D"/>
                <w:spacing w:val="5"/>
                <w:kern w:val="28"/>
                <w:sz w:val="36"/>
                <w:szCs w:val="52"/>
                <w:lang w:val="en-GB"/>
              </w:rPr>
            </w:pPr>
            <w:r w:rsidRPr="00C96521">
              <w:rPr>
                <w:rFonts w:eastAsia="MS Gothic"/>
                <w:noProof/>
                <w:color w:val="1F497D"/>
                <w:spacing w:val="5"/>
                <w:kern w:val="28"/>
                <w:sz w:val="36"/>
                <w:szCs w:val="52"/>
              </w:rPr>
              <w:drawing>
                <wp:inline distT="0" distB="0" distL="0" distR="0" wp14:anchorId="2B1AAF44" wp14:editId="39C28292">
                  <wp:extent cx="1474530" cy="1066800"/>
                  <wp:effectExtent l="19050" t="0" r="0" b="0"/>
                  <wp:docPr id="26" name="Picture 25" descr="LIFE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 logo.jpg"/>
                          <pic:cNvPicPr/>
                        </pic:nvPicPr>
                        <pic:blipFill>
                          <a:blip r:embed="rId17" cstate="print"/>
                          <a:stretch>
                            <a:fillRect/>
                          </a:stretch>
                        </pic:blipFill>
                        <pic:spPr>
                          <a:xfrm>
                            <a:off x="0" y="0"/>
                            <a:ext cx="1474530" cy="1066800"/>
                          </a:xfrm>
                          <a:prstGeom prst="rect">
                            <a:avLst/>
                          </a:prstGeom>
                        </pic:spPr>
                      </pic:pic>
                    </a:graphicData>
                  </a:graphic>
                </wp:inline>
              </w:drawing>
            </w:r>
          </w:p>
        </w:tc>
      </w:tr>
      <w:tr w:rsidR="00C96521" w:rsidRPr="00C96521" w14:paraId="5D6A3768" w14:textId="77777777" w:rsidTr="00C96521">
        <w:tc>
          <w:tcPr>
            <w:tcW w:w="2093" w:type="dxa"/>
            <w:shd w:val="clear" w:color="auto" w:fill="365F91"/>
          </w:tcPr>
          <w:p w14:paraId="379EE5DF" w14:textId="77777777" w:rsidR="00C96521" w:rsidRPr="00C96521" w:rsidRDefault="00C96521" w:rsidP="00C96521">
            <w:pPr>
              <w:widowControl/>
              <w:autoSpaceDE/>
              <w:autoSpaceDN/>
              <w:adjustRightInd/>
              <w:spacing w:after="300"/>
              <w:contextualSpacing/>
              <w:jc w:val="center"/>
              <w:rPr>
                <w:rFonts w:eastAsia="MS Gothic"/>
                <w:color w:val="1F497D"/>
                <w:spacing w:val="5"/>
                <w:kern w:val="28"/>
                <w:sz w:val="36"/>
                <w:szCs w:val="52"/>
                <w:lang w:val="en-GB"/>
              </w:rPr>
            </w:pPr>
          </w:p>
        </w:tc>
        <w:tc>
          <w:tcPr>
            <w:tcW w:w="7443" w:type="dxa"/>
            <w:gridSpan w:val="2"/>
            <w:tcBorders>
              <w:bottom w:val="single" w:sz="4" w:space="0" w:color="365F91"/>
            </w:tcBorders>
          </w:tcPr>
          <w:p w14:paraId="65E55D0C" w14:textId="77777777" w:rsidR="00C96521" w:rsidRPr="00C96521" w:rsidRDefault="00C96521" w:rsidP="00C96521">
            <w:pPr>
              <w:widowControl/>
              <w:autoSpaceDE/>
              <w:autoSpaceDN/>
              <w:adjustRightInd/>
              <w:rPr>
                <w:rFonts w:ascii="Arial" w:hAnsi="Arial" w:cs="Arial"/>
                <w:sz w:val="20"/>
                <w:lang w:val="en-GB"/>
              </w:rPr>
            </w:pPr>
          </w:p>
          <w:p w14:paraId="2B2F88AD" w14:textId="77777777" w:rsidR="00C96521" w:rsidRPr="00C96521" w:rsidRDefault="00C96521" w:rsidP="00C96521">
            <w:pPr>
              <w:widowControl/>
              <w:autoSpaceDE/>
              <w:autoSpaceDN/>
              <w:adjustRightInd/>
              <w:rPr>
                <w:rFonts w:ascii="Arial" w:hAnsi="Arial" w:cs="Arial"/>
                <w:sz w:val="20"/>
                <w:lang w:val="en-GB"/>
              </w:rPr>
            </w:pPr>
          </w:p>
          <w:p w14:paraId="599B1D3A" w14:textId="77777777" w:rsidR="00C96521" w:rsidRPr="00C96521" w:rsidRDefault="00C96521" w:rsidP="00C96521">
            <w:pPr>
              <w:widowControl/>
              <w:autoSpaceDE/>
              <w:autoSpaceDN/>
              <w:adjustRightInd/>
              <w:rPr>
                <w:rFonts w:ascii="Arial" w:hAnsi="Arial" w:cs="Arial"/>
                <w:sz w:val="20"/>
                <w:lang w:val="en-GB"/>
              </w:rPr>
            </w:pPr>
          </w:p>
          <w:p w14:paraId="2EBD25BE" w14:textId="77777777" w:rsidR="00C96521" w:rsidRPr="00C96521" w:rsidRDefault="00C96521" w:rsidP="00C96521">
            <w:pPr>
              <w:widowControl/>
              <w:autoSpaceDE/>
              <w:autoSpaceDN/>
              <w:adjustRightInd/>
              <w:rPr>
                <w:rFonts w:ascii="Arial" w:hAnsi="Arial" w:cs="Arial"/>
                <w:sz w:val="20"/>
                <w:lang w:val="en-GB"/>
              </w:rPr>
            </w:pPr>
          </w:p>
          <w:p w14:paraId="295DC48A" w14:textId="336543DB" w:rsidR="00C96521" w:rsidRPr="00C96521" w:rsidRDefault="00C96521" w:rsidP="00C96521">
            <w:pPr>
              <w:widowControl/>
              <w:autoSpaceDE/>
              <w:autoSpaceDN/>
              <w:adjustRightInd/>
              <w:spacing w:after="300"/>
              <w:contextualSpacing/>
              <w:rPr>
                <w:rFonts w:ascii="Arial" w:eastAsia="MS Gothic" w:hAnsi="Arial" w:cs="Arial"/>
                <w:color w:val="1F497D"/>
                <w:spacing w:val="5"/>
                <w:kern w:val="28"/>
                <w:sz w:val="36"/>
                <w:szCs w:val="52"/>
                <w:lang w:val="en-GB"/>
              </w:rPr>
            </w:pPr>
            <w:r w:rsidRPr="00C96521">
              <w:rPr>
                <w:rFonts w:ascii="Arial" w:eastAsia="MS Gothic" w:hAnsi="Arial" w:cs="Arial"/>
                <w:color w:val="1F497D"/>
                <w:spacing w:val="5"/>
                <w:kern w:val="28"/>
                <w:sz w:val="36"/>
                <w:szCs w:val="52"/>
                <w:lang w:val="en-GB"/>
              </w:rPr>
              <w:t>International Single Species Action Plan for the Conservation of the European Turtle</w:t>
            </w:r>
            <w:r w:rsidR="003F6C6E">
              <w:rPr>
                <w:rFonts w:ascii="Arial" w:eastAsia="MS Gothic" w:hAnsi="Arial" w:cs="Arial"/>
                <w:color w:val="1F497D"/>
                <w:spacing w:val="5"/>
                <w:kern w:val="28"/>
                <w:sz w:val="36"/>
                <w:szCs w:val="52"/>
                <w:lang w:val="en-GB"/>
              </w:rPr>
              <w:t xml:space="preserve"> Dove</w:t>
            </w:r>
            <w:r w:rsidRPr="00C96521">
              <w:rPr>
                <w:rFonts w:ascii="Arial" w:eastAsia="MS Gothic" w:hAnsi="Arial" w:cs="Arial"/>
                <w:color w:val="1F497D"/>
                <w:spacing w:val="5"/>
                <w:kern w:val="28"/>
                <w:sz w:val="36"/>
                <w:szCs w:val="52"/>
                <w:lang w:val="en-GB"/>
              </w:rPr>
              <w:t xml:space="preserve"> </w:t>
            </w:r>
            <w:r w:rsidRPr="00C96521">
              <w:rPr>
                <w:rFonts w:ascii="Arial" w:eastAsia="MS Gothic" w:hAnsi="Arial" w:cs="Arial"/>
                <w:bCs/>
                <w:i/>
                <w:color w:val="1F497D"/>
                <w:spacing w:val="5"/>
                <w:kern w:val="28"/>
                <w:sz w:val="36"/>
                <w:szCs w:val="52"/>
                <w:lang w:val="en-GB"/>
              </w:rPr>
              <w:t>Streptopelia</w:t>
            </w:r>
            <w:r w:rsidRPr="00C96521">
              <w:rPr>
                <w:rFonts w:ascii="Arial" w:eastAsia="MS Gothic" w:hAnsi="Arial" w:cs="Arial"/>
                <w:i/>
                <w:color w:val="1F497D"/>
                <w:spacing w:val="5"/>
                <w:kern w:val="28"/>
                <w:sz w:val="36"/>
                <w:szCs w:val="52"/>
                <w:lang w:val="en-GB"/>
              </w:rPr>
              <w:t xml:space="preserve"> turtur</w:t>
            </w:r>
            <w:r w:rsidRPr="00C96521">
              <w:rPr>
                <w:rFonts w:ascii="Arial" w:eastAsia="MS Gothic" w:hAnsi="Arial" w:cs="Arial"/>
                <w:color w:val="1F497D"/>
                <w:spacing w:val="5"/>
                <w:kern w:val="28"/>
                <w:sz w:val="36"/>
                <w:szCs w:val="52"/>
                <w:lang w:val="en-GB"/>
              </w:rPr>
              <w:t xml:space="preserve"> (2018 to 2028)</w:t>
            </w:r>
          </w:p>
          <w:p w14:paraId="0D49A5CC" w14:textId="77777777" w:rsidR="00C96521" w:rsidRPr="00C96521" w:rsidRDefault="00C96521" w:rsidP="00C96521">
            <w:pPr>
              <w:widowControl/>
              <w:autoSpaceDE/>
              <w:autoSpaceDN/>
              <w:adjustRightInd/>
              <w:rPr>
                <w:rFonts w:ascii="Arial" w:hAnsi="Arial" w:cs="Arial"/>
                <w:sz w:val="20"/>
                <w:lang w:val="en-GB"/>
              </w:rPr>
            </w:pPr>
          </w:p>
        </w:tc>
      </w:tr>
      <w:tr w:rsidR="00C96521" w:rsidRPr="00C96521" w14:paraId="33A4E87C" w14:textId="77777777" w:rsidTr="00C96521">
        <w:tc>
          <w:tcPr>
            <w:tcW w:w="2093" w:type="dxa"/>
            <w:shd w:val="clear" w:color="auto" w:fill="365F91"/>
          </w:tcPr>
          <w:p w14:paraId="4EDC88BE" w14:textId="77777777" w:rsidR="00C96521" w:rsidRPr="00C96521" w:rsidRDefault="00C96521" w:rsidP="00C96521">
            <w:pPr>
              <w:widowControl/>
              <w:autoSpaceDE/>
              <w:autoSpaceDN/>
              <w:adjustRightInd/>
              <w:spacing w:after="300"/>
              <w:contextualSpacing/>
              <w:jc w:val="center"/>
              <w:rPr>
                <w:rFonts w:eastAsia="MS Gothic"/>
                <w:color w:val="1F497D"/>
                <w:spacing w:val="5"/>
                <w:kern w:val="28"/>
                <w:sz w:val="36"/>
                <w:szCs w:val="52"/>
                <w:lang w:val="en-GB"/>
              </w:rPr>
            </w:pPr>
          </w:p>
        </w:tc>
        <w:tc>
          <w:tcPr>
            <w:tcW w:w="7443" w:type="dxa"/>
            <w:gridSpan w:val="2"/>
            <w:tcBorders>
              <w:top w:val="single" w:sz="4" w:space="0" w:color="365F91"/>
            </w:tcBorders>
          </w:tcPr>
          <w:p w14:paraId="7D76B371" w14:textId="77777777" w:rsidR="00C96521" w:rsidRPr="00C96521" w:rsidRDefault="00C96521" w:rsidP="00C96521">
            <w:pPr>
              <w:widowControl/>
              <w:autoSpaceDE/>
              <w:autoSpaceDN/>
              <w:adjustRightInd/>
              <w:spacing w:after="300"/>
              <w:contextualSpacing/>
              <w:rPr>
                <w:rFonts w:eastAsia="MS Gothic"/>
                <w:color w:val="1F497D"/>
                <w:spacing w:val="5"/>
                <w:kern w:val="28"/>
                <w:sz w:val="36"/>
                <w:szCs w:val="52"/>
                <w:lang w:val="en-GB"/>
              </w:rPr>
            </w:pPr>
          </w:p>
          <w:p w14:paraId="4DCEEEC2" w14:textId="77777777" w:rsidR="00C96521" w:rsidRPr="00C96521" w:rsidRDefault="00C96521" w:rsidP="00C96521">
            <w:pPr>
              <w:widowControl/>
              <w:autoSpaceDE/>
              <w:autoSpaceDN/>
              <w:adjustRightInd/>
              <w:spacing w:after="300"/>
              <w:contextualSpacing/>
              <w:rPr>
                <w:rFonts w:eastAsia="MS Gothic"/>
                <w:color w:val="1F497D"/>
                <w:spacing w:val="5"/>
                <w:kern w:val="28"/>
                <w:sz w:val="36"/>
                <w:szCs w:val="52"/>
                <w:lang w:val="en-GB"/>
              </w:rPr>
            </w:pPr>
            <w:r w:rsidRPr="00C96521">
              <w:rPr>
                <w:rFonts w:eastAsia="MS Gothic"/>
                <w:noProof/>
                <w:color w:val="1F497D"/>
                <w:spacing w:val="5"/>
                <w:kern w:val="28"/>
                <w:sz w:val="36"/>
                <w:szCs w:val="52"/>
              </w:rPr>
              <w:drawing>
                <wp:inline distT="0" distB="0" distL="0" distR="0" wp14:anchorId="3C4F1E65" wp14:editId="424DDD36">
                  <wp:extent cx="4561241" cy="3028950"/>
                  <wp:effectExtent l="19050" t="0" r="0" b="0"/>
                  <wp:docPr id="31" name="Picture 30" descr="TurtleDovePhot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tleDovePhotos1.JPG"/>
                          <pic:cNvPicPr/>
                        </pic:nvPicPr>
                        <pic:blipFill>
                          <a:blip r:embed="rId18" cstate="print"/>
                          <a:stretch>
                            <a:fillRect/>
                          </a:stretch>
                        </pic:blipFill>
                        <pic:spPr>
                          <a:xfrm>
                            <a:off x="0" y="0"/>
                            <a:ext cx="4561241" cy="3028950"/>
                          </a:xfrm>
                          <a:prstGeom prst="rect">
                            <a:avLst/>
                          </a:prstGeom>
                        </pic:spPr>
                      </pic:pic>
                    </a:graphicData>
                  </a:graphic>
                </wp:inline>
              </w:drawing>
            </w:r>
          </w:p>
          <w:p w14:paraId="16AA7A4C" w14:textId="77777777" w:rsidR="00C96521" w:rsidRPr="00C96521" w:rsidRDefault="00C96521" w:rsidP="00C96521">
            <w:pPr>
              <w:widowControl/>
              <w:autoSpaceDE/>
              <w:autoSpaceDN/>
              <w:adjustRightInd/>
              <w:rPr>
                <w:sz w:val="20"/>
                <w:lang w:val="en-GB"/>
              </w:rPr>
            </w:pPr>
          </w:p>
          <w:p w14:paraId="252265B7" w14:textId="77777777" w:rsidR="00C96521" w:rsidRPr="00C96521" w:rsidRDefault="00C96521" w:rsidP="00C96521">
            <w:pPr>
              <w:widowControl/>
              <w:autoSpaceDE/>
              <w:autoSpaceDN/>
              <w:adjustRightInd/>
              <w:rPr>
                <w:sz w:val="20"/>
                <w:lang w:val="en-GB"/>
              </w:rPr>
            </w:pPr>
          </w:p>
        </w:tc>
      </w:tr>
      <w:tr w:rsidR="00C96521" w:rsidRPr="00C96521" w14:paraId="4EC092F3" w14:textId="77777777" w:rsidTr="00C96521">
        <w:trPr>
          <w:trHeight w:val="2124"/>
        </w:trPr>
        <w:tc>
          <w:tcPr>
            <w:tcW w:w="2093" w:type="dxa"/>
            <w:shd w:val="clear" w:color="auto" w:fill="365F91"/>
            <w:vAlign w:val="bottom"/>
          </w:tcPr>
          <w:p w14:paraId="5877B011" w14:textId="77777777" w:rsidR="00C96521" w:rsidRPr="00C96521" w:rsidRDefault="00C96521" w:rsidP="00C96521">
            <w:pPr>
              <w:widowControl/>
              <w:autoSpaceDE/>
              <w:autoSpaceDN/>
              <w:adjustRightInd/>
              <w:spacing w:after="300"/>
              <w:contextualSpacing/>
              <w:jc w:val="center"/>
              <w:rPr>
                <w:rFonts w:eastAsia="MS Gothic"/>
                <w:color w:val="1F497D"/>
                <w:spacing w:val="5"/>
                <w:kern w:val="28"/>
                <w:sz w:val="36"/>
                <w:szCs w:val="52"/>
                <w:lang w:val="en-GB"/>
              </w:rPr>
            </w:pPr>
          </w:p>
          <w:p w14:paraId="02AA5FE9" w14:textId="77777777" w:rsidR="00C96521" w:rsidRPr="00C96521" w:rsidRDefault="00C96521" w:rsidP="00C96521">
            <w:pPr>
              <w:widowControl/>
              <w:autoSpaceDE/>
              <w:autoSpaceDN/>
              <w:adjustRightInd/>
              <w:rPr>
                <w:sz w:val="20"/>
                <w:lang w:val="en-GB"/>
              </w:rPr>
            </w:pPr>
          </w:p>
          <w:p w14:paraId="5D2E180D" w14:textId="77777777" w:rsidR="00C96521" w:rsidRPr="00C96521" w:rsidRDefault="00C96521" w:rsidP="00C96521">
            <w:pPr>
              <w:widowControl/>
              <w:autoSpaceDE/>
              <w:autoSpaceDN/>
              <w:adjustRightInd/>
              <w:rPr>
                <w:sz w:val="20"/>
                <w:lang w:val="en-GB"/>
              </w:rPr>
            </w:pPr>
          </w:p>
          <w:p w14:paraId="4C5DA395" w14:textId="77777777" w:rsidR="00C96521" w:rsidRPr="00C96521" w:rsidRDefault="00C96521" w:rsidP="00C96521">
            <w:pPr>
              <w:widowControl/>
              <w:autoSpaceDE/>
              <w:autoSpaceDN/>
              <w:adjustRightInd/>
              <w:rPr>
                <w:sz w:val="20"/>
                <w:lang w:val="en-GB"/>
              </w:rPr>
            </w:pPr>
          </w:p>
          <w:p w14:paraId="3F597B72" w14:textId="77777777" w:rsidR="00C96521" w:rsidRPr="00C96521" w:rsidRDefault="00C96521" w:rsidP="00C96521">
            <w:pPr>
              <w:widowControl/>
              <w:autoSpaceDE/>
              <w:autoSpaceDN/>
              <w:adjustRightInd/>
              <w:rPr>
                <w:sz w:val="20"/>
                <w:lang w:val="en-GB"/>
              </w:rPr>
            </w:pPr>
          </w:p>
          <w:p w14:paraId="66E1A8F7" w14:textId="77777777" w:rsidR="00C96521" w:rsidRPr="00C96521" w:rsidRDefault="00C96521" w:rsidP="00C96521">
            <w:pPr>
              <w:widowControl/>
              <w:autoSpaceDE/>
              <w:autoSpaceDN/>
              <w:adjustRightInd/>
              <w:rPr>
                <w:sz w:val="20"/>
                <w:lang w:val="en-GB"/>
              </w:rPr>
            </w:pPr>
          </w:p>
          <w:p w14:paraId="7A1C02CA" w14:textId="77777777" w:rsidR="00C96521" w:rsidRPr="00C96521" w:rsidRDefault="00C96521" w:rsidP="00C96521">
            <w:pPr>
              <w:widowControl/>
              <w:autoSpaceDE/>
              <w:autoSpaceDN/>
              <w:adjustRightInd/>
              <w:rPr>
                <w:sz w:val="20"/>
                <w:lang w:val="en-GB"/>
              </w:rPr>
            </w:pPr>
          </w:p>
          <w:p w14:paraId="1FA3F147" w14:textId="77777777" w:rsidR="00C96521" w:rsidRPr="00C96521" w:rsidRDefault="00C96521" w:rsidP="00C96521">
            <w:pPr>
              <w:widowControl/>
              <w:autoSpaceDE/>
              <w:autoSpaceDN/>
              <w:adjustRightInd/>
              <w:rPr>
                <w:sz w:val="20"/>
                <w:lang w:val="en-GB"/>
              </w:rPr>
            </w:pPr>
          </w:p>
        </w:tc>
        <w:tc>
          <w:tcPr>
            <w:tcW w:w="7443" w:type="dxa"/>
            <w:gridSpan w:val="2"/>
            <w:vAlign w:val="bottom"/>
          </w:tcPr>
          <w:p w14:paraId="6F6BE7DD" w14:textId="77777777" w:rsidR="00C96521" w:rsidRPr="00C96521" w:rsidRDefault="00C96521" w:rsidP="00C96521">
            <w:pPr>
              <w:widowControl/>
              <w:autoSpaceDE/>
              <w:autoSpaceDN/>
              <w:adjustRightInd/>
              <w:spacing w:after="300"/>
              <w:contextualSpacing/>
              <w:jc w:val="right"/>
              <w:rPr>
                <w:rFonts w:eastAsia="MS Gothic"/>
                <w:color w:val="1F497D"/>
                <w:spacing w:val="5"/>
                <w:kern w:val="28"/>
                <w:sz w:val="36"/>
                <w:szCs w:val="52"/>
                <w:lang w:val="en-GB"/>
              </w:rPr>
            </w:pPr>
            <w:r w:rsidRPr="00C96521">
              <w:rPr>
                <w:rFonts w:eastAsia="MS Gothic"/>
                <w:noProof/>
                <w:color w:val="1F497D"/>
                <w:spacing w:val="5"/>
                <w:kern w:val="28"/>
                <w:sz w:val="36"/>
                <w:szCs w:val="52"/>
              </w:rPr>
              <w:drawing>
                <wp:inline distT="0" distB="0" distL="0" distR="0" wp14:anchorId="402C3643" wp14:editId="7B2A736A">
                  <wp:extent cx="1774445" cy="828675"/>
                  <wp:effectExtent l="19050" t="0" r="0" b="0"/>
                  <wp:docPr id="29" name="Picture 28" descr="logo_tcm7-396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cm7-396074.png"/>
                          <pic:cNvPicPr/>
                        </pic:nvPicPr>
                        <pic:blipFill>
                          <a:blip r:embed="rId19" cstate="print"/>
                          <a:stretch>
                            <a:fillRect/>
                          </a:stretch>
                        </pic:blipFill>
                        <pic:spPr>
                          <a:xfrm>
                            <a:off x="0" y="0"/>
                            <a:ext cx="1774445" cy="828675"/>
                          </a:xfrm>
                          <a:prstGeom prst="rect">
                            <a:avLst/>
                          </a:prstGeom>
                        </pic:spPr>
                      </pic:pic>
                    </a:graphicData>
                  </a:graphic>
                </wp:inline>
              </w:drawing>
            </w:r>
            <w:r w:rsidRPr="00C96521">
              <w:rPr>
                <w:rFonts w:eastAsia="MS Gothic"/>
                <w:noProof/>
                <w:color w:val="1F497D"/>
                <w:spacing w:val="5"/>
                <w:kern w:val="28"/>
                <w:sz w:val="36"/>
                <w:szCs w:val="52"/>
              </w:rPr>
              <w:drawing>
                <wp:inline distT="0" distB="0" distL="0" distR="0" wp14:anchorId="269AA9DD" wp14:editId="16733C9C">
                  <wp:extent cx="1466850" cy="956072"/>
                  <wp:effectExtent l="0" t="0" r="0" b="0"/>
                  <wp:docPr id="32" name="Picture 31" descr="Birdlifelogo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lifelogo_0.png"/>
                          <pic:cNvPicPr/>
                        </pic:nvPicPr>
                        <pic:blipFill>
                          <a:blip r:embed="rId20" cstate="print"/>
                          <a:srcRect r="81965"/>
                          <a:stretch>
                            <a:fillRect/>
                          </a:stretch>
                        </pic:blipFill>
                        <pic:spPr>
                          <a:xfrm>
                            <a:off x="0" y="0"/>
                            <a:ext cx="1466850" cy="956072"/>
                          </a:xfrm>
                          <a:prstGeom prst="rect">
                            <a:avLst/>
                          </a:prstGeom>
                        </pic:spPr>
                      </pic:pic>
                    </a:graphicData>
                  </a:graphic>
                </wp:inline>
              </w:drawing>
            </w:r>
            <w:r w:rsidRPr="00C96521">
              <w:rPr>
                <w:rFonts w:eastAsia="MS Gothic"/>
                <w:noProof/>
                <w:color w:val="1F497D"/>
                <w:spacing w:val="5"/>
                <w:kern w:val="28"/>
                <w:sz w:val="36"/>
                <w:szCs w:val="52"/>
              </w:rPr>
              <w:drawing>
                <wp:inline distT="0" distB="0" distL="0" distR="0" wp14:anchorId="5DE8DE6C" wp14:editId="49A9C673">
                  <wp:extent cx="1209675" cy="961019"/>
                  <wp:effectExtent l="19050" t="0" r="9525" b="0"/>
                  <wp:docPr id="33" name="Picture 32" descr="FACE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 logo.jpg"/>
                          <pic:cNvPicPr/>
                        </pic:nvPicPr>
                        <pic:blipFill>
                          <a:blip r:embed="rId21" cstate="print"/>
                          <a:stretch>
                            <a:fillRect/>
                          </a:stretch>
                        </pic:blipFill>
                        <pic:spPr>
                          <a:xfrm>
                            <a:off x="0" y="0"/>
                            <a:ext cx="1203364" cy="956005"/>
                          </a:xfrm>
                          <a:prstGeom prst="rect">
                            <a:avLst/>
                          </a:prstGeom>
                        </pic:spPr>
                      </pic:pic>
                    </a:graphicData>
                  </a:graphic>
                </wp:inline>
              </w:drawing>
            </w:r>
          </w:p>
          <w:p w14:paraId="19AAF689" w14:textId="77777777" w:rsidR="00C96521" w:rsidRPr="00C96521" w:rsidRDefault="00C96521" w:rsidP="00C96521">
            <w:pPr>
              <w:widowControl/>
              <w:autoSpaceDE/>
              <w:autoSpaceDN/>
              <w:adjustRightInd/>
              <w:jc w:val="right"/>
              <w:rPr>
                <w:sz w:val="20"/>
                <w:lang w:val="en-GB"/>
              </w:rPr>
            </w:pPr>
            <w:r w:rsidRPr="00C96521">
              <w:rPr>
                <w:noProof/>
                <w:sz w:val="20"/>
              </w:rPr>
              <w:drawing>
                <wp:inline distT="0" distB="0" distL="0" distR="0" wp14:anchorId="112F153A" wp14:editId="056777B5">
                  <wp:extent cx="1816215" cy="894555"/>
                  <wp:effectExtent l="0" t="0" r="0" b="1270"/>
                  <wp:docPr id="5" name="Picture 4" desc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Environment_Logo_English_Short_colour.jpg"/>
                          <pic:cNvPicPr/>
                        </pic:nvPicPr>
                        <pic:blipFill rotWithShape="1">
                          <a:blip r:embed="rId22" cstate="print"/>
                          <a:srcRect t="10349" b="13759"/>
                          <a:stretch/>
                        </pic:blipFill>
                        <pic:spPr bwMode="auto">
                          <a:xfrm>
                            <a:off x="0" y="0"/>
                            <a:ext cx="1819526" cy="896186"/>
                          </a:xfrm>
                          <a:prstGeom prst="rect">
                            <a:avLst/>
                          </a:prstGeom>
                          <a:ln>
                            <a:noFill/>
                          </a:ln>
                          <a:extLst>
                            <a:ext uri="{53640926-AAD7-44D8-BBD7-CCE9431645EC}">
                              <a14:shadowObscured xmlns:a14="http://schemas.microsoft.com/office/drawing/2010/main"/>
                            </a:ext>
                          </a:extLst>
                        </pic:spPr>
                      </pic:pic>
                    </a:graphicData>
                  </a:graphic>
                </wp:inline>
              </w:drawing>
            </w:r>
            <w:r w:rsidRPr="00C96521">
              <w:rPr>
                <w:noProof/>
                <w:sz w:val="20"/>
              </w:rPr>
              <w:drawing>
                <wp:inline distT="0" distB="0" distL="0" distR="0" wp14:anchorId="0CEF3E3D" wp14:editId="2A398CDC">
                  <wp:extent cx="610723" cy="914400"/>
                  <wp:effectExtent l="0" t="0" r="0" b="0"/>
                  <wp:docPr id="97" name="Picture 2" descr="cms_logo_blue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s_logo_blue4c.jpg"/>
                          <pic:cNvPicPr/>
                        </pic:nvPicPr>
                        <pic:blipFill rotWithShape="1">
                          <a:blip r:embed="rId23" cstate="print"/>
                          <a:srcRect b="-6904"/>
                          <a:stretch/>
                        </pic:blipFill>
                        <pic:spPr bwMode="auto">
                          <a:xfrm>
                            <a:off x="0" y="0"/>
                            <a:ext cx="611041" cy="914877"/>
                          </a:xfrm>
                          <a:prstGeom prst="rect">
                            <a:avLst/>
                          </a:prstGeom>
                          <a:ln>
                            <a:noFill/>
                          </a:ln>
                          <a:extLst>
                            <a:ext uri="{53640926-AAD7-44D8-BBD7-CCE9431645EC}">
                              <a14:shadowObscured xmlns:a14="http://schemas.microsoft.com/office/drawing/2010/main"/>
                            </a:ext>
                          </a:extLst>
                        </pic:spPr>
                      </pic:pic>
                    </a:graphicData>
                  </a:graphic>
                </wp:inline>
              </w:drawing>
            </w:r>
          </w:p>
        </w:tc>
      </w:tr>
    </w:tbl>
    <w:p w14:paraId="3E2DC9EA" w14:textId="77777777" w:rsidR="00C96521" w:rsidRDefault="00C96521" w:rsidP="00C96521">
      <w:pPr>
        <w:widowControl/>
        <w:autoSpaceDE/>
        <w:autoSpaceDN/>
        <w:adjustRightInd/>
        <w:spacing w:line="276" w:lineRule="auto"/>
        <w:rPr>
          <w:rFonts w:eastAsia="Calibri"/>
          <w:sz w:val="20"/>
          <w:szCs w:val="22"/>
          <w:lang w:val="en-GB" w:eastAsia="ja-JP"/>
        </w:rPr>
        <w:sectPr w:rsidR="00C96521" w:rsidSect="00C96521">
          <w:headerReference w:type="even" r:id="rId24"/>
          <w:headerReference w:type="first" r:id="rId25"/>
          <w:footerReference w:type="first" r:id="rId26"/>
          <w:pgSz w:w="11920" w:h="16840"/>
          <w:pgMar w:top="1276" w:right="1300" w:bottom="920" w:left="1300" w:header="730" w:footer="738" w:gutter="0"/>
          <w:cols w:space="720"/>
          <w:titlePg/>
          <w:docGrid w:linePitch="299"/>
        </w:sectPr>
      </w:pPr>
      <w:r w:rsidRPr="00C96521">
        <w:rPr>
          <w:rFonts w:eastAsia="MS Mincho"/>
          <w:noProof/>
          <w:sz w:val="20"/>
          <w:szCs w:val="22"/>
        </w:rPr>
        <mc:AlternateContent>
          <mc:Choice Requires="wps">
            <w:drawing>
              <wp:anchor distT="0" distB="0" distL="114300" distR="114300" simplePos="0" relativeHeight="251659776" behindDoc="0" locked="0" layoutInCell="1" allowOverlap="1" wp14:anchorId="3A908868" wp14:editId="55CDC14A">
                <wp:simplePos x="0" y="0"/>
                <wp:positionH relativeFrom="column">
                  <wp:posOffset>4318000</wp:posOffset>
                </wp:positionH>
                <wp:positionV relativeFrom="paragraph">
                  <wp:posOffset>3448685</wp:posOffset>
                </wp:positionV>
                <wp:extent cx="1104900" cy="238125"/>
                <wp:effectExtent l="0" t="1905" r="0" b="0"/>
                <wp:wrapNone/>
                <wp:docPr id="88"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97E93" w14:textId="77777777" w:rsidR="00C46CCB" w:rsidRPr="00C96521" w:rsidRDefault="00C46CCB" w:rsidP="00C96521">
                            <w:pPr>
                              <w:rPr>
                                <w:color w:val="FFFFFF"/>
                              </w:rPr>
                            </w:pPr>
                            <w:r w:rsidRPr="00C96521">
                              <w:rPr>
                                <w:color w:val="FFFFFF"/>
                              </w:rPr>
                              <w:t>© John Mallord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908868" id="Text Box 99" o:spid="_x0000_s1027" type="#_x0000_t202" style="position:absolute;margin-left:340pt;margin-top:271.55pt;width:87pt;height:18.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7+htw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" filled="f" stroked="f">
                <v:textbox>
                  <w:txbxContent>
                    <w:p w14:paraId="6DD97E93" w14:textId="77777777" w:rsidR="00C46CCB" w:rsidRPr="00C96521" w:rsidRDefault="00C46CCB" w:rsidP="00C96521">
                      <w:pPr>
                        <w:rPr>
                          <w:color w:val="FFFFFF"/>
                        </w:rPr>
                      </w:pPr>
                      <w:r w:rsidRPr="00C96521">
                        <w:rPr>
                          <w:color w:val="FFFFFF"/>
                        </w:rPr>
                        <w:t>© John Mallord</w:t>
                      </w:r>
                    </w:p>
                  </w:txbxContent>
                </v:textbox>
              </v:shape>
            </w:pict>
          </mc:Fallback>
        </mc:AlternateContent>
      </w:r>
      <w:r w:rsidRPr="00C96521">
        <w:rPr>
          <w:rFonts w:eastAsia="Calibri"/>
          <w:sz w:val="20"/>
          <w:szCs w:val="22"/>
          <w:lang w:val="en-GB" w:eastAsia="ja-JP"/>
        </w:rPr>
        <w:t xml:space="preserve"> </w:t>
      </w:r>
    </w:p>
    <w:p w14:paraId="3E16A38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lastRenderedPageBreak/>
        <w:t>Adopting Frameworks:</w:t>
      </w:r>
      <w:r w:rsidRPr="00C96521">
        <w:rPr>
          <w:rFonts w:eastAsia="MS Mincho"/>
          <w:spacing w:val="-1"/>
          <w:sz w:val="16"/>
          <w:szCs w:val="16"/>
          <w:lang w:val="en-GB" w:eastAsia="ja-JP"/>
        </w:rPr>
        <w:t xml:space="preserve"> </w:t>
      </w:r>
      <w:r w:rsidRPr="00C96521">
        <w:rPr>
          <w:rFonts w:eastAsia="MS Mincho"/>
          <w:i/>
          <w:spacing w:val="-1"/>
          <w:sz w:val="16"/>
          <w:szCs w:val="16"/>
          <w:lang w:val="en-GB" w:eastAsia="ja-JP"/>
        </w:rPr>
        <w:t>to be completed for final version, depending on timetable.</w:t>
      </w:r>
      <w:r w:rsidRPr="00C96521">
        <w:rPr>
          <w:rFonts w:eastAsia="MS Mincho"/>
          <w:spacing w:val="-1"/>
          <w:sz w:val="16"/>
          <w:szCs w:val="16"/>
          <w:lang w:val="en-GB" w:eastAsia="ja-JP"/>
        </w:rPr>
        <w:t xml:space="preserve"> The Action Plan was prepared through EuroSAP, a LIFE preparatory project, co-financed by the European Commission Directorate General for the Environment, the African-Eurasian Migratory Waterbird Agreement (AEWA), and by each of the project partners, and coordinated by BirdLife International. http://www.birdlife.org/europe-and-central-asia/project/life-eurosap submitted 30-11-2015.</w:t>
      </w:r>
    </w:p>
    <w:p w14:paraId="058C20CD"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6BD31922" w14:textId="77777777" w:rsidR="00C96521" w:rsidRPr="00C96521" w:rsidRDefault="00C96521" w:rsidP="00C96521">
      <w:pPr>
        <w:widowControl/>
        <w:autoSpaceDE/>
        <w:autoSpaceDN/>
        <w:adjustRightInd/>
        <w:spacing w:line="276" w:lineRule="auto"/>
        <w:rPr>
          <w:rFonts w:eastAsia="MS Mincho"/>
          <w:b/>
          <w:spacing w:val="2"/>
          <w:sz w:val="16"/>
          <w:szCs w:val="16"/>
          <w:lang w:val="en-GB" w:eastAsia="ja-JP"/>
        </w:rPr>
      </w:pPr>
      <w:r w:rsidRPr="00C96521">
        <w:rPr>
          <w:rFonts w:eastAsia="MS Mincho"/>
          <w:b/>
          <w:spacing w:val="-1"/>
          <w:sz w:val="16"/>
          <w:szCs w:val="16"/>
          <w:lang w:val="en-GB" w:eastAsia="ja-JP"/>
        </w:rPr>
        <w:t>C</w:t>
      </w:r>
      <w:r w:rsidRPr="00C96521">
        <w:rPr>
          <w:rFonts w:eastAsia="MS Mincho"/>
          <w:b/>
          <w:sz w:val="16"/>
          <w:szCs w:val="16"/>
          <w:lang w:val="en-GB" w:eastAsia="ja-JP"/>
        </w:rPr>
        <w:t>omp</w:t>
      </w:r>
      <w:r w:rsidRPr="00C96521">
        <w:rPr>
          <w:rFonts w:eastAsia="MS Mincho"/>
          <w:b/>
          <w:spacing w:val="1"/>
          <w:sz w:val="16"/>
          <w:szCs w:val="16"/>
          <w:lang w:val="en-GB" w:eastAsia="ja-JP"/>
        </w:rPr>
        <w:t>i</w:t>
      </w:r>
      <w:r w:rsidRPr="00C96521">
        <w:rPr>
          <w:rFonts w:eastAsia="MS Mincho"/>
          <w:b/>
          <w:sz w:val="16"/>
          <w:szCs w:val="16"/>
          <w:lang w:val="en-GB" w:eastAsia="ja-JP"/>
        </w:rPr>
        <w:t xml:space="preserve">lers: </w:t>
      </w:r>
      <w:r w:rsidRPr="00C96521">
        <w:rPr>
          <w:rFonts w:eastAsia="MS Mincho"/>
          <w:b/>
          <w:spacing w:val="2"/>
          <w:sz w:val="16"/>
          <w:szCs w:val="16"/>
          <w:lang w:val="en-GB" w:eastAsia="ja-JP"/>
        </w:rPr>
        <w:t>Ian Fisher</w:t>
      </w:r>
      <w:r w:rsidRPr="00C96521">
        <w:rPr>
          <w:rFonts w:eastAsia="MS Mincho"/>
          <w:b/>
          <w:spacing w:val="2"/>
          <w:sz w:val="16"/>
          <w:szCs w:val="16"/>
          <w:vertAlign w:val="superscript"/>
          <w:lang w:val="en-GB" w:eastAsia="ja-JP"/>
        </w:rPr>
        <w:t>1</w:t>
      </w:r>
      <w:r w:rsidRPr="00C96521">
        <w:rPr>
          <w:rFonts w:eastAsia="MS Mincho"/>
          <w:b/>
          <w:spacing w:val="2"/>
          <w:sz w:val="16"/>
          <w:szCs w:val="16"/>
          <w:lang w:val="en-GB" w:eastAsia="ja-JP"/>
        </w:rPr>
        <w:t xml:space="preserve">, </w:t>
      </w:r>
      <w:r w:rsidRPr="00C96521">
        <w:rPr>
          <w:rFonts w:eastAsia="MS Mincho"/>
          <w:b/>
          <w:spacing w:val="1"/>
          <w:sz w:val="16"/>
          <w:szCs w:val="16"/>
          <w:lang w:val="en-GB" w:eastAsia="ja-JP"/>
        </w:rPr>
        <w:t>Joscelyne Ashpole</w:t>
      </w:r>
      <w:r w:rsidRPr="00C96521">
        <w:rPr>
          <w:rFonts w:eastAsia="MS Mincho"/>
          <w:b/>
          <w:spacing w:val="1"/>
          <w:sz w:val="16"/>
          <w:szCs w:val="16"/>
          <w:vertAlign w:val="superscript"/>
          <w:lang w:val="en-GB" w:eastAsia="ja-JP"/>
        </w:rPr>
        <w:t>1</w:t>
      </w:r>
      <w:r w:rsidRPr="00C96521">
        <w:rPr>
          <w:rFonts w:eastAsia="MS Mincho"/>
          <w:b/>
          <w:spacing w:val="2"/>
          <w:sz w:val="16"/>
          <w:szCs w:val="16"/>
          <w:lang w:val="en-GB" w:eastAsia="ja-JP"/>
        </w:rPr>
        <w:t>, David Scallan</w:t>
      </w:r>
      <w:r w:rsidRPr="00C96521">
        <w:rPr>
          <w:rFonts w:eastAsia="MS Mincho"/>
          <w:b/>
          <w:spacing w:val="2"/>
          <w:sz w:val="16"/>
          <w:szCs w:val="16"/>
          <w:vertAlign w:val="superscript"/>
          <w:lang w:val="en-GB" w:eastAsia="ja-JP"/>
        </w:rPr>
        <w:t>2</w:t>
      </w:r>
      <w:r w:rsidRPr="00C96521">
        <w:rPr>
          <w:rFonts w:eastAsia="MS Mincho"/>
          <w:b/>
          <w:spacing w:val="2"/>
          <w:sz w:val="16"/>
          <w:szCs w:val="16"/>
          <w:lang w:val="en-GB" w:eastAsia="ja-JP"/>
        </w:rPr>
        <w:t>, Carles Carboneras</w:t>
      </w:r>
      <w:r w:rsidRPr="00C96521">
        <w:rPr>
          <w:rFonts w:eastAsia="MS Mincho"/>
          <w:b/>
          <w:spacing w:val="2"/>
          <w:sz w:val="16"/>
          <w:szCs w:val="16"/>
          <w:vertAlign w:val="superscript"/>
          <w:lang w:val="en-GB" w:eastAsia="ja-JP"/>
        </w:rPr>
        <w:t>1</w:t>
      </w:r>
      <w:r w:rsidRPr="00C96521">
        <w:rPr>
          <w:rFonts w:eastAsia="MS Mincho"/>
          <w:b/>
          <w:spacing w:val="2"/>
          <w:sz w:val="16"/>
          <w:szCs w:val="16"/>
          <w:lang w:val="en-GB" w:eastAsia="ja-JP"/>
        </w:rPr>
        <w:t xml:space="preserve"> and Tara Proud</w:t>
      </w:r>
      <w:r w:rsidRPr="00C96521">
        <w:rPr>
          <w:rFonts w:eastAsia="MS Mincho"/>
          <w:b/>
          <w:spacing w:val="2"/>
          <w:sz w:val="16"/>
          <w:szCs w:val="16"/>
          <w:vertAlign w:val="superscript"/>
          <w:lang w:val="en-GB" w:eastAsia="ja-JP"/>
        </w:rPr>
        <w:t>1</w:t>
      </w:r>
    </w:p>
    <w:p w14:paraId="1C782431" w14:textId="77777777" w:rsidR="00C96521" w:rsidRPr="00C96521" w:rsidRDefault="00C96521" w:rsidP="00C96521">
      <w:pPr>
        <w:widowControl/>
        <w:autoSpaceDE/>
        <w:autoSpaceDN/>
        <w:adjustRightInd/>
        <w:spacing w:line="276" w:lineRule="auto"/>
        <w:rPr>
          <w:rFonts w:eastAsia="MS Mincho"/>
          <w:spacing w:val="2"/>
          <w:sz w:val="16"/>
          <w:szCs w:val="16"/>
          <w:lang w:val="en-GB" w:eastAsia="ja-JP"/>
        </w:rPr>
      </w:pPr>
      <w:r w:rsidRPr="00C96521">
        <w:rPr>
          <w:rFonts w:eastAsia="MS Mincho"/>
          <w:spacing w:val="2"/>
          <w:sz w:val="16"/>
          <w:szCs w:val="16"/>
          <w:vertAlign w:val="superscript"/>
          <w:lang w:val="en-GB" w:eastAsia="ja-JP"/>
        </w:rPr>
        <w:t>1</w:t>
      </w:r>
      <w:r w:rsidRPr="00C96521">
        <w:rPr>
          <w:rFonts w:eastAsia="MS Mincho"/>
          <w:spacing w:val="2"/>
          <w:sz w:val="16"/>
          <w:szCs w:val="16"/>
          <w:lang w:val="en-GB" w:eastAsia="ja-JP"/>
        </w:rPr>
        <w:t>RSPB, The Lodge, Sandy, Bedfordshire, SG19 2DL, United Kingdom.</w:t>
      </w:r>
    </w:p>
    <w:p w14:paraId="48112293" w14:textId="77777777" w:rsidR="00C96521" w:rsidRPr="00C96521" w:rsidRDefault="00C96521" w:rsidP="00C96521">
      <w:pPr>
        <w:widowControl/>
        <w:autoSpaceDE/>
        <w:autoSpaceDN/>
        <w:adjustRightInd/>
        <w:spacing w:line="276" w:lineRule="auto"/>
        <w:rPr>
          <w:rFonts w:eastAsia="MS Mincho"/>
          <w:spacing w:val="2"/>
          <w:sz w:val="16"/>
          <w:szCs w:val="16"/>
          <w:lang w:val="en-GB" w:eastAsia="ja-JP"/>
        </w:rPr>
      </w:pPr>
      <w:r w:rsidRPr="00C96521">
        <w:rPr>
          <w:rFonts w:eastAsia="MS Mincho"/>
          <w:spacing w:val="2"/>
          <w:sz w:val="16"/>
          <w:szCs w:val="16"/>
          <w:vertAlign w:val="superscript"/>
          <w:lang w:val="en-GB" w:eastAsia="ja-JP"/>
        </w:rPr>
        <w:t>2</w:t>
      </w:r>
      <w:r w:rsidRPr="00C96521">
        <w:rPr>
          <w:rFonts w:eastAsia="MS Mincho"/>
          <w:spacing w:val="2"/>
          <w:sz w:val="16"/>
          <w:szCs w:val="16"/>
          <w:lang w:val="en-GB" w:eastAsia="ja-JP"/>
        </w:rPr>
        <w:t>The European Federation of Associations for Hunting and Conservation (FACE), Rue F. Pelletier 82, 1030 Brussels, Belgium.</w:t>
      </w:r>
    </w:p>
    <w:p w14:paraId="546832C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3C70B9CF" w14:textId="7A534B1D" w:rsidR="00C96521" w:rsidRPr="00C96521" w:rsidRDefault="00C96521" w:rsidP="00C96521">
      <w:pPr>
        <w:widowControl/>
        <w:autoSpaceDE/>
        <w:autoSpaceDN/>
        <w:adjustRightInd/>
        <w:spacing w:line="276" w:lineRule="auto"/>
        <w:rPr>
          <w:rFonts w:cs="Arial"/>
          <w:sz w:val="16"/>
          <w:szCs w:val="16"/>
          <w:lang w:val="en-GB" w:eastAsia="en-GB"/>
        </w:rPr>
      </w:pPr>
      <w:r w:rsidRPr="00C96521">
        <w:rPr>
          <w:rFonts w:eastAsia="MS Mincho"/>
          <w:b/>
          <w:spacing w:val="1"/>
          <w:sz w:val="16"/>
          <w:szCs w:val="16"/>
          <w:lang w:val="en-GB" w:eastAsia="ja-JP"/>
        </w:rPr>
        <w:t>Contributors:</w:t>
      </w:r>
      <w:r w:rsidRPr="00C96521">
        <w:rPr>
          <w:rFonts w:eastAsia="MS Mincho"/>
          <w:spacing w:val="1"/>
          <w:sz w:val="16"/>
          <w:szCs w:val="16"/>
          <w:lang w:val="en-GB" w:eastAsia="ja-JP"/>
        </w:rPr>
        <w:t xml:space="preserve"> </w:t>
      </w:r>
      <w:r w:rsidRPr="00C96521">
        <w:rPr>
          <w:rFonts w:cs="Arial"/>
          <w:sz w:val="16"/>
          <w:szCs w:val="16"/>
          <w:lang w:val="en-GB" w:eastAsia="en-GB"/>
        </w:rPr>
        <w:t xml:space="preserve">Júlia Almeida (Instituto da Conservação da Natureza e das Florestas, Portugal), Alessandro Andreotti (ISPRA, Italy), </w:t>
      </w:r>
      <w:r w:rsidRPr="00C96521">
        <w:rPr>
          <w:rFonts w:eastAsia="MS Mincho" w:cs="Arial"/>
          <w:spacing w:val="1"/>
          <w:sz w:val="16"/>
          <w:szCs w:val="16"/>
          <w:lang w:val="en-GB" w:eastAsia="ja-JP"/>
        </w:rPr>
        <w:t xml:space="preserve">Džiugas Anuškevicius (Protected Area Strategy Division, Lithuania), Jean-Pierre Arnauduc (Chasseurs de France, FACE), </w:t>
      </w:r>
      <w:r w:rsidRPr="00C96521">
        <w:rPr>
          <w:rFonts w:cs="Arial"/>
          <w:sz w:val="16"/>
          <w:szCs w:val="16"/>
          <w:lang w:val="en-GB" w:eastAsia="en-GB"/>
        </w:rPr>
        <w:t xml:space="preserve">Beatriz Arroyo López (Instituto de Investigacion en Recursos Cinegeticos, Spain), </w:t>
      </w:r>
      <w:r w:rsidRPr="00C96521">
        <w:rPr>
          <w:rFonts w:eastAsia="MS Mincho" w:cs="Arial"/>
          <w:sz w:val="16"/>
          <w:szCs w:val="16"/>
          <w:lang w:val="en-GB" w:eastAsia="en-GB"/>
        </w:rPr>
        <w:t xml:space="preserve">Zeynel Arslangündogdu (Forestry Department, Istanbul University, Turkey), Marita Arvela (DG ENV.D3 Nature Protection Unit), </w:t>
      </w:r>
      <w:r w:rsidRPr="00C96521">
        <w:rPr>
          <w:rFonts w:cs="Arial"/>
          <w:sz w:val="16"/>
          <w:szCs w:val="16"/>
          <w:lang w:val="en-GB" w:eastAsia="en-GB"/>
        </w:rPr>
        <w:t xml:space="preserve">Juan Carlos Atienza (SEO/BirdLife, Spain), Ainars Aunins (University of Latvia), </w:t>
      </w:r>
      <w:r w:rsidRPr="00C96521">
        <w:rPr>
          <w:rFonts w:eastAsia="MS Mincho" w:cs="Arial"/>
          <w:sz w:val="16"/>
          <w:szCs w:val="16"/>
          <w:lang w:val="en-GB" w:eastAsia="en-GB"/>
        </w:rPr>
        <w:t xml:space="preserve">Raffael Ayé (BirdLife Switzerland), </w:t>
      </w:r>
      <w:r w:rsidRPr="00C96521">
        <w:rPr>
          <w:rFonts w:cs="Arial"/>
          <w:sz w:val="16"/>
          <w:szCs w:val="16"/>
          <w:lang w:val="en-GB" w:eastAsia="en-GB"/>
        </w:rPr>
        <w:t xml:space="preserve">Miguel Aymerich Huyghues-Despointes (Dirección General de Calidad y Evaluación Ambiental y Medio Natural, Spain), Ali El Ayoubi (Service de la Cynégétique et de la Pisciculture Continentale, Morocco), Dimitrios E Bakaloudis (Aristotle University of Thessaloniki, Greece), Attila Bankovics (Hungarian Natural History Museum), Nicholas Barbara (BirdLife Malta), Sanja Barišić (Institute of Ornithology CASA, Croatia), Christos Barboutis (HOS, BirdLife Greece), Clive R Barlow (Birds of The Gambia), Mikis Bastian (natur&amp;ëmwelt, BirdLife Luxembourg), Oscar Beltrán (Oficina Nacional de Caza, Spain), Ettayib Bensaci (ANAO, Algeria), </w:t>
      </w:r>
      <w:r w:rsidRPr="00C96521">
        <w:rPr>
          <w:rFonts w:eastAsia="MS Mincho" w:cs="Arial"/>
          <w:spacing w:val="1"/>
          <w:sz w:val="16"/>
          <w:szCs w:val="16"/>
          <w:lang w:val="en-GB" w:eastAsia="ja-JP"/>
        </w:rPr>
        <w:t xml:space="preserve">Andrej Bibic (Sector for Nature Conservation, Slovenia), </w:t>
      </w:r>
      <w:r w:rsidRPr="00C96521">
        <w:rPr>
          <w:rFonts w:eastAsia="MS Mincho" w:cs="Arial"/>
          <w:sz w:val="16"/>
          <w:szCs w:val="16"/>
          <w:lang w:val="en-GB" w:eastAsia="en-GB"/>
        </w:rPr>
        <w:t xml:space="preserve">Olivier Bibier (AEMLAP), </w:t>
      </w:r>
      <w:r w:rsidRPr="00C96521">
        <w:rPr>
          <w:rFonts w:eastAsia="MS Mincho" w:cs="Arial"/>
          <w:spacing w:val="1"/>
          <w:sz w:val="16"/>
          <w:szCs w:val="16"/>
          <w:lang w:val="en-GB" w:eastAsia="ja-JP"/>
        </w:rPr>
        <w:t xml:space="preserve">Gilles Biver (Department of Environment, Ministry of Sustainable Development and Infrastructure, Luxembourg), </w:t>
      </w:r>
      <w:r w:rsidRPr="00C96521">
        <w:rPr>
          <w:rFonts w:cs="Arial"/>
          <w:sz w:val="16"/>
          <w:szCs w:val="16"/>
          <w:lang w:val="en-GB" w:eastAsia="en-GB"/>
        </w:rPr>
        <w:t xml:space="preserve">Jules Bos (Vogelbescherming Nederland, BirdLife Netherlands), </w:t>
      </w:r>
      <w:r w:rsidRPr="00C96521">
        <w:rPr>
          <w:rFonts w:eastAsia="MS Mincho" w:cs="Arial"/>
          <w:sz w:val="16"/>
          <w:szCs w:val="16"/>
          <w:lang w:val="en-GB" w:eastAsia="en-GB"/>
        </w:rPr>
        <w:t xml:space="preserve">Willem van den Bossche (BirdLife Europe Secretariat), Pamela Braham (RSPB, BirdLife UK), Micheál Ó Briain (DG ENV.D3 Nature Protection Unit), </w:t>
      </w:r>
      <w:r w:rsidRPr="00C96521">
        <w:rPr>
          <w:rFonts w:cs="Arial"/>
          <w:sz w:val="16"/>
          <w:szCs w:val="16"/>
          <w:lang w:val="en-GB" w:eastAsia="en-GB"/>
        </w:rPr>
        <w:t xml:space="preserve">Joost Brouwer (Brouwer Consultancy, West African Bird Database), Stephen Brown (GCT, </w:t>
      </w:r>
      <w:r w:rsidR="00BE5EF4">
        <w:rPr>
          <w:rFonts w:cs="Arial"/>
          <w:sz w:val="16"/>
          <w:szCs w:val="16"/>
          <w:lang w:val="en-GB" w:eastAsia="en-GB"/>
        </w:rPr>
        <w:t>t</w:t>
      </w:r>
      <w:r w:rsidRPr="00C96521">
        <w:rPr>
          <w:rFonts w:cs="Arial"/>
          <w:sz w:val="16"/>
          <w:szCs w:val="16"/>
          <w:lang w:val="en-GB" w:eastAsia="en-GB"/>
        </w:rPr>
        <w:t xml:space="preserve">he Gambia), </w:t>
      </w:r>
      <w:r w:rsidRPr="00C96521">
        <w:rPr>
          <w:rFonts w:eastAsia="MS Mincho" w:cs="Arial"/>
          <w:sz w:val="16"/>
          <w:szCs w:val="16"/>
          <w:lang w:val="en-GB" w:eastAsia="en-GB"/>
        </w:rPr>
        <w:t xml:space="preserve">Ariel Brunner (BirdLife Europe Secretariat), </w:t>
      </w:r>
      <w:r w:rsidRPr="00C96521">
        <w:rPr>
          <w:rFonts w:cs="Arial"/>
          <w:sz w:val="16"/>
          <w:szCs w:val="16"/>
          <w:lang w:val="en-GB" w:eastAsia="en-GB"/>
        </w:rPr>
        <w:t xml:space="preserve">Ivan Budinski (BIOM, BirdLife Croatia), Sebastian Bugariu (SOR, BirdLife Romania), Malte Busch (Dachverband Deutscher Avifaunisten, Germany), Sara Cabezas (SEO/BirdLife, Spain), Wendy Cain (RSPB, BirdLife UK), </w:t>
      </w:r>
      <w:r w:rsidRPr="00C96521">
        <w:rPr>
          <w:rFonts w:eastAsia="MS Mincho" w:cs="Arial"/>
          <w:sz w:val="16"/>
          <w:szCs w:val="16"/>
          <w:lang w:val="en-GB" w:eastAsia="en-GB"/>
        </w:rPr>
        <w:t xml:space="preserve">Carles Carboneras (RSPB, BirdLife UK), </w:t>
      </w:r>
      <w:r w:rsidRPr="00C96521">
        <w:rPr>
          <w:rFonts w:cs="Arial"/>
          <w:sz w:val="16"/>
          <w:szCs w:val="16"/>
          <w:lang w:val="en-GB" w:eastAsia="en-GB"/>
        </w:rPr>
        <w:t xml:space="preserve">Elisabetta de Carli (MITO2000, Italy), Gonçalo Nuno Carrasqueira Lopes (Instituto da Conservação da Natureza e das Florestas, Portugal), Ana Carricondo (SEO/BirdLife, Spain), Elaine Caruana (Maltese Government Wild Birds Unit), Claudio Celada (LIPU, BirdLife Italy), Tomasz Chodkiewicz (OTOP, BirdLife Poland), Jacques Comolet-Tirman (Muséum National d'Histoire Naturelle, France), Carole Cook (RSPB, BirdLife UK), Alexandre Czajkowski (OMPO, France), Zoltán Czirák (Ministry of Agriculture, Hungary), Ivana Czocherova (BirdLife Slovakia), Mohamed Dakki (GREPOM, BirdLife Morocco), Bernard Deceuninck (LPO, France), </w:t>
      </w:r>
      <w:r w:rsidRPr="00C96521">
        <w:rPr>
          <w:rFonts w:eastAsia="MS Mincho" w:cs="Arial"/>
          <w:spacing w:val="1"/>
          <w:sz w:val="16"/>
          <w:szCs w:val="16"/>
          <w:lang w:val="en-GB" w:eastAsia="ja-JP"/>
        </w:rPr>
        <w:t xml:space="preserve">Miro Demko (SOS, BirdLife Slovakia), </w:t>
      </w:r>
      <w:r w:rsidRPr="00C96521">
        <w:rPr>
          <w:rFonts w:cs="Arial"/>
          <w:sz w:val="16"/>
          <w:szCs w:val="16"/>
          <w:lang w:val="en-GB" w:eastAsia="en-GB"/>
        </w:rPr>
        <w:t xml:space="preserve">Abdoulaye Diallo (AMCFE, Mali), Djibril Diallo (Nature Maritanie, BirdLife Mauritania), Susana Dias (CEABN/InBIO, University of Lisbon, Portugal), Gerald Driessens (Natuurpunt, BirdLife Belgium, Flanders), </w:t>
      </w:r>
      <w:r w:rsidRPr="00C96521">
        <w:rPr>
          <w:rFonts w:eastAsia="MS Mincho" w:cs="Arial"/>
          <w:sz w:val="16"/>
          <w:szCs w:val="16"/>
          <w:lang w:val="en-GB" w:eastAsia="en-GB"/>
        </w:rPr>
        <w:t xml:space="preserve">Jenny Dunn (RSPB, BirdLife UK), </w:t>
      </w:r>
      <w:r w:rsidRPr="00C96521">
        <w:rPr>
          <w:rFonts w:cs="Arial"/>
          <w:sz w:val="16"/>
          <w:szCs w:val="16"/>
          <w:lang w:val="en-GB" w:eastAsia="en-GB"/>
        </w:rPr>
        <w:t xml:space="preserve">Eugenio Duprè (ISPRA, Italy), Michael Dvorak (BirdLife Österreich, BirdLife Austria), Ali El Ayoubi (Service de la Cynégétique et de la Pisciculture Continentale, Morocco), Jaanus Elts (EOS, BirdLife Estonia), Cyril Eraud (ONCFS, France), </w:t>
      </w:r>
      <w:r w:rsidRPr="00C96521">
        <w:rPr>
          <w:rFonts w:eastAsia="MS Mincho" w:cs="Arial"/>
          <w:sz w:val="16"/>
          <w:szCs w:val="16"/>
          <w:lang w:val="en-GB" w:eastAsia="en-GB"/>
        </w:rPr>
        <w:t xml:space="preserve">Levent Erkol (Doğa Derneği, BirdLife Turkey), </w:t>
      </w:r>
      <w:r w:rsidRPr="00C96521">
        <w:rPr>
          <w:rFonts w:cs="Arial"/>
          <w:sz w:val="16"/>
          <w:szCs w:val="16"/>
          <w:lang w:val="en-GB" w:eastAsia="en-GB"/>
        </w:rPr>
        <w:t>Virginia Escandell (SEO/BirdLife, Spain), Yves Ferrand (ONCFS, France), Nick Folkard (RSPB, BirdLife UK), Lorenzo Fornasari (MITO2000, Italy), Nagy Gergö Gábor (</w:t>
      </w:r>
      <w:r w:rsidRPr="00C96521">
        <w:rPr>
          <w:rFonts w:eastAsia="MS Mincho" w:cs="Arial"/>
          <w:spacing w:val="1"/>
          <w:sz w:val="16"/>
          <w:szCs w:val="16"/>
          <w:lang w:val="en-GB" w:eastAsia="ja-JP"/>
        </w:rPr>
        <w:t>Department of Nature Conservation,</w:t>
      </w:r>
      <w:r w:rsidRPr="00C96521">
        <w:rPr>
          <w:rFonts w:cs="Arial"/>
          <w:sz w:val="16"/>
          <w:szCs w:val="16"/>
          <w:lang w:val="en-GB" w:eastAsia="en-GB"/>
        </w:rPr>
        <w:t xml:space="preserve"> Ministry of Agriculture, Hungary), </w:t>
      </w:r>
      <w:r w:rsidRPr="00C96521">
        <w:rPr>
          <w:rFonts w:eastAsia="MS Mincho" w:cs="Arial"/>
          <w:spacing w:val="1"/>
          <w:sz w:val="16"/>
          <w:szCs w:val="16"/>
          <w:lang w:val="en-GB" w:eastAsia="ja-JP"/>
        </w:rPr>
        <w:t xml:space="preserve">Valeri Georgiev (National Nature Protection Service, Ministry of Environment and Water, Bulgaria), </w:t>
      </w:r>
      <w:r w:rsidRPr="00C96521">
        <w:rPr>
          <w:rFonts w:eastAsia="MS Mincho" w:cs="Arial"/>
          <w:sz w:val="16"/>
          <w:szCs w:val="16"/>
          <w:lang w:val="en-GB" w:eastAsia="en-GB"/>
        </w:rPr>
        <w:t xml:space="preserve">Nabegh Ghazal Asswad (SSCW, BirdLife Syria), </w:t>
      </w:r>
      <w:r w:rsidRPr="00C96521">
        <w:rPr>
          <w:rFonts w:cs="Arial"/>
          <w:sz w:val="16"/>
          <w:szCs w:val="16"/>
          <w:lang w:val="en-GB" w:eastAsia="en-GB"/>
        </w:rPr>
        <w:t xml:space="preserve">Gabriella Göcző (MME, BirdLife Hungary), Sergei Golovkin (Maltese Government Wild Birds Unit), </w:t>
      </w:r>
      <w:r w:rsidRPr="00C96521">
        <w:rPr>
          <w:rFonts w:eastAsia="MS Mincho" w:cs="Arial"/>
          <w:sz w:val="16"/>
          <w:szCs w:val="16"/>
          <w:lang w:val="en-GB" w:eastAsia="en-GB"/>
        </w:rPr>
        <w:t xml:space="preserve">Igor Gorban (Ivan Franko Lviv National University, Ukraine), Richard Gregory (RSPB, BirdLife UK), </w:t>
      </w:r>
      <w:r w:rsidRPr="00C96521">
        <w:rPr>
          <w:rFonts w:eastAsia="MS Mincho" w:cs="Arial"/>
          <w:spacing w:val="1"/>
          <w:sz w:val="16"/>
          <w:szCs w:val="16"/>
          <w:lang w:val="en-GB" w:eastAsia="ja-JP"/>
        </w:rPr>
        <w:t xml:space="preserve">Phil Grice (Natural England, UK), </w:t>
      </w:r>
      <w:r w:rsidRPr="00C96521">
        <w:rPr>
          <w:rFonts w:cs="Arial"/>
          <w:color w:val="000000"/>
          <w:sz w:val="16"/>
          <w:szCs w:val="16"/>
          <w:lang w:val="en-GB" w:eastAsia="ja-JP"/>
        </w:rPr>
        <w:t>Vitalie Grimalschi (</w:t>
      </w:r>
      <w:r w:rsidRPr="00C96521">
        <w:rPr>
          <w:rFonts w:eastAsia="MS Mincho" w:cs="Arial"/>
          <w:color w:val="000000"/>
          <w:sz w:val="16"/>
          <w:szCs w:val="16"/>
          <w:lang w:eastAsia="ja-JP"/>
        </w:rPr>
        <w:t xml:space="preserve">Society for Bird and Nature Protection, Moldova), </w:t>
      </w:r>
      <w:r w:rsidRPr="00C96521">
        <w:rPr>
          <w:rFonts w:cs="Arial"/>
          <w:sz w:val="16"/>
          <w:szCs w:val="16"/>
          <w:lang w:val="en-GB" w:eastAsia="en-GB"/>
        </w:rPr>
        <w:t xml:space="preserve">Marco Gustin (LIPU, BirdLife Italy), Haris Hadjistyllis (Cyprus Game and Fauna Service), </w:t>
      </w:r>
      <w:r w:rsidRPr="00C96521">
        <w:rPr>
          <w:rFonts w:eastAsia="MS Mincho" w:cs="Arial"/>
          <w:sz w:val="16"/>
          <w:szCs w:val="16"/>
          <w:lang w:val="en-GB" w:eastAsia="en-GB"/>
        </w:rPr>
        <w:t>Phillip Hall</w:t>
      </w:r>
      <w:r w:rsidRPr="00C96521">
        <w:rPr>
          <w:rFonts w:cs="Arial"/>
          <w:sz w:val="16"/>
          <w:szCs w:val="16"/>
          <w:lang w:val="en-GB" w:eastAsia="en-GB"/>
        </w:rPr>
        <w:t xml:space="preserve">, Gergő Halmos (MME, BirdLife Hungary), Saâd Hanane (Forest Research Centre/High Commission For Water, Forests and Combating Desertification, Morocco), </w:t>
      </w:r>
      <w:r w:rsidRPr="00C96521">
        <w:rPr>
          <w:rFonts w:eastAsia="MS Mincho" w:cs="Arial"/>
          <w:sz w:val="16"/>
          <w:szCs w:val="16"/>
          <w:lang w:val="en-GB" w:eastAsia="en-GB"/>
        </w:rPr>
        <w:t xml:space="preserve">Kate Hand (RSPB, BirdLife UK), Sarah Harris (BTO, UK), </w:t>
      </w:r>
      <w:r w:rsidRPr="00C96521">
        <w:rPr>
          <w:rFonts w:cs="Arial"/>
          <w:sz w:val="16"/>
          <w:szCs w:val="16"/>
          <w:lang w:val="en-GB" w:eastAsia="en-GB"/>
        </w:rPr>
        <w:t xml:space="preserve">Ohad Hatsofe (Israel Nature and Parks Authority), Eli Haviv (SPNI, BirdLife Israel), Jan Havlíček (Department of Zoology, University of South Bohemia, Czech Republic), </w:t>
      </w:r>
      <w:r w:rsidRPr="00C96521">
        <w:rPr>
          <w:rFonts w:eastAsia="MS Mincho" w:cs="Arial"/>
          <w:sz w:val="16"/>
          <w:szCs w:val="16"/>
          <w:lang w:val="en-GB" w:eastAsia="en-GB"/>
        </w:rPr>
        <w:t xml:space="preserve">Guidara Hela Selman (Point focal Tunisie CMS/ AEWA), Borja Heredia (CMS), </w:t>
      </w:r>
      <w:r w:rsidRPr="00C96521">
        <w:rPr>
          <w:rFonts w:cs="Arial"/>
          <w:sz w:val="16"/>
          <w:szCs w:val="16"/>
          <w:lang w:val="en-GB" w:eastAsia="en-GB"/>
        </w:rPr>
        <w:t xml:space="preserve">Sebastian J Hidalgo de Trucios (Research Group on Wildlife, Game Resources, and Biodiversity (GIRFCB), University of Extremadura, Spain), </w:t>
      </w:r>
      <w:r w:rsidRPr="00C96521">
        <w:rPr>
          <w:rFonts w:eastAsia="MS Mincho" w:cs="Arial"/>
          <w:spacing w:val="1"/>
          <w:sz w:val="16"/>
          <w:szCs w:val="16"/>
          <w:lang w:val="en-GB" w:eastAsia="ja-JP"/>
        </w:rPr>
        <w:t xml:space="preserve">Iben Hove Sørensen (Danish Hunters Association), </w:t>
      </w:r>
      <w:r w:rsidRPr="00C96521">
        <w:rPr>
          <w:rFonts w:eastAsia="MS Mincho" w:cs="Arial"/>
          <w:sz w:val="16"/>
          <w:szCs w:val="16"/>
          <w:lang w:val="en-GB" w:eastAsia="en-GB"/>
        </w:rPr>
        <w:t xml:space="preserve">David Howell (CMS), </w:t>
      </w:r>
      <w:r w:rsidRPr="00C96521">
        <w:rPr>
          <w:rFonts w:cs="Arial"/>
          <w:sz w:val="16"/>
          <w:szCs w:val="16"/>
          <w:lang w:val="en-GB" w:eastAsia="en-GB"/>
        </w:rPr>
        <w:t xml:space="preserve">Iordan Hristov (BSPB, BirdLife Bulgaria), Sevinj Humbatova (Baku State University, Azerbaijan), Miguel Aymerich Huyghues-Despointes (Dirección General de Calidad y Evaluación Ambiental y Medio Natural, Spain), Petar Iankov (BSPB, BirdLife Bulgaria), Christina Ieronymidou (BirdLife Cyprus), Shadi Indary (Institute of the Environment, University of Balamand, Lebanon), Nidal Issa (LPO, France), José Manuel Jaquotot Saenz de Miera (Dirección General de Desarrollo Rural y Política Forestal, Spain), </w:t>
      </w:r>
      <w:r w:rsidRPr="00C96521">
        <w:rPr>
          <w:rFonts w:eastAsia="MS Mincho" w:cs="Arial"/>
          <w:spacing w:val="1"/>
          <w:sz w:val="16"/>
          <w:szCs w:val="16"/>
          <w:lang w:val="en-GB" w:eastAsia="ja-JP"/>
        </w:rPr>
        <w:t xml:space="preserve">Ciaran O'Keeffe (Department of Arts, Heritage, Regional, Rural and Gaeltacht Affairs, Ireland), Primož Kmecl (DOPPS, BirdLife Slovenia), Heikki Korpelainen (Department of Agricultural Sciences, University of Helsinki, Finland), </w:t>
      </w:r>
      <w:r w:rsidRPr="00C96521">
        <w:rPr>
          <w:rFonts w:cs="Arial"/>
          <w:sz w:val="16"/>
          <w:szCs w:val="16"/>
          <w:lang w:val="en-GB" w:eastAsia="en-GB"/>
        </w:rPr>
        <w:t xml:space="preserve">Petras Kurlavicius (Lietuvos Edukologijos Universitetas, Lithuania), Nicolás López-Jiménez (SEO/BirdLife), Habitat Solomon Jallow (WABSA, The Gambia), Frederic Jiguet (Muséum National d'Histoire Naturelle, France), Lamin Jobaate (WABSA, The Gambia), Sven Kapelj (BIOM, BirdLife Croatia), Mohamed Lamin Kassama (WABSA, The Gambia), Nicos Kassinis (Cyprus Game and Fauna Service), Primož Kmecl (DOPPS, BirdLife Slovenia), Jelena Kralj (Institute of Ornithology CASA, Croatia), </w:t>
      </w:r>
      <w:r w:rsidRPr="00C96521">
        <w:rPr>
          <w:rFonts w:eastAsia="MS Mincho" w:cs="Arial"/>
          <w:spacing w:val="1"/>
          <w:sz w:val="16"/>
          <w:szCs w:val="16"/>
          <w:lang w:val="en-GB" w:eastAsia="ja-JP"/>
        </w:rPr>
        <w:t xml:space="preserve">Pavlína Kuncová (Department of Species Protection and Implementation of International Commitments, Ministry of Environment, Czech Republic), </w:t>
      </w:r>
      <w:r w:rsidRPr="00C96521">
        <w:rPr>
          <w:rFonts w:eastAsia="MS Mincho" w:cs="Arial"/>
          <w:sz w:val="16"/>
          <w:szCs w:val="16"/>
          <w:lang w:val="en-GB" w:eastAsia="en-GB"/>
        </w:rPr>
        <w:t xml:space="preserve">Tatiana Kuzmenko (USPB, BirdLife Ukraine), Ganna Kuzo (USPB, BirdLife Ukraine), </w:t>
      </w:r>
      <w:r w:rsidRPr="00C96521">
        <w:rPr>
          <w:rFonts w:cs="Arial"/>
          <w:sz w:val="16"/>
          <w:szCs w:val="16"/>
          <w:lang w:val="en-GB" w:eastAsia="en-GB"/>
        </w:rPr>
        <w:t xml:space="preserve">Lars Lachman (NABU, BirdLife Germany), Peter Lebersorger (Zentralstelle Österreichischer Landesjagdverbände, Austria), Domingos Leitão (SPEA, BirdLife Portugal), Teemu Lehtiniemi (BirdLife Finland), Siamion Levy (APB, BirdLife Belarus), </w:t>
      </w:r>
      <w:r w:rsidRPr="00C96521">
        <w:rPr>
          <w:rFonts w:eastAsia="MS Mincho" w:cs="Arial"/>
          <w:spacing w:val="1"/>
          <w:sz w:val="16"/>
          <w:szCs w:val="16"/>
          <w:lang w:val="en-GB" w:eastAsia="ja-JP"/>
        </w:rPr>
        <w:t xml:space="preserve">Sandrine Liegeois (Department of Nature and Forests, Belgium), </w:t>
      </w:r>
      <w:r w:rsidRPr="00C96521">
        <w:rPr>
          <w:rFonts w:cs="Arial"/>
          <w:sz w:val="16"/>
          <w:szCs w:val="16"/>
          <w:lang w:val="en-GB" w:eastAsia="en-GB"/>
        </w:rPr>
        <w:t xml:space="preserve">Hervé Lormée (ONCFS, France), Gábor Magyar (Kiskunsági Nemzeti Park, Hungary), Maija Marsh (RSPB, BirdLife UK), Benjamin Metzger (NABU, BirdLife Germany), </w:t>
      </w:r>
      <w:r w:rsidRPr="00C96521">
        <w:rPr>
          <w:rFonts w:eastAsia="MS Mincho" w:cs="Arial"/>
          <w:spacing w:val="1"/>
          <w:sz w:val="16"/>
          <w:szCs w:val="16"/>
          <w:lang w:val="en-GB" w:eastAsia="ja-JP"/>
        </w:rPr>
        <w:t xml:space="preserve">Jakub Milczarek (Nature Conservation Department, Ministry of the Environment, Poland), </w:t>
      </w:r>
      <w:r w:rsidRPr="00C96521">
        <w:rPr>
          <w:rFonts w:cs="Arial"/>
          <w:sz w:val="16"/>
          <w:szCs w:val="16"/>
          <w:lang w:val="en-GB" w:eastAsia="en-GB"/>
        </w:rPr>
        <w:t xml:space="preserve">Alexander Mischenko (Russian Society for Bird Conservation and Study, Birds Russia), Juan Carlos del Moral (SEO/BirdLife, Spain), Lara Moreno Zárate (Instituto de Investigacion en Recursos Cinegeticos, Spain), </w:t>
      </w:r>
      <w:r w:rsidRPr="00C96521">
        <w:rPr>
          <w:rFonts w:eastAsia="MS Mincho" w:cs="Arial"/>
          <w:sz w:val="16"/>
          <w:szCs w:val="16"/>
          <w:lang w:val="en-GB" w:eastAsia="en-GB"/>
        </w:rPr>
        <w:t xml:space="preserve">Tony Morris (RSPB, BirdLife UK), </w:t>
      </w:r>
      <w:r w:rsidRPr="00C96521">
        <w:rPr>
          <w:rFonts w:cs="Arial"/>
          <w:sz w:val="16"/>
          <w:szCs w:val="16"/>
          <w:lang w:val="en-GB" w:eastAsia="en-GB"/>
        </w:rPr>
        <w:t xml:space="preserve">Yves Muller (LPO, SEOF, France), </w:t>
      </w:r>
      <w:r w:rsidRPr="00C96521">
        <w:rPr>
          <w:rFonts w:eastAsia="MS Mincho" w:cs="Arial"/>
          <w:sz w:val="16"/>
          <w:szCs w:val="16"/>
          <w:lang w:val="en-GB" w:eastAsia="en-GB"/>
        </w:rPr>
        <w:t>Wim Mullié (Fondation Agir pour l'</w:t>
      </w:r>
      <w:r w:rsidR="00BE5EF4">
        <w:rPr>
          <w:rFonts w:eastAsia="MS Mincho" w:cs="Arial"/>
          <w:sz w:val="16"/>
          <w:szCs w:val="16"/>
          <w:lang w:val="en-GB" w:eastAsia="en-GB"/>
        </w:rPr>
        <w:t>É</w:t>
      </w:r>
      <w:r w:rsidRPr="00C96521">
        <w:rPr>
          <w:rFonts w:eastAsia="MS Mincho" w:cs="Arial"/>
          <w:sz w:val="16"/>
          <w:szCs w:val="16"/>
          <w:lang w:val="en-GB" w:eastAsia="en-GB"/>
        </w:rPr>
        <w:t xml:space="preserve">ducation et la Santé), </w:t>
      </w:r>
      <w:r w:rsidRPr="00C96521">
        <w:rPr>
          <w:rFonts w:cs="Arial"/>
          <w:sz w:val="16"/>
          <w:szCs w:val="16"/>
          <w:lang w:val="en-GB" w:eastAsia="en-GB"/>
        </w:rPr>
        <w:t xml:space="preserve">Károly Nagy (MME, BirdLife Hungary), Renno Nellis (Eestimaa Looduse Fond, Estonia), Maxim Nemtchinov (APB, BirdLife Belarus), </w:t>
      </w:r>
      <w:r w:rsidRPr="00C96521">
        <w:rPr>
          <w:rFonts w:eastAsia="MS Mincho" w:cs="Arial"/>
          <w:sz w:val="16"/>
          <w:szCs w:val="16"/>
          <w:lang w:val="en-GB" w:eastAsia="en-GB"/>
        </w:rPr>
        <w:t xml:space="preserve">Alex Ngari (BirdLife Africa Secretariat/AEMLAP), </w:t>
      </w:r>
      <w:r w:rsidRPr="00C96521">
        <w:rPr>
          <w:rFonts w:cs="Arial"/>
          <w:sz w:val="16"/>
          <w:szCs w:val="16"/>
          <w:lang w:val="en-GB" w:eastAsia="en-GB"/>
        </w:rPr>
        <w:t xml:space="preserve">Ebrima Njie (University of the Gambia), Modou Njie (WABSA, </w:t>
      </w:r>
      <w:r w:rsidR="00BE5EF4">
        <w:rPr>
          <w:rFonts w:cs="Arial"/>
          <w:sz w:val="16"/>
          <w:szCs w:val="16"/>
          <w:lang w:val="en-GB" w:eastAsia="en-GB"/>
        </w:rPr>
        <w:t>t</w:t>
      </w:r>
      <w:r w:rsidRPr="00C96521">
        <w:rPr>
          <w:rFonts w:cs="Arial"/>
          <w:sz w:val="16"/>
          <w:szCs w:val="16"/>
          <w:lang w:val="en-GB" w:eastAsia="en-GB"/>
        </w:rPr>
        <w:t xml:space="preserve">he Gambia), </w:t>
      </w:r>
      <w:r w:rsidRPr="00C96521">
        <w:rPr>
          <w:rFonts w:eastAsia="MS Mincho" w:cs="Arial"/>
          <w:sz w:val="16"/>
          <w:szCs w:val="16"/>
          <w:lang w:val="en-GB" w:eastAsia="en-GB"/>
        </w:rPr>
        <w:t xml:space="preserve">David Noble </w:t>
      </w:r>
      <w:r w:rsidRPr="00C96521">
        <w:rPr>
          <w:rFonts w:eastAsia="MS Mincho" w:cs="Arial"/>
          <w:sz w:val="16"/>
          <w:szCs w:val="16"/>
          <w:lang w:val="en-GB" w:eastAsia="en-GB"/>
        </w:rPr>
        <w:lastRenderedPageBreak/>
        <w:t xml:space="preserve">(BTO, UK), </w:t>
      </w:r>
      <w:r w:rsidRPr="00C96521">
        <w:rPr>
          <w:rFonts w:cs="Arial"/>
          <w:sz w:val="16"/>
          <w:szCs w:val="16"/>
          <w:lang w:val="en-GB" w:eastAsia="en-GB"/>
        </w:rPr>
        <w:t xml:space="preserve">Timme Nyegaard (DOF, BirdLife Denmark), Jorge F Orueta (SEO/BirdLife, Spain), Panicos Panayides (Cyprus Game and Fauna Service, Ministry of the Interior), Jean-Yves Paquet (Ornithological Society Aves, Belgium), </w:t>
      </w:r>
      <w:r w:rsidRPr="00C96521">
        <w:rPr>
          <w:rFonts w:eastAsia="MS Mincho" w:cs="Arial"/>
          <w:sz w:val="16"/>
          <w:szCs w:val="16"/>
          <w:lang w:val="en-GB" w:eastAsia="en-GB"/>
        </w:rPr>
        <w:t xml:space="preserve">Will Peach (RSPB, BirdLife UK), </w:t>
      </w:r>
      <w:r w:rsidRPr="00C96521">
        <w:rPr>
          <w:rFonts w:cs="Arial"/>
          <w:sz w:val="16"/>
          <w:szCs w:val="16"/>
          <w:lang w:val="en-GB" w:eastAsia="en-GB"/>
        </w:rPr>
        <w:t xml:space="preserve">Yoav Perlman (SPNI, BirdLife Israel), Danae Portolou (HOS, BirdLife Greece), Petra Quillfeldt (Justus Liebig Universität Gießen, Germany), Ghassan Ramadan Jaradi (SPNL, BirdLife Lebanon), </w:t>
      </w:r>
      <w:r w:rsidRPr="00C96521">
        <w:rPr>
          <w:rFonts w:eastAsia="MS Mincho" w:cs="Arial"/>
          <w:sz w:val="16"/>
          <w:szCs w:val="16"/>
          <w:lang w:val="en-GB" w:eastAsia="en-GB"/>
        </w:rPr>
        <w:t xml:space="preserve">Iván Ramírez (BirdLife Europe Secretariat), </w:t>
      </w:r>
      <w:r w:rsidRPr="00C96521">
        <w:rPr>
          <w:rFonts w:cs="Arial"/>
          <w:sz w:val="16"/>
          <w:szCs w:val="16"/>
          <w:lang w:val="en-GB" w:eastAsia="en-GB"/>
        </w:rPr>
        <w:t xml:space="preserve">Liutauras Raudonikis (LOD, BirdLife Lithuania), </w:t>
      </w:r>
      <w:r w:rsidRPr="00C96521">
        <w:rPr>
          <w:rFonts w:eastAsia="MS Mincho" w:cs="Arial"/>
          <w:sz w:val="16"/>
          <w:szCs w:val="16"/>
          <w:lang w:val="en-GB" w:eastAsia="en-GB"/>
        </w:rPr>
        <w:t xml:space="preserve">Sami Rebah (AAO, BirdLife Tunisia), </w:t>
      </w:r>
      <w:r w:rsidRPr="00C96521">
        <w:rPr>
          <w:rFonts w:eastAsia="MS Mincho" w:cs="Arial"/>
          <w:spacing w:val="1"/>
          <w:sz w:val="16"/>
          <w:szCs w:val="16"/>
          <w:lang w:val="en-GB" w:eastAsia="ja-JP"/>
        </w:rPr>
        <w:t xml:space="preserve">Wilmar J. Remmelts (Department of Nature and Biodiversity, Ministry of Economic Affairs, Netherlands), </w:t>
      </w:r>
      <w:r w:rsidRPr="00C96521">
        <w:rPr>
          <w:rFonts w:cs="Arial"/>
          <w:sz w:val="16"/>
          <w:szCs w:val="16"/>
          <w:lang w:val="en-GB" w:eastAsia="en-GB"/>
        </w:rPr>
        <w:t xml:space="preserve">Jozef Ridzoň (SOS, BirdLife Slovakia), </w:t>
      </w:r>
      <w:r w:rsidRPr="00C96521">
        <w:rPr>
          <w:rFonts w:eastAsia="MS Mincho" w:cs="Arial"/>
          <w:spacing w:val="1"/>
          <w:sz w:val="16"/>
          <w:szCs w:val="16"/>
          <w:lang w:val="en-GB" w:eastAsia="ja-JP"/>
        </w:rPr>
        <w:t xml:space="preserve">Lars Rudfeld (Nature Planning and Biodiversity, Ministry of Environment, Denmark), </w:t>
      </w:r>
      <w:r w:rsidRPr="00C96521">
        <w:rPr>
          <w:rFonts w:cs="Arial"/>
          <w:sz w:val="16"/>
          <w:szCs w:val="16"/>
          <w:lang w:val="en-GB" w:eastAsia="en-GB"/>
        </w:rPr>
        <w:t xml:space="preserve">Milan Ružić (Bird Protection and Study Society of Serbia, BirdLife Serbia), Malang Saar (Nature Communautés-Développement, Senegal), Lamin Sanyang (WABSA, </w:t>
      </w:r>
      <w:r w:rsidR="00BE5EF4">
        <w:rPr>
          <w:rFonts w:cs="Arial"/>
          <w:sz w:val="16"/>
          <w:szCs w:val="16"/>
          <w:lang w:val="en-GB" w:eastAsia="en-GB"/>
        </w:rPr>
        <w:t>t</w:t>
      </w:r>
      <w:r w:rsidRPr="00C96521">
        <w:rPr>
          <w:rFonts w:cs="Arial"/>
          <w:sz w:val="16"/>
          <w:szCs w:val="16"/>
          <w:lang w:val="en-GB" w:eastAsia="en-GB"/>
        </w:rPr>
        <w:t xml:space="preserve">he Gambia), Darko Saveljic (Center for Protection and Research of Birds of Montenegro), Abdoulie Sawo (DPWM, The Gambia), </w:t>
      </w:r>
      <w:r w:rsidRPr="00C96521">
        <w:rPr>
          <w:rFonts w:eastAsia="MS Mincho" w:cs="Arial"/>
          <w:sz w:val="16"/>
          <w:szCs w:val="16"/>
          <w:lang w:val="en-GB" w:eastAsia="en-GB"/>
        </w:rPr>
        <w:t xml:space="preserve">David Scallan (FACE), </w:t>
      </w:r>
      <w:r w:rsidRPr="00C96521">
        <w:rPr>
          <w:rFonts w:cs="Arial"/>
          <w:sz w:val="16"/>
          <w:szCs w:val="16"/>
          <w:lang w:val="en-GB" w:eastAsia="en-GB"/>
        </w:rPr>
        <w:t xml:space="preserve">András Schmidt (Ministry of Agriculture, Hungary), </w:t>
      </w:r>
      <w:r w:rsidRPr="00C96521">
        <w:rPr>
          <w:rFonts w:eastAsia="MS Mincho" w:cs="Arial"/>
          <w:sz w:val="16"/>
          <w:szCs w:val="16"/>
          <w:lang w:val="en-GB" w:eastAsia="en-GB"/>
        </w:rPr>
        <w:t xml:space="preserve">Hans Schmidt (Swiss Ornithological Institute), Tilman Schneider (CMS), </w:t>
      </w:r>
      <w:r w:rsidRPr="00C96521">
        <w:rPr>
          <w:rFonts w:eastAsia="MS Mincho" w:cs="Arial"/>
          <w:spacing w:val="1"/>
          <w:sz w:val="16"/>
          <w:szCs w:val="16"/>
          <w:lang w:val="en-GB" w:eastAsia="ja-JP"/>
        </w:rPr>
        <w:t xml:space="preserve">David Schonberg-Alm (Research and Assessment Department, Swedish Environmental Protection Agency), </w:t>
      </w:r>
      <w:r w:rsidRPr="00C96521">
        <w:rPr>
          <w:rFonts w:eastAsia="MS Mincho" w:cs="Arial"/>
          <w:sz w:val="16"/>
          <w:szCs w:val="16"/>
          <w:lang w:val="en-GB" w:eastAsia="en-GB"/>
        </w:rPr>
        <w:t xml:space="preserve">Martin Schuck (BirdLife Switzerland), </w:t>
      </w:r>
      <w:r w:rsidRPr="00C96521">
        <w:rPr>
          <w:rFonts w:cs="Arial"/>
          <w:sz w:val="16"/>
          <w:szCs w:val="16"/>
          <w:lang w:val="en-GB" w:eastAsia="en-GB"/>
        </w:rPr>
        <w:t>Lorenzo Serra (ISPRA, Italy), Moussa Sissoko (Direction Nationale des Eaux et Forêts, Mali), Kyriakos Skordas (Hunting Federation of Macedonia and Thrace), Jana Skorpilosa (CSO, BirdLife Czech Republic), Michele Sorrenti (</w:t>
      </w:r>
      <w:r w:rsidRPr="00C96521">
        <w:rPr>
          <w:rFonts w:eastAsia="MS Mincho" w:cs="Arial"/>
          <w:color w:val="000000"/>
          <w:sz w:val="16"/>
          <w:szCs w:val="16"/>
          <w:lang w:val="en-GB" w:eastAsia="ja-JP"/>
        </w:rPr>
        <w:t>Migratory Bird Office, Federazione Italiana della Caccia</w:t>
      </w:r>
      <w:r w:rsidRPr="00C96521">
        <w:rPr>
          <w:rFonts w:cs="Arial"/>
          <w:sz w:val="16"/>
          <w:szCs w:val="16"/>
          <w:lang w:val="en-GB" w:eastAsia="en-GB"/>
        </w:rPr>
        <w:t xml:space="preserve">, Italy), Svetoslav Spasov (BSPB, BirdLife Bulgaria), Fernando Spina (ISPRA, Italy), Anton Spiteri Shaw (Maltese Government), </w:t>
      </w:r>
      <w:r w:rsidRPr="00C96521">
        <w:rPr>
          <w:rFonts w:eastAsia="MS Mincho" w:cs="Arial"/>
          <w:sz w:val="16"/>
          <w:szCs w:val="16"/>
          <w:lang w:val="en-GB" w:eastAsia="en-GB"/>
        </w:rPr>
        <w:t xml:space="preserve">Anna Staneva (BirdLife Europe Secretariat), </w:t>
      </w:r>
      <w:r w:rsidRPr="00C96521">
        <w:rPr>
          <w:rFonts w:eastAsia="MS Mincho" w:cs="Arial"/>
          <w:spacing w:val="1"/>
          <w:sz w:val="16"/>
          <w:szCs w:val="16"/>
          <w:lang w:val="en-GB" w:eastAsia="ja-JP"/>
        </w:rPr>
        <w:t xml:space="preserve">Gita Strode (Nature Conservation Department, Latvia), </w:t>
      </w:r>
      <w:r w:rsidRPr="00C96521">
        <w:rPr>
          <w:rFonts w:cs="Arial"/>
          <w:sz w:val="16"/>
          <w:szCs w:val="16"/>
          <w:lang w:val="en-GB" w:eastAsia="en-GB"/>
        </w:rPr>
        <w:t xml:space="preserve">Imrich Šuba (Slovenský poľovnícky zväz, Slovakia), Elchin Sultanov (AOS, BirdLife Azerbaijan), Evgeny Syroechkovskiy (Russian Society for Bird Conservation and Study, Birds Russia), Zoltán Szabo (Babeş-Bolyai University, Romania), Tibor Szép (University of Nyíregyháza, Hungary), </w:t>
      </w:r>
      <w:r w:rsidRPr="00C96521">
        <w:rPr>
          <w:rFonts w:eastAsia="MS Mincho" w:cs="Arial"/>
          <w:sz w:val="16"/>
          <w:szCs w:val="16"/>
          <w:lang w:val="en-GB" w:eastAsia="en-GB"/>
        </w:rPr>
        <w:t xml:space="preserve">José Tavares (Vulture Conservation Foundation), Peter Taylor (RSPB, BirdLife UK), </w:t>
      </w:r>
      <w:r w:rsidRPr="00C96521">
        <w:rPr>
          <w:rFonts w:cs="Arial"/>
          <w:sz w:val="16"/>
          <w:szCs w:val="16"/>
          <w:lang w:val="en-GB" w:eastAsia="en-GB"/>
        </w:rPr>
        <w:t>Guido Tellini Florenzano (MITO2000, Italy), Joaquim Teodósio (SPEA, BirdLife Portugal), Norbert Teufelbauer (BirdLife Österreich, BirdLife Austria), Béla Tokody (MME, BirdLife Hungary</w:t>
      </w:r>
      <w:r w:rsidRPr="00C96521">
        <w:rPr>
          <w:rFonts w:eastAsia="MS Mincho" w:cs="Arial"/>
          <w:color w:val="000000"/>
          <w:sz w:val="16"/>
          <w:szCs w:val="16"/>
          <w:lang w:val="en-GB" w:eastAsia="ja-JP"/>
        </w:rPr>
        <w:t xml:space="preserve">), </w:t>
      </w:r>
      <w:r w:rsidRPr="00C96521">
        <w:rPr>
          <w:rFonts w:cs="Arial"/>
          <w:sz w:val="16"/>
          <w:szCs w:val="16"/>
          <w:lang w:val="en-GB" w:eastAsia="en-GB"/>
        </w:rPr>
        <w:t xml:space="preserve">Sven Trautmann (Dachverband Deutscher Avifaunisten), Chris van Turnhout (Sovon Dutch Centre for Field Ornithology), Vesna Tutiš (Institute of Ornithology CASA, Croatia), Marco Valentini (Ministerio dell'Ambiente, Italy), </w:t>
      </w:r>
      <w:r w:rsidRPr="00C96521">
        <w:rPr>
          <w:rFonts w:eastAsia="MS Mincho" w:cs="Arial"/>
          <w:spacing w:val="1"/>
          <w:sz w:val="16"/>
          <w:szCs w:val="16"/>
          <w:lang w:val="en-GB" w:eastAsia="ja-JP"/>
        </w:rPr>
        <w:t xml:space="preserve">Michiel Vandegehuchte (Nature Agency, Belgium), </w:t>
      </w:r>
      <w:r w:rsidRPr="00C96521">
        <w:rPr>
          <w:rFonts w:cs="Arial"/>
          <w:sz w:val="16"/>
          <w:szCs w:val="16"/>
          <w:lang w:val="en-GB" w:eastAsia="en-GB"/>
        </w:rPr>
        <w:t xml:space="preserve">Zdeněk Vermouszck (CSO, BirdLife Czech Republic), Alexandre Vintchevski (APB, BirdLife Belarus), </w:t>
      </w:r>
      <w:r w:rsidRPr="00C96521">
        <w:rPr>
          <w:rFonts w:eastAsia="MS Mincho" w:cs="Arial"/>
          <w:sz w:val="16"/>
          <w:szCs w:val="16"/>
          <w:lang w:val="en-GB" w:eastAsia="en-GB"/>
        </w:rPr>
        <w:t xml:space="preserve">Tim Wacher (Zoological Society of London, UK), </w:t>
      </w:r>
      <w:r w:rsidRPr="00C96521">
        <w:rPr>
          <w:rFonts w:eastAsia="MS Mincho" w:cs="Arial"/>
          <w:spacing w:val="1"/>
          <w:sz w:val="16"/>
          <w:szCs w:val="16"/>
          <w:lang w:val="en-GB" w:eastAsia="ja-JP"/>
        </w:rPr>
        <w:t>Josette Zerafa (Policy Department and Programme Implementation Directorate, Malta).</w:t>
      </w:r>
    </w:p>
    <w:p w14:paraId="4B9518E8"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31E96CE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t>Date of adoption:</w:t>
      </w:r>
      <w:r w:rsidRPr="00C96521">
        <w:rPr>
          <w:rFonts w:eastAsia="MS Mincho"/>
          <w:spacing w:val="1"/>
          <w:sz w:val="16"/>
          <w:szCs w:val="16"/>
          <w:lang w:val="en-GB" w:eastAsia="ja-JP"/>
        </w:rPr>
        <w:t xml:space="preserve"> in preparation.</w:t>
      </w:r>
    </w:p>
    <w:p w14:paraId="63038D9E"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1A5CCCFA"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t>Lifespan of Plan:</w:t>
      </w:r>
      <w:r w:rsidRPr="00C96521">
        <w:rPr>
          <w:rFonts w:eastAsia="MS Mincho"/>
          <w:spacing w:val="1"/>
          <w:sz w:val="16"/>
          <w:szCs w:val="16"/>
          <w:lang w:val="en-GB" w:eastAsia="ja-JP"/>
        </w:rPr>
        <w:t xml:space="preserve"> this International Species Action Plan should be reviewed and updated every 10 years (first revision in 2028).</w:t>
      </w:r>
    </w:p>
    <w:p w14:paraId="75305FD8"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5BD9D72E" w14:textId="77777777" w:rsidR="00C96521" w:rsidRPr="00C96521" w:rsidRDefault="00C96521" w:rsidP="00C96521">
      <w:pPr>
        <w:widowControl/>
        <w:autoSpaceDE/>
        <w:autoSpaceDN/>
        <w:adjustRightInd/>
        <w:spacing w:line="276" w:lineRule="auto"/>
        <w:rPr>
          <w:rFonts w:eastAsia="MS Mincho"/>
          <w:b/>
          <w:spacing w:val="1"/>
          <w:sz w:val="16"/>
          <w:szCs w:val="16"/>
          <w:lang w:val="en-GB" w:eastAsia="ja-JP"/>
        </w:rPr>
      </w:pPr>
      <w:r w:rsidRPr="00C96521">
        <w:rPr>
          <w:rFonts w:eastAsia="MS Mincho"/>
          <w:b/>
          <w:spacing w:val="1"/>
          <w:sz w:val="16"/>
          <w:szCs w:val="16"/>
          <w:lang w:val="en-GB" w:eastAsia="ja-JP"/>
        </w:rPr>
        <w:t xml:space="preserve">Milestones in the production of the Plan: </w:t>
      </w:r>
    </w:p>
    <w:p w14:paraId="4F20E75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spacing w:val="1"/>
          <w:sz w:val="16"/>
          <w:szCs w:val="16"/>
          <w:lang w:val="en-GB" w:eastAsia="ja-JP"/>
        </w:rPr>
        <w:t xml:space="preserve">Development of Species Status Report (Fisher </w:t>
      </w:r>
      <w:r w:rsidRPr="00C96521">
        <w:rPr>
          <w:rFonts w:eastAsia="MS Mincho"/>
          <w:i/>
          <w:spacing w:val="1"/>
          <w:sz w:val="16"/>
          <w:szCs w:val="16"/>
          <w:lang w:val="en-GB" w:eastAsia="ja-JP"/>
        </w:rPr>
        <w:t>et al</w:t>
      </w:r>
      <w:r w:rsidRPr="00C96521">
        <w:rPr>
          <w:rFonts w:eastAsia="MS Mincho"/>
          <w:spacing w:val="1"/>
          <w:sz w:val="16"/>
          <w:szCs w:val="16"/>
          <w:lang w:val="en-GB" w:eastAsia="ja-JP"/>
        </w:rPr>
        <w:t xml:space="preserve"> 2016a): June to December 2016.</w:t>
      </w:r>
    </w:p>
    <w:p w14:paraId="3C57B019"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spacing w:val="1"/>
          <w:sz w:val="16"/>
          <w:szCs w:val="16"/>
          <w:lang w:val="en-GB" w:eastAsia="ja-JP"/>
        </w:rPr>
        <w:t xml:space="preserve">Review of existing EU Species Management Plan (Fisher </w:t>
      </w:r>
      <w:r w:rsidRPr="00C96521">
        <w:rPr>
          <w:rFonts w:eastAsia="MS Mincho"/>
          <w:i/>
          <w:spacing w:val="1"/>
          <w:sz w:val="16"/>
          <w:szCs w:val="16"/>
          <w:lang w:val="en-GB" w:eastAsia="ja-JP"/>
        </w:rPr>
        <w:t>et al</w:t>
      </w:r>
      <w:r w:rsidRPr="00C96521">
        <w:rPr>
          <w:rFonts w:eastAsia="MS Mincho"/>
          <w:spacing w:val="1"/>
          <w:sz w:val="16"/>
          <w:szCs w:val="16"/>
          <w:lang w:val="en-GB" w:eastAsia="ja-JP"/>
        </w:rPr>
        <w:t xml:space="preserve"> 2016b): June to November 2016.</w:t>
      </w:r>
    </w:p>
    <w:p w14:paraId="0B0B9177"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spacing w:val="1"/>
          <w:sz w:val="16"/>
          <w:szCs w:val="16"/>
          <w:lang w:val="en-GB" w:eastAsia="ja-JP"/>
        </w:rPr>
        <w:t>Stakeholder workshop for western flyway: 19-21 December 2016, Valsain, Spain.</w:t>
      </w:r>
    </w:p>
    <w:p w14:paraId="55D848A9"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spacing w:val="1"/>
          <w:sz w:val="16"/>
          <w:szCs w:val="16"/>
          <w:lang w:val="en-GB" w:eastAsia="ja-JP"/>
        </w:rPr>
        <w:t>Stakeholder workshop for central and eastern flyway: 16-18 January 2017, Kecskemét, Hungary.</w:t>
      </w:r>
    </w:p>
    <w:p w14:paraId="656871B4"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spacing w:val="1"/>
          <w:sz w:val="16"/>
          <w:szCs w:val="16"/>
          <w:lang w:val="en-GB" w:eastAsia="ja-JP"/>
        </w:rPr>
        <w:t>First draft: April 2017, circulated to the Expert Group on the Birds and Habitats Directive (NADEG) and experts across the species Range States.</w:t>
      </w:r>
    </w:p>
    <w:p w14:paraId="72DEFF52"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6FF5F36F"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t>Recommended citation:</w:t>
      </w:r>
      <w:r w:rsidRPr="00C96521">
        <w:rPr>
          <w:rFonts w:eastAsia="MS Mincho"/>
          <w:spacing w:val="1"/>
          <w:sz w:val="16"/>
          <w:szCs w:val="16"/>
          <w:lang w:val="en-GB" w:eastAsia="ja-JP"/>
        </w:rPr>
        <w:t xml:space="preserve"> </w:t>
      </w:r>
      <w:r w:rsidRPr="00C96521">
        <w:rPr>
          <w:rFonts w:eastAsia="MS Mincho"/>
          <w:i/>
          <w:spacing w:val="1"/>
          <w:sz w:val="16"/>
          <w:szCs w:val="16"/>
          <w:lang w:val="en-GB" w:eastAsia="ja-JP"/>
        </w:rPr>
        <w:t>to be determined.</w:t>
      </w:r>
    </w:p>
    <w:p w14:paraId="4988D2E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210F98D9" w14:textId="19B7A906"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t>Picture on the front cover:</w:t>
      </w:r>
      <w:r w:rsidRPr="00C96521">
        <w:rPr>
          <w:rFonts w:eastAsia="MS Mincho"/>
          <w:spacing w:val="1"/>
          <w:sz w:val="16"/>
          <w:szCs w:val="16"/>
          <w:lang w:val="en-GB" w:eastAsia="ja-JP"/>
        </w:rPr>
        <w:t xml:space="preserve"> Turtle</w:t>
      </w:r>
      <w:r w:rsidR="00BE5EF4">
        <w:rPr>
          <w:rFonts w:eastAsia="MS Mincho"/>
          <w:spacing w:val="1"/>
          <w:sz w:val="16"/>
          <w:szCs w:val="16"/>
          <w:lang w:val="en-GB" w:eastAsia="ja-JP"/>
        </w:rPr>
        <w:t xml:space="preserve"> D</w:t>
      </w:r>
      <w:r w:rsidRPr="00C96521">
        <w:rPr>
          <w:rFonts w:eastAsia="MS Mincho"/>
          <w:spacing w:val="1"/>
          <w:sz w:val="16"/>
          <w:szCs w:val="16"/>
          <w:lang w:val="en-GB" w:eastAsia="ja-JP"/>
        </w:rPr>
        <w:t>ove (</w:t>
      </w:r>
      <w:r w:rsidRPr="00C96521">
        <w:rPr>
          <w:rFonts w:eastAsia="MS Mincho"/>
          <w:i/>
          <w:spacing w:val="1"/>
          <w:sz w:val="16"/>
          <w:szCs w:val="16"/>
          <w:lang w:val="en-GB" w:eastAsia="ja-JP"/>
        </w:rPr>
        <w:t>Streptopelia turtur</w:t>
      </w:r>
      <w:r w:rsidRPr="00C96521">
        <w:rPr>
          <w:rFonts w:eastAsia="MS Mincho"/>
          <w:spacing w:val="1"/>
          <w:sz w:val="16"/>
          <w:szCs w:val="16"/>
          <w:lang w:val="en-GB" w:eastAsia="ja-JP"/>
        </w:rPr>
        <w:t>) © Dmitry Yakubovich.</w:t>
      </w:r>
    </w:p>
    <w:p w14:paraId="6E6787C2"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14D00FE5"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r w:rsidRPr="00C96521">
        <w:rPr>
          <w:rFonts w:eastAsia="MS Mincho"/>
          <w:b/>
          <w:spacing w:val="1"/>
          <w:sz w:val="16"/>
          <w:szCs w:val="16"/>
          <w:lang w:val="en-GB" w:eastAsia="ja-JP"/>
        </w:rPr>
        <w:t>Disclaimer:</w:t>
      </w:r>
      <w:r w:rsidRPr="00C96521">
        <w:rPr>
          <w:rFonts w:eastAsia="MS Mincho"/>
          <w:spacing w:val="1"/>
          <w:sz w:val="16"/>
          <w:szCs w:val="16"/>
          <w:lang w:val="en-GB" w:eastAsia="ja-JP"/>
        </w:rPr>
        <w:t xml:space="preserve"> the designation employed and the presentation of the material in this document do not imply the expression of any opinion whatsoever on the part of UNEP/CMS, UNEP/AEWA and other project partners concerning the legal status of any State, territory, city or area, or of its authorities, or concerning the delimitation of their frontiers and boundaries.</w:t>
      </w:r>
    </w:p>
    <w:p w14:paraId="0CFE85C2"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1B5E147B"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03448496" w14:textId="77777777" w:rsidR="00C96521" w:rsidRPr="00C96521" w:rsidRDefault="00C96521" w:rsidP="00C96521">
      <w:pPr>
        <w:widowControl/>
        <w:autoSpaceDE/>
        <w:autoSpaceDN/>
        <w:adjustRightInd/>
        <w:spacing w:line="276" w:lineRule="auto"/>
        <w:rPr>
          <w:rFonts w:eastAsia="MS Mincho"/>
          <w:spacing w:val="1"/>
          <w:sz w:val="16"/>
          <w:szCs w:val="16"/>
          <w:lang w:val="en-GB" w:eastAsia="ja-JP"/>
        </w:rPr>
      </w:pPr>
    </w:p>
    <w:p w14:paraId="4F37F7A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1258BB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6E3D4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31BD6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73C3F35" w14:textId="65931B94" w:rsidR="00C96521" w:rsidRPr="00C96521" w:rsidRDefault="00C96521" w:rsidP="00C96521">
      <w:pPr>
        <w:widowControl/>
        <w:autoSpaceDE/>
        <w:autoSpaceDN/>
        <w:adjustRightInd/>
        <w:spacing w:line="276" w:lineRule="auto"/>
        <w:jc w:val="center"/>
        <w:rPr>
          <w:rFonts w:eastAsia="MS Mincho"/>
          <w:i/>
          <w:iCs/>
          <w:sz w:val="20"/>
          <w:szCs w:val="22"/>
          <w:lang w:val="en-GB" w:eastAsia="ja-JP"/>
        </w:rPr>
      </w:pPr>
      <w:r w:rsidRPr="00C96521">
        <w:rPr>
          <w:rFonts w:eastAsia="MS Mincho"/>
          <w:i/>
          <w:iCs/>
          <w:sz w:val="20"/>
          <w:szCs w:val="22"/>
          <w:lang w:val="en-GB" w:eastAsia="ja-JP"/>
        </w:rPr>
        <w:t xml:space="preserve">In 1947, Aldo Leopold wrote in his </w:t>
      </w:r>
      <w:r w:rsidRPr="00C96521">
        <w:rPr>
          <w:rFonts w:eastAsia="MS Mincho"/>
          <w:iCs/>
          <w:sz w:val="20"/>
          <w:szCs w:val="22"/>
          <w:lang w:val="en-GB" w:eastAsia="ja-JP"/>
        </w:rPr>
        <w:t>On a Monument to the Pigeon</w:t>
      </w:r>
      <w:r w:rsidRPr="00C96521">
        <w:rPr>
          <w:rFonts w:eastAsia="MS Mincho"/>
          <w:i/>
          <w:iCs/>
          <w:sz w:val="20"/>
          <w:szCs w:val="22"/>
          <w:lang w:val="en-GB" w:eastAsia="ja-JP"/>
        </w:rPr>
        <w:t>: “Men still live who, in their youth, remember pigeons; trees still live who, in their youth, were shaken by a living wind. But a few decades hence only the oldest oaks will remember, and at long last only the hills will know” (Leopold, 1953). He was referring to the passenger pigeon of North America, once numbering over 3 billion individuals, but now extinct through a lethal combination of causes early in the 20</w:t>
      </w:r>
      <w:r w:rsidRPr="00177BBB">
        <w:rPr>
          <w:rFonts w:eastAsia="MS Mincho"/>
          <w:i/>
          <w:iCs/>
          <w:sz w:val="20"/>
          <w:szCs w:val="22"/>
          <w:vertAlign w:val="superscript"/>
          <w:lang w:val="en-GB" w:eastAsia="ja-JP"/>
        </w:rPr>
        <w:t>th</w:t>
      </w:r>
      <w:r w:rsidR="003F6C6E">
        <w:rPr>
          <w:rFonts w:eastAsia="MS Mincho"/>
          <w:i/>
          <w:iCs/>
          <w:sz w:val="20"/>
          <w:szCs w:val="22"/>
          <w:lang w:val="en-GB" w:eastAsia="ja-JP"/>
        </w:rPr>
        <w:t xml:space="preserve"> </w:t>
      </w:r>
      <w:r w:rsidRPr="00C96521">
        <w:rPr>
          <w:rFonts w:eastAsia="MS Mincho"/>
          <w:i/>
          <w:iCs/>
          <w:sz w:val="20"/>
          <w:szCs w:val="22"/>
          <w:lang w:val="en-GB" w:eastAsia="ja-JP"/>
        </w:rPr>
        <w:t>century. With rapid declines across much of its range, the time for action for the turtle-dove is now...before it is too late.</w:t>
      </w:r>
    </w:p>
    <w:p w14:paraId="5D51BAD4" w14:textId="77777777" w:rsidR="00C96521" w:rsidRPr="00C96521" w:rsidRDefault="00C96521" w:rsidP="00C96521">
      <w:pPr>
        <w:widowControl/>
        <w:autoSpaceDE/>
        <w:autoSpaceDN/>
        <w:adjustRightInd/>
        <w:spacing w:line="276" w:lineRule="auto"/>
        <w:jc w:val="center"/>
        <w:rPr>
          <w:rFonts w:eastAsia="MS Mincho"/>
          <w:sz w:val="20"/>
          <w:szCs w:val="22"/>
          <w:lang w:val="en-GB" w:eastAsia="ja-JP"/>
        </w:rPr>
        <w:sectPr w:rsidR="00C96521" w:rsidRPr="00C96521" w:rsidSect="00C96521">
          <w:headerReference w:type="default" r:id="rId27"/>
          <w:headerReference w:type="first" r:id="rId28"/>
          <w:pgSz w:w="11920" w:h="16840"/>
          <w:pgMar w:top="1276" w:right="1300" w:bottom="920" w:left="1300" w:header="730" w:footer="738" w:gutter="0"/>
          <w:cols w:space="720"/>
          <w:titlePg/>
          <w:docGrid w:linePitch="299"/>
        </w:sectPr>
      </w:pPr>
    </w:p>
    <w:sdt>
      <w:sdtPr>
        <w:rPr>
          <w:rFonts w:eastAsia="MS Mincho"/>
          <w:sz w:val="22"/>
          <w:szCs w:val="22"/>
          <w:lang w:val="en-GB" w:eastAsia="ja-JP"/>
        </w:rPr>
        <w:id w:val="22497032"/>
        <w:docPartObj>
          <w:docPartGallery w:val="Table of Contents"/>
          <w:docPartUnique/>
        </w:docPartObj>
      </w:sdtPr>
      <w:sdtEndPr>
        <w:rPr>
          <w:sz w:val="20"/>
        </w:rPr>
      </w:sdtEndPr>
      <w:sdtContent>
        <w:p w14:paraId="23794A7B" w14:textId="77777777" w:rsidR="00C96521" w:rsidRPr="00C96521" w:rsidRDefault="00C96521" w:rsidP="00C96521">
          <w:pPr>
            <w:keepNext/>
            <w:keepLines/>
            <w:widowControl/>
            <w:autoSpaceDE/>
            <w:autoSpaceDN/>
            <w:adjustRightInd/>
            <w:spacing w:before="480" w:line="276" w:lineRule="auto"/>
            <w:rPr>
              <w:rFonts w:eastAsia="MS Gothic"/>
              <w:b/>
              <w:bCs/>
              <w:color w:val="365F91"/>
              <w:sz w:val="32"/>
              <w:szCs w:val="28"/>
              <w:lang w:val="en-GB" w:eastAsia="ja-JP"/>
            </w:rPr>
          </w:pPr>
          <w:r w:rsidRPr="00C96521">
            <w:rPr>
              <w:rFonts w:eastAsia="MS Gothic"/>
              <w:b/>
              <w:bCs/>
              <w:color w:val="365F91"/>
              <w:sz w:val="32"/>
              <w:szCs w:val="28"/>
              <w:lang w:val="en-GB" w:eastAsia="ja-JP"/>
            </w:rPr>
            <w:t>Contents</w:t>
          </w:r>
        </w:p>
        <w:p w14:paraId="7F2B26F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5840E6E" w14:textId="3F7715A6" w:rsidR="00C96521" w:rsidRPr="00C96521" w:rsidRDefault="00C96521"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r w:rsidRPr="00C96521">
            <w:rPr>
              <w:rFonts w:eastAsia="MS Mincho"/>
              <w:b/>
              <w:sz w:val="20"/>
              <w:szCs w:val="22"/>
              <w:lang w:val="en-GB" w:eastAsia="ja-JP"/>
            </w:rPr>
            <w:fldChar w:fldCharType="begin"/>
          </w:r>
          <w:r w:rsidRPr="00C96521">
            <w:rPr>
              <w:rFonts w:eastAsia="MS Mincho"/>
              <w:b/>
              <w:sz w:val="20"/>
              <w:szCs w:val="22"/>
              <w:lang w:val="en-GB" w:eastAsia="ja-JP"/>
            </w:rPr>
            <w:instrText xml:space="preserve"> TOC \o "1-3" \h \z \u </w:instrText>
          </w:r>
          <w:r w:rsidRPr="00C96521">
            <w:rPr>
              <w:rFonts w:eastAsia="MS Mincho"/>
              <w:b/>
              <w:sz w:val="20"/>
              <w:szCs w:val="22"/>
              <w:lang w:val="en-GB" w:eastAsia="ja-JP"/>
            </w:rPr>
            <w:fldChar w:fldCharType="separate"/>
          </w:r>
          <w:hyperlink w:anchor="_Toc478646889" w:history="1">
            <w:r w:rsidRPr="00C96521">
              <w:rPr>
                <w:rFonts w:eastAsia="MS Mincho"/>
                <w:b/>
                <w:noProof/>
                <w:sz w:val="20"/>
                <w:szCs w:val="22"/>
                <w:u w:val="single"/>
                <w:lang w:val="en-GB" w:eastAsia="ja-JP"/>
              </w:rPr>
              <w:t>1 - Basic Data</w:t>
            </w:r>
            <w:r w:rsidRPr="00C96521">
              <w:rPr>
                <w:rFonts w:eastAsia="MS Mincho"/>
                <w:b/>
                <w:noProof/>
                <w:webHidden/>
                <w:sz w:val="20"/>
                <w:szCs w:val="22"/>
                <w:lang w:val="en-GB" w:eastAsia="ja-JP"/>
              </w:rPr>
              <w:tab/>
            </w:r>
            <w:r w:rsidRPr="00C96521">
              <w:rPr>
                <w:rFonts w:eastAsia="MS Mincho"/>
                <w:b/>
                <w:noProof/>
                <w:webHidden/>
                <w:sz w:val="20"/>
                <w:szCs w:val="22"/>
                <w:lang w:val="en-GB" w:eastAsia="ja-JP"/>
              </w:rPr>
              <w:fldChar w:fldCharType="begin"/>
            </w:r>
            <w:r w:rsidRPr="00C96521">
              <w:rPr>
                <w:rFonts w:eastAsia="MS Mincho"/>
                <w:b/>
                <w:noProof/>
                <w:webHidden/>
                <w:sz w:val="20"/>
                <w:szCs w:val="22"/>
                <w:lang w:val="en-GB" w:eastAsia="ja-JP"/>
              </w:rPr>
              <w:instrText xml:space="preserve"> PAGEREF _Toc478646889 \h </w:instrText>
            </w:r>
            <w:r w:rsidRPr="00C96521">
              <w:rPr>
                <w:rFonts w:eastAsia="MS Mincho"/>
                <w:b/>
                <w:noProof/>
                <w:webHidden/>
                <w:sz w:val="20"/>
                <w:szCs w:val="22"/>
                <w:lang w:val="en-GB" w:eastAsia="ja-JP"/>
              </w:rPr>
            </w:r>
            <w:r w:rsidRPr="00C96521">
              <w:rPr>
                <w:rFonts w:eastAsia="MS Mincho"/>
                <w:b/>
                <w:noProof/>
                <w:webHidden/>
                <w:sz w:val="20"/>
                <w:szCs w:val="22"/>
                <w:lang w:val="en-GB" w:eastAsia="ja-JP"/>
              </w:rPr>
              <w:fldChar w:fldCharType="separate"/>
            </w:r>
            <w:r w:rsidR="009213E9">
              <w:rPr>
                <w:rFonts w:eastAsia="MS Mincho"/>
                <w:b/>
                <w:noProof/>
                <w:webHidden/>
                <w:sz w:val="20"/>
                <w:szCs w:val="22"/>
                <w:lang w:val="en-GB" w:eastAsia="ja-JP"/>
              </w:rPr>
              <w:t>9</w:t>
            </w:r>
            <w:r w:rsidRPr="00C96521">
              <w:rPr>
                <w:rFonts w:eastAsia="MS Mincho"/>
                <w:b/>
                <w:noProof/>
                <w:webHidden/>
                <w:sz w:val="20"/>
                <w:szCs w:val="22"/>
                <w:lang w:val="en-GB" w:eastAsia="ja-JP"/>
              </w:rPr>
              <w:fldChar w:fldCharType="end"/>
            </w:r>
          </w:hyperlink>
        </w:p>
        <w:p w14:paraId="262A6D4D" w14:textId="1837375F"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890" w:history="1">
            <w:r w:rsidR="00C96521" w:rsidRPr="00C96521">
              <w:rPr>
                <w:rFonts w:eastAsia="MS Mincho"/>
                <w:noProof/>
                <w:sz w:val="20"/>
                <w:szCs w:val="22"/>
                <w:u w:val="single"/>
                <w:lang w:val="en-GB" w:eastAsia="ja-JP"/>
              </w:rPr>
              <w:t>Taxonomy and bio-geographic populations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_Toc478646890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9</w:t>
            </w:r>
            <w:r w:rsidR="00C96521" w:rsidRPr="00C96521">
              <w:rPr>
                <w:rFonts w:eastAsia="MS Mincho"/>
                <w:noProof/>
                <w:webHidden/>
                <w:sz w:val="20"/>
                <w:szCs w:val="22"/>
                <w:lang w:val="en-GB" w:eastAsia="ja-JP"/>
              </w:rPr>
              <w:fldChar w:fldCharType="end"/>
            </w:r>
          </w:hyperlink>
        </w:p>
        <w:p w14:paraId="44AFE68F" w14:textId="42E3A3A9"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891" w:history="1">
            <w:r w:rsidR="00C96521" w:rsidRPr="00C96521">
              <w:rPr>
                <w:rFonts w:eastAsia="MS Mincho"/>
                <w:noProof/>
                <w:sz w:val="20"/>
                <w:szCs w:val="22"/>
                <w:u w:val="single"/>
                <w:lang w:val="en-GB" w:eastAsia="ja-JP"/>
              </w:rPr>
              <w:t>Relevant policy and legislation</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_Toc478646891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11</w:t>
            </w:r>
            <w:r w:rsidR="00C96521" w:rsidRPr="00C96521">
              <w:rPr>
                <w:rFonts w:eastAsia="MS Mincho"/>
                <w:noProof/>
                <w:webHidden/>
                <w:sz w:val="20"/>
                <w:szCs w:val="22"/>
                <w:lang w:val="en-GB" w:eastAsia="ja-JP"/>
              </w:rPr>
              <w:fldChar w:fldCharType="end"/>
            </w:r>
          </w:hyperlink>
        </w:p>
        <w:p w14:paraId="2B2CCFA5" w14:textId="53EAC103"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892" w:history="1">
            <w:r w:rsidR="00C96521" w:rsidRPr="00C96521">
              <w:rPr>
                <w:rFonts w:eastAsia="MS Mincho"/>
                <w:noProof/>
                <w:sz w:val="20"/>
                <w:szCs w:val="22"/>
                <w:u w:val="single"/>
                <w:lang w:val="en-GB" w:eastAsia="ja-JP"/>
              </w:rPr>
              <w:t>International conservation status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_Toc478646892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11</w:t>
            </w:r>
            <w:r w:rsidR="00C96521" w:rsidRPr="00C96521">
              <w:rPr>
                <w:rFonts w:eastAsia="MS Mincho"/>
                <w:noProof/>
                <w:webHidden/>
                <w:sz w:val="20"/>
                <w:szCs w:val="22"/>
                <w:lang w:val="en-GB" w:eastAsia="ja-JP"/>
              </w:rPr>
              <w:fldChar w:fldCharType="end"/>
            </w:r>
          </w:hyperlink>
        </w:p>
        <w:p w14:paraId="7126C2A8" w14:textId="1ACE04A1"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893" w:history="1">
            <w:r w:rsidR="00C96521" w:rsidRPr="00C96521">
              <w:rPr>
                <w:rFonts w:eastAsia="MS Mincho"/>
                <w:noProof/>
                <w:sz w:val="20"/>
                <w:szCs w:val="22"/>
                <w:u w:val="single"/>
                <w:lang w:val="en-GB" w:eastAsia="ja-JP"/>
              </w:rPr>
              <w:t>International and European protection policy and legislation</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_Toc478646893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12</w:t>
            </w:r>
            <w:r w:rsidR="00C96521" w:rsidRPr="00C96521">
              <w:rPr>
                <w:rFonts w:eastAsia="MS Mincho"/>
                <w:noProof/>
                <w:webHidden/>
                <w:sz w:val="20"/>
                <w:szCs w:val="22"/>
                <w:lang w:val="en-GB" w:eastAsia="ja-JP"/>
              </w:rPr>
              <w:fldChar w:fldCharType="end"/>
            </w:r>
          </w:hyperlink>
        </w:p>
        <w:p w14:paraId="77069F70" w14:textId="0EF8A7A6"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894" w:history="1">
            <w:r w:rsidR="00C96521" w:rsidRPr="00C96521">
              <w:rPr>
                <w:rFonts w:eastAsia="MS Mincho"/>
                <w:noProof/>
                <w:sz w:val="20"/>
                <w:szCs w:val="22"/>
                <w:u w:val="single"/>
                <w:lang w:val="en-GB" w:eastAsia="ja-JP"/>
              </w:rPr>
              <w:t>Other relevant international policy and legislation</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_Toc478646894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12</w:t>
            </w:r>
            <w:r w:rsidR="00C96521" w:rsidRPr="00C96521">
              <w:rPr>
                <w:rFonts w:eastAsia="MS Mincho"/>
                <w:noProof/>
                <w:webHidden/>
                <w:sz w:val="20"/>
                <w:szCs w:val="22"/>
                <w:lang w:val="en-GB" w:eastAsia="ja-JP"/>
              </w:rPr>
              <w:fldChar w:fldCharType="end"/>
            </w:r>
          </w:hyperlink>
        </w:p>
        <w:p w14:paraId="541F87FE" w14:textId="7934CFCF"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895" w:history="1">
            <w:r w:rsidR="00C96521" w:rsidRPr="00C96521">
              <w:rPr>
                <w:rFonts w:eastAsia="MS Mincho"/>
                <w:noProof/>
                <w:sz w:val="20"/>
                <w:szCs w:val="22"/>
                <w:u w:val="single"/>
                <w:lang w:val="en-GB" w:eastAsia="ja-JP"/>
              </w:rPr>
              <w:t>National policies and legislation</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_Toc478646895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13</w:t>
            </w:r>
            <w:r w:rsidR="00C96521" w:rsidRPr="00C96521">
              <w:rPr>
                <w:rFonts w:eastAsia="MS Mincho"/>
                <w:noProof/>
                <w:webHidden/>
                <w:sz w:val="20"/>
                <w:szCs w:val="22"/>
                <w:lang w:val="en-GB" w:eastAsia="ja-JP"/>
              </w:rPr>
              <w:fldChar w:fldCharType="end"/>
            </w:r>
          </w:hyperlink>
        </w:p>
        <w:p w14:paraId="58B1024C" w14:textId="189DB623"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896" w:history="1">
            <w:r w:rsidR="00C96521" w:rsidRPr="00C96521">
              <w:rPr>
                <w:rFonts w:eastAsia="MS Mincho"/>
                <w:noProof/>
                <w:sz w:val="20"/>
                <w:szCs w:val="22"/>
                <w:u w:val="single"/>
                <w:lang w:val="en-GB" w:eastAsia="ja-JP"/>
              </w:rPr>
              <w:t>Regulated use and management of the species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_Toc478646896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13</w:t>
            </w:r>
            <w:r w:rsidR="00C96521" w:rsidRPr="00C96521">
              <w:rPr>
                <w:rFonts w:eastAsia="MS Mincho"/>
                <w:noProof/>
                <w:webHidden/>
                <w:sz w:val="20"/>
                <w:szCs w:val="22"/>
                <w:lang w:val="en-GB" w:eastAsia="ja-JP"/>
              </w:rPr>
              <w:fldChar w:fldCharType="end"/>
            </w:r>
          </w:hyperlink>
        </w:p>
        <w:p w14:paraId="19B21473" w14:textId="290FE9F5"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897" w:history="1">
            <w:r w:rsidR="00C96521" w:rsidRPr="00C96521">
              <w:rPr>
                <w:rFonts w:eastAsia="MS Mincho"/>
                <w:b/>
                <w:noProof/>
                <w:sz w:val="20"/>
                <w:szCs w:val="22"/>
                <w:u w:val="single"/>
                <w:lang w:val="en-GB" w:eastAsia="ja-JP"/>
              </w:rPr>
              <w:t>2 - FRAMEWORK FOR ACTION</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_Toc478646897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16</w:t>
            </w:r>
            <w:r w:rsidR="00C96521" w:rsidRPr="00C96521">
              <w:rPr>
                <w:rFonts w:eastAsia="MS Mincho"/>
                <w:b/>
                <w:noProof/>
                <w:webHidden/>
                <w:sz w:val="20"/>
                <w:szCs w:val="22"/>
                <w:lang w:val="en-GB" w:eastAsia="ja-JP"/>
              </w:rPr>
              <w:fldChar w:fldCharType="end"/>
            </w:r>
          </w:hyperlink>
        </w:p>
        <w:p w14:paraId="5FC73666" w14:textId="25E72CA2"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898" w:history="1">
            <w:r w:rsidR="00C96521" w:rsidRPr="00C96521">
              <w:rPr>
                <w:rFonts w:eastAsia="MS Mincho"/>
                <w:noProof/>
                <w:sz w:val="20"/>
                <w:szCs w:val="22"/>
                <w:u w:val="single"/>
                <w:lang w:val="en-GB" w:eastAsia="ja-JP"/>
              </w:rPr>
              <w:t>Goal</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_Toc478646898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16</w:t>
            </w:r>
            <w:r w:rsidR="00C96521" w:rsidRPr="00C96521">
              <w:rPr>
                <w:rFonts w:eastAsia="MS Mincho"/>
                <w:noProof/>
                <w:webHidden/>
                <w:sz w:val="20"/>
                <w:szCs w:val="22"/>
                <w:lang w:val="en-GB" w:eastAsia="ja-JP"/>
              </w:rPr>
              <w:fldChar w:fldCharType="end"/>
            </w:r>
          </w:hyperlink>
        </w:p>
        <w:p w14:paraId="787ED0DA" w14:textId="38F1EB8C"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899" w:history="1">
            <w:r w:rsidR="00C96521" w:rsidRPr="00C96521">
              <w:rPr>
                <w:rFonts w:eastAsia="MS Mincho"/>
                <w:noProof/>
                <w:sz w:val="20"/>
                <w:szCs w:val="22"/>
                <w:u w:val="single"/>
                <w:lang w:val="en-GB" w:eastAsia="ja-JP"/>
              </w:rPr>
              <w:t>High Level Objective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_Toc478646899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16</w:t>
            </w:r>
            <w:r w:rsidR="00C96521" w:rsidRPr="00C96521">
              <w:rPr>
                <w:rFonts w:eastAsia="MS Mincho"/>
                <w:noProof/>
                <w:webHidden/>
                <w:sz w:val="20"/>
                <w:szCs w:val="22"/>
                <w:lang w:val="en-GB" w:eastAsia="ja-JP"/>
              </w:rPr>
              <w:fldChar w:fldCharType="end"/>
            </w:r>
          </w:hyperlink>
        </w:p>
        <w:p w14:paraId="341F2751" w14:textId="208B3503"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0" w:history="1">
            <w:r w:rsidR="00C96521" w:rsidRPr="00C96521">
              <w:rPr>
                <w:rFonts w:eastAsia="MS Mincho"/>
                <w:noProof/>
                <w:sz w:val="20"/>
                <w:szCs w:val="22"/>
                <w:u w:val="single"/>
                <w:lang w:val="en-GB" w:eastAsia="ja-JP"/>
              </w:rPr>
              <w:t>Results and actions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_Toc478646900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16</w:t>
            </w:r>
            <w:r w:rsidR="00C96521" w:rsidRPr="00C96521">
              <w:rPr>
                <w:rFonts w:eastAsia="MS Mincho"/>
                <w:noProof/>
                <w:webHidden/>
                <w:sz w:val="20"/>
                <w:szCs w:val="22"/>
                <w:lang w:val="en-GB" w:eastAsia="ja-JP"/>
              </w:rPr>
              <w:fldChar w:fldCharType="end"/>
            </w:r>
          </w:hyperlink>
        </w:p>
        <w:p w14:paraId="2A342C76" w14:textId="4522877F"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01" w:history="1">
            <w:r w:rsidR="00C96521" w:rsidRPr="00C96521">
              <w:rPr>
                <w:rFonts w:eastAsia="MS Mincho"/>
                <w:b/>
                <w:noProof/>
                <w:sz w:val="20"/>
                <w:szCs w:val="22"/>
                <w:u w:val="single"/>
                <w:lang w:val="en-GB" w:eastAsia="ja-JP"/>
              </w:rPr>
              <w:t>Annex 1 - BIOLOGICAL ASSESSMENT</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_Toc478646901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38</w:t>
            </w:r>
            <w:r w:rsidR="00C96521" w:rsidRPr="00C96521">
              <w:rPr>
                <w:rFonts w:eastAsia="MS Mincho"/>
                <w:b/>
                <w:noProof/>
                <w:webHidden/>
                <w:sz w:val="20"/>
                <w:szCs w:val="22"/>
                <w:lang w:val="en-GB" w:eastAsia="ja-JP"/>
              </w:rPr>
              <w:fldChar w:fldCharType="end"/>
            </w:r>
          </w:hyperlink>
        </w:p>
        <w:p w14:paraId="2E9A8322" w14:textId="31587475"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2" w:history="1">
            <w:r w:rsidR="00C96521" w:rsidRPr="00C96521">
              <w:rPr>
                <w:rFonts w:eastAsia="MS Mincho"/>
                <w:noProof/>
                <w:sz w:val="20"/>
                <w:szCs w:val="22"/>
                <w:u w:val="single"/>
                <w:lang w:val="en-GB" w:eastAsia="ja-JP"/>
              </w:rPr>
              <w:t>Distribution throughout the annual cycle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_Toc478646902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38</w:t>
            </w:r>
            <w:r w:rsidR="00C96521" w:rsidRPr="00C96521">
              <w:rPr>
                <w:rFonts w:eastAsia="MS Mincho"/>
                <w:noProof/>
                <w:webHidden/>
                <w:sz w:val="20"/>
                <w:szCs w:val="22"/>
                <w:lang w:val="en-GB" w:eastAsia="ja-JP"/>
              </w:rPr>
              <w:fldChar w:fldCharType="end"/>
            </w:r>
          </w:hyperlink>
        </w:p>
        <w:p w14:paraId="78A58823" w14:textId="0DDE05A1"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3" w:history="1">
            <w:r w:rsidR="00C96521" w:rsidRPr="00C96521">
              <w:rPr>
                <w:rFonts w:eastAsia="MS Mincho"/>
                <w:noProof/>
                <w:sz w:val="20"/>
                <w:szCs w:val="22"/>
                <w:u w:val="single"/>
                <w:lang w:val="en-GB" w:eastAsia="ja-JP"/>
              </w:rPr>
              <w:t>Habitat requirements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_Toc478646903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41</w:t>
            </w:r>
            <w:r w:rsidR="00C96521" w:rsidRPr="00C96521">
              <w:rPr>
                <w:rFonts w:eastAsia="MS Mincho"/>
                <w:noProof/>
                <w:webHidden/>
                <w:sz w:val="20"/>
                <w:szCs w:val="22"/>
                <w:lang w:val="en-GB" w:eastAsia="ja-JP"/>
              </w:rPr>
              <w:fldChar w:fldCharType="end"/>
            </w:r>
          </w:hyperlink>
        </w:p>
        <w:p w14:paraId="0164B04A" w14:textId="785758D8"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4" w:history="1">
            <w:r w:rsidR="00C96521" w:rsidRPr="00C96521">
              <w:rPr>
                <w:rFonts w:eastAsia="MS Mincho"/>
                <w:noProof/>
                <w:sz w:val="20"/>
                <w:szCs w:val="22"/>
                <w:u w:val="single"/>
                <w:lang w:val="en-GB" w:eastAsia="ja-JP"/>
              </w:rPr>
              <w:t>Breakdown of turtle-dove habitat use across Europe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_Toc478646904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42</w:t>
            </w:r>
            <w:r w:rsidR="00C96521" w:rsidRPr="00C96521">
              <w:rPr>
                <w:rFonts w:eastAsia="MS Mincho"/>
                <w:noProof/>
                <w:webHidden/>
                <w:sz w:val="20"/>
                <w:szCs w:val="22"/>
                <w:lang w:val="en-GB" w:eastAsia="ja-JP"/>
              </w:rPr>
              <w:fldChar w:fldCharType="end"/>
            </w:r>
          </w:hyperlink>
        </w:p>
        <w:p w14:paraId="0ECBA6E1" w14:textId="58808674"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5" w:history="1">
            <w:r w:rsidR="00C96521" w:rsidRPr="00C96521">
              <w:rPr>
                <w:rFonts w:eastAsia="MS Mincho"/>
                <w:noProof/>
                <w:sz w:val="20"/>
                <w:szCs w:val="22"/>
                <w:u w:val="single"/>
                <w:lang w:val="en-GB" w:eastAsia="ja-JP"/>
              </w:rPr>
              <w:t>Survival and productivity</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_Toc478646905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46</w:t>
            </w:r>
            <w:r w:rsidR="00C96521" w:rsidRPr="00C96521">
              <w:rPr>
                <w:rFonts w:eastAsia="MS Mincho"/>
                <w:noProof/>
                <w:webHidden/>
                <w:sz w:val="20"/>
                <w:szCs w:val="22"/>
                <w:lang w:val="en-GB" w:eastAsia="ja-JP"/>
              </w:rPr>
              <w:fldChar w:fldCharType="end"/>
            </w:r>
          </w:hyperlink>
        </w:p>
        <w:p w14:paraId="35CDCEB8" w14:textId="4C25EF96"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6" w:history="1">
            <w:r w:rsidR="00C96521" w:rsidRPr="00C96521">
              <w:rPr>
                <w:rFonts w:eastAsia="MS Mincho"/>
                <w:noProof/>
                <w:sz w:val="20"/>
                <w:szCs w:val="22"/>
                <w:u w:val="single"/>
                <w:lang w:val="en-GB" w:eastAsia="ja-JP"/>
              </w:rPr>
              <w:t>Population size and trend</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_Toc478646906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48</w:t>
            </w:r>
            <w:r w:rsidR="00C96521" w:rsidRPr="00C96521">
              <w:rPr>
                <w:rFonts w:eastAsia="MS Mincho"/>
                <w:noProof/>
                <w:webHidden/>
                <w:sz w:val="20"/>
                <w:szCs w:val="22"/>
                <w:lang w:val="en-GB" w:eastAsia="ja-JP"/>
              </w:rPr>
              <w:fldChar w:fldCharType="end"/>
            </w:r>
          </w:hyperlink>
        </w:p>
        <w:p w14:paraId="33804B0A" w14:textId="542F3C31"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7" w:history="1">
            <w:r w:rsidR="00C96521" w:rsidRPr="00C96521">
              <w:rPr>
                <w:rFonts w:eastAsia="MS Mincho"/>
                <w:noProof/>
                <w:sz w:val="20"/>
                <w:szCs w:val="22"/>
                <w:u w:val="single"/>
                <w:lang w:val="en-GB" w:eastAsia="ja-JP"/>
              </w:rPr>
              <w:t>Breakdown of turtle-dove population trends across Europe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_Toc478646907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58</w:t>
            </w:r>
            <w:r w:rsidR="00C96521" w:rsidRPr="00C96521">
              <w:rPr>
                <w:rFonts w:eastAsia="MS Mincho"/>
                <w:noProof/>
                <w:webHidden/>
                <w:sz w:val="20"/>
                <w:szCs w:val="22"/>
                <w:lang w:val="en-GB" w:eastAsia="ja-JP"/>
              </w:rPr>
              <w:fldChar w:fldCharType="end"/>
            </w:r>
          </w:hyperlink>
        </w:p>
        <w:p w14:paraId="5BCB86DD" w14:textId="309B864A"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08" w:history="1">
            <w:r w:rsidR="00C96521" w:rsidRPr="00C96521">
              <w:rPr>
                <w:rFonts w:eastAsia="MS Mincho"/>
                <w:b/>
                <w:noProof/>
                <w:sz w:val="20"/>
                <w:szCs w:val="22"/>
                <w:u w:val="single"/>
                <w:lang w:val="en-GB" w:eastAsia="ja-JP"/>
              </w:rPr>
              <w:t>Annex 2: PROBLEM ANALYSIS</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_Toc478646908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64</w:t>
            </w:r>
            <w:r w:rsidR="00C96521" w:rsidRPr="00C96521">
              <w:rPr>
                <w:rFonts w:eastAsia="MS Mincho"/>
                <w:b/>
                <w:noProof/>
                <w:webHidden/>
                <w:sz w:val="20"/>
                <w:szCs w:val="22"/>
                <w:lang w:val="en-GB" w:eastAsia="ja-JP"/>
              </w:rPr>
              <w:fldChar w:fldCharType="end"/>
            </w:r>
          </w:hyperlink>
        </w:p>
        <w:p w14:paraId="2A01AA06" w14:textId="75571E75"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09" w:history="1">
            <w:r w:rsidR="00C96521" w:rsidRPr="00C96521">
              <w:rPr>
                <w:rFonts w:eastAsia="MS Mincho"/>
                <w:noProof/>
                <w:sz w:val="20"/>
                <w:szCs w:val="22"/>
                <w:u w:val="single"/>
                <w:lang w:val="en-GB" w:eastAsia="ja-JP"/>
              </w:rPr>
              <w:t>General overview</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_Toc478646909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64</w:t>
            </w:r>
            <w:r w:rsidR="00C96521" w:rsidRPr="00C96521">
              <w:rPr>
                <w:rFonts w:eastAsia="MS Mincho"/>
                <w:noProof/>
                <w:webHidden/>
                <w:sz w:val="20"/>
                <w:szCs w:val="22"/>
                <w:lang w:val="en-GB" w:eastAsia="ja-JP"/>
              </w:rPr>
              <w:fldChar w:fldCharType="end"/>
            </w:r>
          </w:hyperlink>
        </w:p>
        <w:p w14:paraId="1CE46493" w14:textId="4DC5F7EC"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10" w:history="1">
            <w:r w:rsidR="00C96521" w:rsidRPr="00C96521">
              <w:rPr>
                <w:rFonts w:eastAsia="MS Mincho"/>
                <w:noProof/>
                <w:sz w:val="20"/>
                <w:szCs w:val="22"/>
                <w:u w:val="single"/>
                <w:lang w:val="en-GB" w:eastAsia="ja-JP"/>
              </w:rPr>
              <w:t>Habitat loss/modification</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_Toc478646910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64</w:t>
            </w:r>
            <w:r w:rsidR="00C96521" w:rsidRPr="00C96521">
              <w:rPr>
                <w:rFonts w:eastAsia="MS Mincho"/>
                <w:noProof/>
                <w:webHidden/>
                <w:sz w:val="20"/>
                <w:szCs w:val="22"/>
                <w:lang w:val="en-GB" w:eastAsia="ja-JP"/>
              </w:rPr>
              <w:fldChar w:fldCharType="end"/>
            </w:r>
          </w:hyperlink>
        </w:p>
        <w:p w14:paraId="00F31E51" w14:textId="262A511A"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11" w:history="1">
            <w:r w:rsidR="00C96521" w:rsidRPr="00C96521">
              <w:rPr>
                <w:rFonts w:eastAsia="MS Mincho"/>
                <w:noProof/>
                <w:sz w:val="20"/>
                <w:szCs w:val="22"/>
                <w:u w:val="single"/>
                <w:lang w:val="en-GB" w:eastAsia="ja-JP"/>
              </w:rPr>
              <w:t>Illegal killing</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_Toc478646911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67</w:t>
            </w:r>
            <w:r w:rsidR="00C96521" w:rsidRPr="00C96521">
              <w:rPr>
                <w:rFonts w:eastAsia="MS Mincho"/>
                <w:noProof/>
                <w:webHidden/>
                <w:sz w:val="20"/>
                <w:szCs w:val="22"/>
                <w:lang w:val="en-GB" w:eastAsia="ja-JP"/>
              </w:rPr>
              <w:fldChar w:fldCharType="end"/>
            </w:r>
          </w:hyperlink>
        </w:p>
        <w:p w14:paraId="09DEC4C6" w14:textId="0B215CA9"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12" w:history="1">
            <w:r w:rsidR="00C96521" w:rsidRPr="00C96521">
              <w:rPr>
                <w:rFonts w:eastAsia="MS Mincho"/>
                <w:noProof/>
                <w:sz w:val="20"/>
                <w:szCs w:val="22"/>
                <w:u w:val="single"/>
                <w:lang w:val="en-GB" w:eastAsia="ja-JP"/>
              </w:rPr>
              <w:t>Hunting</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_Toc478646912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68</w:t>
            </w:r>
            <w:r w:rsidR="00C96521" w:rsidRPr="00C96521">
              <w:rPr>
                <w:rFonts w:eastAsia="MS Mincho"/>
                <w:noProof/>
                <w:webHidden/>
                <w:sz w:val="20"/>
                <w:szCs w:val="22"/>
                <w:lang w:val="en-GB" w:eastAsia="ja-JP"/>
              </w:rPr>
              <w:fldChar w:fldCharType="end"/>
            </w:r>
          </w:hyperlink>
        </w:p>
        <w:p w14:paraId="422F8E03" w14:textId="1E44CF18"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13" w:history="1">
            <w:r w:rsidR="00C96521" w:rsidRPr="00C96521">
              <w:rPr>
                <w:rFonts w:eastAsia="MS Mincho"/>
                <w:noProof/>
                <w:sz w:val="20"/>
                <w:szCs w:val="22"/>
                <w:u w:val="single"/>
                <w:lang w:val="en-GB" w:eastAsia="ja-JP"/>
              </w:rPr>
              <w:t>Other threats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_Toc478646913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75</w:t>
            </w:r>
            <w:r w:rsidR="00C96521" w:rsidRPr="00C96521">
              <w:rPr>
                <w:rFonts w:eastAsia="MS Mincho"/>
                <w:noProof/>
                <w:webHidden/>
                <w:sz w:val="20"/>
                <w:szCs w:val="22"/>
                <w:lang w:val="en-GB" w:eastAsia="ja-JP"/>
              </w:rPr>
              <w:fldChar w:fldCharType="end"/>
            </w:r>
          </w:hyperlink>
        </w:p>
        <w:p w14:paraId="3567E344" w14:textId="5CF654C6"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914" w:history="1">
            <w:r w:rsidR="00C96521" w:rsidRPr="00C96521">
              <w:rPr>
                <w:rFonts w:eastAsia="MS Mincho"/>
                <w:noProof/>
                <w:sz w:val="20"/>
                <w:szCs w:val="22"/>
                <w:u w:val="single"/>
                <w:lang w:val="en-GB" w:eastAsia="ja-JP"/>
              </w:rPr>
              <w:t>Pesticides, agricultural chemicals and lead shot</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_Toc478646914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75</w:t>
            </w:r>
            <w:r w:rsidR="00C96521" w:rsidRPr="00C96521">
              <w:rPr>
                <w:rFonts w:eastAsia="MS Mincho"/>
                <w:noProof/>
                <w:webHidden/>
                <w:sz w:val="20"/>
                <w:szCs w:val="22"/>
                <w:lang w:val="en-GB" w:eastAsia="ja-JP"/>
              </w:rPr>
              <w:fldChar w:fldCharType="end"/>
            </w:r>
          </w:hyperlink>
        </w:p>
        <w:p w14:paraId="6D868583" w14:textId="52391489"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915" w:history="1">
            <w:r w:rsidR="00C96521" w:rsidRPr="00C96521">
              <w:rPr>
                <w:rFonts w:eastAsia="MS Mincho"/>
                <w:noProof/>
                <w:sz w:val="20"/>
                <w:szCs w:val="22"/>
                <w:u w:val="single"/>
                <w:lang w:val="en-GB" w:eastAsia="ja-JP"/>
              </w:rPr>
              <w:t>Drought and climate change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_Toc478646915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76</w:t>
            </w:r>
            <w:r w:rsidR="00C96521" w:rsidRPr="00C96521">
              <w:rPr>
                <w:rFonts w:eastAsia="MS Mincho"/>
                <w:noProof/>
                <w:webHidden/>
                <w:sz w:val="20"/>
                <w:szCs w:val="22"/>
                <w:lang w:val="en-GB" w:eastAsia="ja-JP"/>
              </w:rPr>
              <w:fldChar w:fldCharType="end"/>
            </w:r>
          </w:hyperlink>
        </w:p>
        <w:p w14:paraId="5CBCDC50" w14:textId="09506292"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916" w:history="1">
            <w:r w:rsidR="00C96521" w:rsidRPr="00C96521">
              <w:rPr>
                <w:rFonts w:eastAsia="MS Mincho"/>
                <w:noProof/>
                <w:sz w:val="20"/>
                <w:szCs w:val="22"/>
                <w:u w:val="single"/>
                <w:lang w:val="en-GB" w:eastAsia="ja-JP"/>
              </w:rPr>
              <w:t xml:space="preserve">Competition with </w:t>
            </w:r>
            <w:r w:rsidR="00BE5EF4">
              <w:rPr>
                <w:rFonts w:eastAsia="MS Mincho"/>
                <w:noProof/>
                <w:sz w:val="20"/>
                <w:szCs w:val="22"/>
                <w:u w:val="single"/>
                <w:lang w:val="en-GB" w:eastAsia="ja-JP"/>
              </w:rPr>
              <w:t>C</w:t>
            </w:r>
            <w:r w:rsidR="00C96521" w:rsidRPr="00C96521">
              <w:rPr>
                <w:rFonts w:eastAsia="MS Mincho"/>
                <w:noProof/>
                <w:sz w:val="20"/>
                <w:szCs w:val="22"/>
                <w:u w:val="single"/>
                <w:lang w:val="en-GB" w:eastAsia="ja-JP"/>
              </w:rPr>
              <w:t xml:space="preserve">ollared </w:t>
            </w:r>
            <w:r w:rsidR="00BE5EF4">
              <w:rPr>
                <w:rFonts w:eastAsia="MS Mincho"/>
                <w:noProof/>
                <w:sz w:val="20"/>
                <w:szCs w:val="22"/>
                <w:u w:val="single"/>
                <w:lang w:val="en-GB" w:eastAsia="ja-JP"/>
              </w:rPr>
              <w:t>D</w:t>
            </w:r>
            <w:r w:rsidR="00C96521" w:rsidRPr="00C96521">
              <w:rPr>
                <w:rFonts w:eastAsia="MS Mincho"/>
                <w:noProof/>
                <w:sz w:val="20"/>
                <w:szCs w:val="22"/>
                <w:u w:val="single"/>
                <w:lang w:val="en-GB" w:eastAsia="ja-JP"/>
              </w:rPr>
              <w:t>ove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_Toc478646916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76</w:t>
            </w:r>
            <w:r w:rsidR="00C96521" w:rsidRPr="00C96521">
              <w:rPr>
                <w:rFonts w:eastAsia="MS Mincho"/>
                <w:noProof/>
                <w:webHidden/>
                <w:sz w:val="20"/>
                <w:szCs w:val="22"/>
                <w:lang w:val="en-GB" w:eastAsia="ja-JP"/>
              </w:rPr>
              <w:fldChar w:fldCharType="end"/>
            </w:r>
          </w:hyperlink>
        </w:p>
        <w:p w14:paraId="545CCE4A" w14:textId="611938DD" w:rsidR="00C96521" w:rsidRPr="00C96521" w:rsidRDefault="009213E9" w:rsidP="00C96521">
          <w:pPr>
            <w:widowControl/>
            <w:tabs>
              <w:tab w:val="right" w:leader="dot" w:pos="9310"/>
              <w:tab w:val="left" w:pos="9356"/>
            </w:tabs>
            <w:autoSpaceDE/>
            <w:autoSpaceDN/>
            <w:adjustRightInd/>
            <w:spacing w:after="100" w:line="276" w:lineRule="auto"/>
            <w:ind w:left="442"/>
            <w:rPr>
              <w:rFonts w:ascii="Calibri" w:eastAsia="MS Mincho" w:hAnsi="Calibri"/>
              <w:noProof/>
              <w:sz w:val="22"/>
              <w:szCs w:val="22"/>
              <w:lang w:val="en-GB" w:eastAsia="ja-JP"/>
            </w:rPr>
          </w:pPr>
          <w:hyperlink w:anchor="_Toc478646917" w:history="1">
            <w:r w:rsidR="00C96521" w:rsidRPr="00C96521">
              <w:rPr>
                <w:rFonts w:eastAsia="MS Mincho"/>
                <w:noProof/>
                <w:sz w:val="20"/>
                <w:szCs w:val="22"/>
                <w:u w:val="single"/>
                <w:shd w:val="clear" w:color="auto" w:fill="FFFFFF"/>
                <w:lang w:val="en-GB" w:eastAsia="ja-JP"/>
              </w:rPr>
              <w:t>Disease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_Toc478646917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77</w:t>
            </w:r>
            <w:r w:rsidR="00C96521" w:rsidRPr="00C96521">
              <w:rPr>
                <w:rFonts w:eastAsia="MS Mincho"/>
                <w:noProof/>
                <w:webHidden/>
                <w:sz w:val="20"/>
                <w:szCs w:val="22"/>
                <w:lang w:val="en-GB" w:eastAsia="ja-JP"/>
              </w:rPr>
              <w:fldChar w:fldCharType="end"/>
            </w:r>
          </w:hyperlink>
        </w:p>
        <w:p w14:paraId="0762D5F0" w14:textId="7138279B"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18" w:history="1">
            <w:r w:rsidR="00C96521" w:rsidRPr="00C96521">
              <w:rPr>
                <w:rFonts w:eastAsia="MS Mincho"/>
                <w:noProof/>
                <w:sz w:val="20"/>
                <w:szCs w:val="22"/>
                <w:u w:val="single"/>
                <w:lang w:val="en-GB" w:eastAsia="ja-JP"/>
              </w:rPr>
              <w:t>Problem tree</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_Toc478646918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78</w:t>
            </w:r>
            <w:r w:rsidR="00C96521" w:rsidRPr="00C96521">
              <w:rPr>
                <w:rFonts w:eastAsia="MS Mincho"/>
                <w:noProof/>
                <w:webHidden/>
                <w:sz w:val="20"/>
                <w:szCs w:val="22"/>
                <w:lang w:val="en-GB" w:eastAsia="ja-JP"/>
              </w:rPr>
              <w:fldChar w:fldCharType="end"/>
            </w:r>
          </w:hyperlink>
        </w:p>
        <w:p w14:paraId="75B5FE9F" w14:textId="46889539"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19" w:history="1">
            <w:r w:rsidR="00C96521" w:rsidRPr="00C96521">
              <w:rPr>
                <w:rFonts w:eastAsia="MS Mincho"/>
                <w:b/>
                <w:noProof/>
                <w:sz w:val="20"/>
                <w:szCs w:val="22"/>
                <w:u w:val="single"/>
                <w:lang w:val="en-GB" w:eastAsia="ja-JP"/>
              </w:rPr>
              <w:t>Annex 3: JUSTIFICATION OF CONSERVATION and/or MANAGEMENT OBJECTIVES</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_Toc478646919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79</w:t>
            </w:r>
            <w:r w:rsidR="00C96521" w:rsidRPr="00C96521">
              <w:rPr>
                <w:rFonts w:eastAsia="MS Mincho"/>
                <w:b/>
                <w:noProof/>
                <w:webHidden/>
                <w:sz w:val="20"/>
                <w:szCs w:val="22"/>
                <w:lang w:val="en-GB" w:eastAsia="ja-JP"/>
              </w:rPr>
              <w:fldChar w:fldCharType="end"/>
            </w:r>
          </w:hyperlink>
        </w:p>
        <w:p w14:paraId="61F620EE" w14:textId="7FB28C66"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20" w:history="1">
            <w:r w:rsidR="00C96521" w:rsidRPr="00C96521">
              <w:rPr>
                <w:rFonts w:eastAsia="MS Mincho"/>
                <w:noProof/>
                <w:sz w:val="20"/>
                <w:szCs w:val="22"/>
                <w:u w:val="single"/>
                <w:lang w:val="en-GB" w:eastAsia="ja-JP"/>
              </w:rPr>
              <w:t>Habitat Creation and Management for Turtle</w:t>
            </w:r>
            <w:r w:rsidR="00BE5EF4">
              <w:rPr>
                <w:rFonts w:eastAsia="MS Mincho"/>
                <w:noProof/>
                <w:sz w:val="20"/>
                <w:szCs w:val="22"/>
                <w:u w:val="single"/>
                <w:lang w:val="en-GB" w:eastAsia="ja-JP"/>
              </w:rPr>
              <w:t xml:space="preserve"> D</w:t>
            </w:r>
            <w:r w:rsidR="00C96521" w:rsidRPr="00C96521">
              <w:rPr>
                <w:rFonts w:eastAsia="MS Mincho"/>
                <w:noProof/>
                <w:sz w:val="20"/>
                <w:szCs w:val="22"/>
                <w:u w:val="single"/>
                <w:lang w:val="en-GB" w:eastAsia="ja-JP"/>
              </w:rPr>
              <w:t>oves on the European Breeding Grounds: case studies of option research, development and deployment from the UK</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_Toc478646920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79</w:t>
            </w:r>
            <w:r w:rsidR="00C96521" w:rsidRPr="00C96521">
              <w:rPr>
                <w:rFonts w:eastAsia="MS Mincho"/>
                <w:noProof/>
                <w:webHidden/>
                <w:sz w:val="20"/>
                <w:szCs w:val="22"/>
                <w:lang w:val="en-GB" w:eastAsia="ja-JP"/>
              </w:rPr>
              <w:fldChar w:fldCharType="end"/>
            </w:r>
          </w:hyperlink>
        </w:p>
        <w:p w14:paraId="3A5A3E60" w14:textId="31B63B8E"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21" w:history="1">
            <w:r w:rsidR="00C96521" w:rsidRPr="00C96521">
              <w:rPr>
                <w:rFonts w:eastAsia="MS Mincho"/>
                <w:noProof/>
                <w:sz w:val="20"/>
                <w:szCs w:val="22"/>
                <w:u w:val="single"/>
                <w:lang w:val="en-GB" w:eastAsia="ja-JP"/>
              </w:rPr>
              <w:t>Sample Countryside Stewardship Management Plan for SP9 Threatened Species Supplement</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_Toc478646921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88</w:t>
            </w:r>
            <w:r w:rsidR="00C96521" w:rsidRPr="00C96521">
              <w:rPr>
                <w:rFonts w:eastAsia="MS Mincho"/>
                <w:noProof/>
                <w:webHidden/>
                <w:sz w:val="20"/>
                <w:szCs w:val="22"/>
                <w:lang w:val="en-GB" w:eastAsia="ja-JP"/>
              </w:rPr>
              <w:fldChar w:fldCharType="end"/>
            </w:r>
          </w:hyperlink>
        </w:p>
        <w:p w14:paraId="3317C2A4" w14:textId="1EFDEC69"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22" w:history="1">
            <w:r w:rsidR="00C96521" w:rsidRPr="00C96521">
              <w:rPr>
                <w:rFonts w:eastAsia="MS Mincho"/>
                <w:b/>
                <w:noProof/>
                <w:sz w:val="20"/>
                <w:szCs w:val="22"/>
                <w:u w:val="single"/>
                <w:lang w:val="en-GB" w:eastAsia="ja-JP"/>
              </w:rPr>
              <w:t>Annex 4: ADAPTIVE HARVEST MANAGEMENT PLAN</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_Toc478646922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91</w:t>
            </w:r>
            <w:r w:rsidR="00C96521" w:rsidRPr="00C96521">
              <w:rPr>
                <w:rFonts w:eastAsia="MS Mincho"/>
                <w:b/>
                <w:noProof/>
                <w:webHidden/>
                <w:sz w:val="20"/>
                <w:szCs w:val="22"/>
                <w:lang w:val="en-GB" w:eastAsia="ja-JP"/>
              </w:rPr>
              <w:fldChar w:fldCharType="end"/>
            </w:r>
          </w:hyperlink>
        </w:p>
        <w:p w14:paraId="3192D848" w14:textId="0D5986C4" w:rsidR="00C96521" w:rsidRPr="00C96521" w:rsidRDefault="009213E9" w:rsidP="00C96521">
          <w:pPr>
            <w:widowControl/>
            <w:tabs>
              <w:tab w:val="right" w:leader="dot" w:pos="9310"/>
            </w:tabs>
            <w:autoSpaceDE/>
            <w:autoSpaceDN/>
            <w:adjustRightInd/>
            <w:spacing w:after="100" w:line="276" w:lineRule="auto"/>
            <w:ind w:left="220"/>
            <w:rPr>
              <w:rFonts w:ascii="Calibri" w:eastAsia="MS Mincho" w:hAnsi="Calibri"/>
              <w:noProof/>
              <w:sz w:val="22"/>
              <w:szCs w:val="22"/>
              <w:lang w:val="en-GB" w:eastAsia="ja-JP"/>
            </w:rPr>
          </w:pPr>
          <w:hyperlink w:anchor="_Toc478646923" w:history="1">
            <w:r w:rsidR="00C96521" w:rsidRPr="00C96521">
              <w:rPr>
                <w:rFonts w:eastAsia="MS Mincho"/>
                <w:noProof/>
                <w:sz w:val="20"/>
                <w:szCs w:val="22"/>
                <w:u w:val="single"/>
                <w:lang w:val="en-GB" w:eastAsia="ja-JP"/>
              </w:rPr>
              <w:t xml:space="preserve">Estimating hunting sustainability of </w:t>
            </w:r>
            <w:r w:rsidR="00BE5EF4">
              <w:rPr>
                <w:rFonts w:eastAsia="MS Mincho"/>
                <w:noProof/>
                <w:sz w:val="20"/>
                <w:szCs w:val="22"/>
                <w:u w:val="single"/>
                <w:lang w:val="en-GB" w:eastAsia="ja-JP"/>
              </w:rPr>
              <w:t>T</w:t>
            </w:r>
            <w:r w:rsidR="00C96521" w:rsidRPr="00C96521">
              <w:rPr>
                <w:rFonts w:eastAsia="MS Mincho"/>
                <w:noProof/>
                <w:sz w:val="20"/>
                <w:szCs w:val="22"/>
                <w:u w:val="single"/>
                <w:lang w:val="en-GB" w:eastAsia="ja-JP"/>
              </w:rPr>
              <w:t xml:space="preserve">urtle </w:t>
            </w:r>
            <w:r w:rsidR="00BE5EF4">
              <w:rPr>
                <w:rFonts w:eastAsia="MS Mincho"/>
                <w:noProof/>
                <w:sz w:val="20"/>
                <w:szCs w:val="22"/>
                <w:u w:val="single"/>
                <w:lang w:val="en-GB" w:eastAsia="ja-JP"/>
              </w:rPr>
              <w:t>D</w:t>
            </w:r>
            <w:r w:rsidR="00C96521" w:rsidRPr="00C96521">
              <w:rPr>
                <w:rFonts w:eastAsia="MS Mincho"/>
                <w:noProof/>
                <w:sz w:val="20"/>
                <w:szCs w:val="22"/>
                <w:u w:val="single"/>
                <w:lang w:val="en-GB" w:eastAsia="ja-JP"/>
              </w:rPr>
              <w:t>oves using the western flyway: a first approach based on the use of demographic invariants</w:t>
            </w:r>
            <w:r w:rsidR="00C96521" w:rsidRPr="00C96521">
              <w:rPr>
                <w:rFonts w:eastAsia="MS Mincho"/>
                <w:noProof/>
                <w:webHidden/>
                <w:sz w:val="20"/>
                <w:szCs w:val="22"/>
                <w:lang w:val="en-GB" w:eastAsia="ja-JP"/>
              </w:rPr>
              <w:tab/>
            </w:r>
            <w:r w:rsidR="00C96521" w:rsidRPr="00C96521">
              <w:rPr>
                <w:rFonts w:eastAsia="MS Mincho"/>
                <w:noProof/>
                <w:webHidden/>
                <w:sz w:val="20"/>
                <w:szCs w:val="22"/>
                <w:lang w:val="en-GB" w:eastAsia="ja-JP"/>
              </w:rPr>
              <w:fldChar w:fldCharType="begin"/>
            </w:r>
            <w:r w:rsidR="00C96521" w:rsidRPr="00C96521">
              <w:rPr>
                <w:rFonts w:eastAsia="MS Mincho"/>
                <w:noProof/>
                <w:webHidden/>
                <w:sz w:val="20"/>
                <w:szCs w:val="22"/>
                <w:lang w:val="en-GB" w:eastAsia="ja-JP"/>
              </w:rPr>
              <w:instrText xml:space="preserve"> PAGEREF _Toc478646923 \h </w:instrText>
            </w:r>
            <w:r w:rsidR="00C96521" w:rsidRPr="00C96521">
              <w:rPr>
                <w:rFonts w:eastAsia="MS Mincho"/>
                <w:noProof/>
                <w:webHidden/>
                <w:sz w:val="20"/>
                <w:szCs w:val="22"/>
                <w:lang w:val="en-GB" w:eastAsia="ja-JP"/>
              </w:rPr>
            </w:r>
            <w:r w:rsidR="00C96521" w:rsidRPr="00C96521">
              <w:rPr>
                <w:rFonts w:eastAsia="MS Mincho"/>
                <w:noProof/>
                <w:webHidden/>
                <w:sz w:val="20"/>
                <w:szCs w:val="22"/>
                <w:lang w:val="en-GB" w:eastAsia="ja-JP"/>
              </w:rPr>
              <w:fldChar w:fldCharType="separate"/>
            </w:r>
            <w:r>
              <w:rPr>
                <w:rFonts w:eastAsia="MS Mincho"/>
                <w:noProof/>
                <w:webHidden/>
                <w:sz w:val="20"/>
                <w:szCs w:val="22"/>
                <w:lang w:val="en-GB" w:eastAsia="ja-JP"/>
              </w:rPr>
              <w:t>91</w:t>
            </w:r>
            <w:r w:rsidR="00C96521" w:rsidRPr="00C96521">
              <w:rPr>
                <w:rFonts w:eastAsia="MS Mincho"/>
                <w:noProof/>
                <w:webHidden/>
                <w:sz w:val="20"/>
                <w:szCs w:val="22"/>
                <w:lang w:val="en-GB" w:eastAsia="ja-JP"/>
              </w:rPr>
              <w:fldChar w:fldCharType="end"/>
            </w:r>
          </w:hyperlink>
        </w:p>
        <w:p w14:paraId="69801FAA" w14:textId="44E0AA0E"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24" w:history="1">
            <w:r w:rsidR="00C96521" w:rsidRPr="00C96521">
              <w:rPr>
                <w:rFonts w:eastAsia="MS Mincho"/>
                <w:b/>
                <w:noProof/>
                <w:sz w:val="20"/>
                <w:szCs w:val="22"/>
                <w:u w:val="single"/>
                <w:lang w:val="en-GB" w:eastAsia="ja-JP"/>
              </w:rPr>
              <w:t>Annex 5: REFERENCES</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_Toc478646924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98</w:t>
            </w:r>
            <w:r w:rsidR="00C96521" w:rsidRPr="00C96521">
              <w:rPr>
                <w:rFonts w:eastAsia="MS Mincho"/>
                <w:b/>
                <w:noProof/>
                <w:webHidden/>
                <w:sz w:val="20"/>
                <w:szCs w:val="22"/>
                <w:lang w:val="en-GB" w:eastAsia="ja-JP"/>
              </w:rPr>
              <w:fldChar w:fldCharType="end"/>
            </w:r>
          </w:hyperlink>
        </w:p>
        <w:p w14:paraId="734BB0F8" w14:textId="711566E3"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25" w:history="1">
            <w:r w:rsidR="00C96521" w:rsidRPr="00C96521">
              <w:rPr>
                <w:rFonts w:eastAsia="MS Mincho"/>
                <w:b/>
                <w:noProof/>
                <w:sz w:val="20"/>
                <w:szCs w:val="22"/>
                <w:u w:val="single"/>
                <w:lang w:val="en-GB" w:eastAsia="ja-JP"/>
              </w:rPr>
              <w:t>Annex 6: LIST OF ACRONYMS/ABBREVIATIONS</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_Toc478646925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114</w:t>
            </w:r>
            <w:r w:rsidR="00C96521" w:rsidRPr="00C96521">
              <w:rPr>
                <w:rFonts w:eastAsia="MS Mincho"/>
                <w:b/>
                <w:noProof/>
                <w:webHidden/>
                <w:sz w:val="20"/>
                <w:szCs w:val="22"/>
                <w:lang w:val="en-GB" w:eastAsia="ja-JP"/>
              </w:rPr>
              <w:fldChar w:fldCharType="end"/>
            </w:r>
          </w:hyperlink>
        </w:p>
        <w:p w14:paraId="39D10FBB" w14:textId="21EEA9E9" w:rsidR="00C96521" w:rsidRPr="00C96521" w:rsidRDefault="009213E9" w:rsidP="00C96521">
          <w:pPr>
            <w:widowControl/>
            <w:tabs>
              <w:tab w:val="right" w:leader="dot" w:pos="9310"/>
            </w:tabs>
            <w:autoSpaceDE/>
            <w:autoSpaceDN/>
            <w:adjustRightInd/>
            <w:spacing w:after="100" w:line="276" w:lineRule="auto"/>
            <w:rPr>
              <w:rFonts w:ascii="Calibri" w:eastAsia="MS Mincho" w:hAnsi="Calibri"/>
              <w:noProof/>
              <w:sz w:val="22"/>
              <w:szCs w:val="22"/>
              <w:lang w:val="en-GB" w:eastAsia="ja-JP"/>
            </w:rPr>
          </w:pPr>
          <w:hyperlink w:anchor="_Toc478646926" w:history="1">
            <w:r w:rsidR="00C96521" w:rsidRPr="00C96521">
              <w:rPr>
                <w:rFonts w:eastAsia="MS Mincho"/>
                <w:b/>
                <w:noProof/>
                <w:sz w:val="20"/>
                <w:szCs w:val="22"/>
                <w:u w:val="single"/>
                <w:lang w:val="en-GB" w:eastAsia="ja-JP"/>
              </w:rPr>
              <w:t xml:space="preserve">Annex 7 - EUROPEAN </w:t>
            </w:r>
            <w:r w:rsidR="00526B63">
              <w:rPr>
                <w:rFonts w:eastAsia="MS Mincho"/>
                <w:b/>
                <w:noProof/>
                <w:sz w:val="20"/>
                <w:szCs w:val="22"/>
                <w:u w:val="single"/>
                <w:lang w:val="en-GB" w:eastAsia="ja-JP"/>
              </w:rPr>
              <w:t xml:space="preserve">UNION </w:t>
            </w:r>
            <w:r w:rsidR="00C96521" w:rsidRPr="00C96521">
              <w:rPr>
                <w:rFonts w:eastAsia="MS Mincho"/>
                <w:b/>
                <w:noProof/>
                <w:sz w:val="20"/>
                <w:szCs w:val="22"/>
                <w:u w:val="single"/>
                <w:lang w:val="en-GB" w:eastAsia="ja-JP"/>
              </w:rPr>
              <w:t>MEMBER STATES</w:t>
            </w:r>
            <w:r w:rsidR="00BE5EF4">
              <w:rPr>
                <w:rFonts w:eastAsia="MS Mincho"/>
                <w:b/>
                <w:noProof/>
                <w:sz w:val="20"/>
                <w:szCs w:val="22"/>
                <w:u w:val="single"/>
                <w:lang w:val="en-GB" w:eastAsia="ja-JP"/>
              </w:rPr>
              <w:t>’</w:t>
            </w:r>
            <w:r w:rsidR="00C96521" w:rsidRPr="00C96521">
              <w:rPr>
                <w:rFonts w:eastAsia="MS Mincho"/>
                <w:b/>
                <w:noProof/>
                <w:sz w:val="20"/>
                <w:szCs w:val="22"/>
                <w:u w:val="single"/>
                <w:lang w:val="en-GB" w:eastAsia="ja-JP"/>
              </w:rPr>
              <w:t xml:space="preserve"> CODES</w:t>
            </w:r>
            <w:r w:rsidR="00C96521" w:rsidRPr="00C96521">
              <w:rPr>
                <w:rFonts w:eastAsia="MS Mincho"/>
                <w:b/>
                <w:noProof/>
                <w:webHidden/>
                <w:sz w:val="20"/>
                <w:szCs w:val="22"/>
                <w:lang w:val="en-GB" w:eastAsia="ja-JP"/>
              </w:rPr>
              <w:tab/>
            </w:r>
            <w:r w:rsidR="00C96521" w:rsidRPr="00C96521">
              <w:rPr>
                <w:rFonts w:eastAsia="MS Mincho"/>
                <w:b/>
                <w:noProof/>
                <w:webHidden/>
                <w:sz w:val="20"/>
                <w:szCs w:val="22"/>
                <w:lang w:val="en-GB" w:eastAsia="ja-JP"/>
              </w:rPr>
              <w:fldChar w:fldCharType="begin"/>
            </w:r>
            <w:r w:rsidR="00C96521" w:rsidRPr="00C96521">
              <w:rPr>
                <w:rFonts w:eastAsia="MS Mincho"/>
                <w:b/>
                <w:noProof/>
                <w:webHidden/>
                <w:sz w:val="20"/>
                <w:szCs w:val="22"/>
                <w:lang w:val="en-GB" w:eastAsia="ja-JP"/>
              </w:rPr>
              <w:instrText xml:space="preserve"> PAGEREF _Toc478646926 \h </w:instrText>
            </w:r>
            <w:r w:rsidR="00C96521" w:rsidRPr="00C96521">
              <w:rPr>
                <w:rFonts w:eastAsia="MS Mincho"/>
                <w:b/>
                <w:noProof/>
                <w:webHidden/>
                <w:sz w:val="20"/>
                <w:szCs w:val="22"/>
                <w:lang w:val="en-GB" w:eastAsia="ja-JP"/>
              </w:rPr>
            </w:r>
            <w:r w:rsidR="00C96521" w:rsidRPr="00C96521">
              <w:rPr>
                <w:rFonts w:eastAsia="MS Mincho"/>
                <w:b/>
                <w:noProof/>
                <w:webHidden/>
                <w:sz w:val="20"/>
                <w:szCs w:val="22"/>
                <w:lang w:val="en-GB" w:eastAsia="ja-JP"/>
              </w:rPr>
              <w:fldChar w:fldCharType="separate"/>
            </w:r>
            <w:r>
              <w:rPr>
                <w:rFonts w:eastAsia="MS Mincho"/>
                <w:b/>
                <w:noProof/>
                <w:webHidden/>
                <w:sz w:val="20"/>
                <w:szCs w:val="22"/>
                <w:lang w:val="en-GB" w:eastAsia="ja-JP"/>
              </w:rPr>
              <w:t>115</w:t>
            </w:r>
            <w:r w:rsidR="00C96521" w:rsidRPr="00C96521">
              <w:rPr>
                <w:rFonts w:eastAsia="MS Mincho"/>
                <w:b/>
                <w:noProof/>
                <w:webHidden/>
                <w:sz w:val="20"/>
                <w:szCs w:val="22"/>
                <w:lang w:val="en-GB" w:eastAsia="ja-JP"/>
              </w:rPr>
              <w:fldChar w:fldCharType="end"/>
            </w:r>
          </w:hyperlink>
        </w:p>
        <w:p w14:paraId="245559AB" w14:textId="5B8FF24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fldChar w:fldCharType="end"/>
          </w:r>
        </w:p>
      </w:sdtContent>
    </w:sdt>
    <w:p w14:paraId="795DBBB3" w14:textId="77777777" w:rsidR="00C96521" w:rsidRPr="00C96521" w:rsidRDefault="00C96521" w:rsidP="00C96521">
      <w:pPr>
        <w:widowControl/>
        <w:autoSpaceDE/>
        <w:autoSpaceDN/>
        <w:adjustRightInd/>
        <w:spacing w:line="276" w:lineRule="auto"/>
        <w:rPr>
          <w:rFonts w:eastAsia="MS Mincho"/>
          <w:b/>
          <w:color w:val="FF0000"/>
          <w:sz w:val="20"/>
          <w:szCs w:val="22"/>
          <w:lang w:val="en-GB" w:eastAsia="ja-JP"/>
        </w:rPr>
      </w:pPr>
    </w:p>
    <w:p w14:paraId="1BF6C647"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TABLES</w:t>
      </w:r>
    </w:p>
    <w:p w14:paraId="65215C3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BDAD22A" w14:textId="314AB391" w:rsidR="00C96521" w:rsidRPr="00C96521" w:rsidRDefault="00C96521" w:rsidP="00C96521">
      <w:pPr>
        <w:widowControl/>
        <w:autoSpaceDE/>
        <w:autoSpaceDN/>
        <w:adjustRightInd/>
        <w:spacing w:line="276" w:lineRule="auto"/>
        <w:rPr>
          <w:rFonts w:eastAsia="Calibri"/>
          <w:sz w:val="20"/>
          <w:szCs w:val="22"/>
          <w:lang w:val="en-GB" w:eastAsia="ja-JP"/>
        </w:rPr>
      </w:pPr>
      <w:r w:rsidRPr="00C96521">
        <w:rPr>
          <w:rFonts w:eastAsia="Calibri"/>
          <w:sz w:val="20"/>
          <w:szCs w:val="22"/>
          <w:lang w:val="en-GB" w:eastAsia="ja-JP"/>
        </w:rPr>
        <w:t xml:space="preserve">Table 1. Range States for the European </w:t>
      </w:r>
      <w:r w:rsidR="00BE5EF4">
        <w:rPr>
          <w:rFonts w:eastAsia="Calibri"/>
          <w:sz w:val="20"/>
          <w:szCs w:val="22"/>
          <w:lang w:val="en-GB" w:eastAsia="ja-JP"/>
        </w:rPr>
        <w:t>T</w:t>
      </w:r>
      <w:r w:rsidRPr="00C96521">
        <w:rPr>
          <w:rFonts w:eastAsia="Calibri"/>
          <w:sz w:val="20"/>
          <w:szCs w:val="22"/>
          <w:lang w:val="en-GB" w:eastAsia="ja-JP"/>
        </w:rPr>
        <w:t>urtle</w:t>
      </w:r>
      <w:r w:rsidR="00BE5EF4">
        <w:rPr>
          <w:rFonts w:eastAsia="Calibri"/>
          <w:sz w:val="20"/>
          <w:szCs w:val="22"/>
          <w:lang w:val="en-GB" w:eastAsia="ja-JP"/>
        </w:rPr>
        <w:t xml:space="preserve"> D</w:t>
      </w:r>
      <w:r w:rsidRPr="00C96521">
        <w:rPr>
          <w:rFonts w:eastAsia="Calibri"/>
          <w:sz w:val="20"/>
          <w:szCs w:val="22"/>
          <w:lang w:val="en-GB" w:eastAsia="ja-JP"/>
        </w:rPr>
        <w:t>dove covered by the Action Plan (page 8).</w:t>
      </w:r>
    </w:p>
    <w:p w14:paraId="24BD7398" w14:textId="77777777" w:rsidR="00C96521" w:rsidRPr="00C96521" w:rsidRDefault="00C96521" w:rsidP="00C96521">
      <w:pPr>
        <w:widowControl/>
        <w:autoSpaceDE/>
        <w:autoSpaceDN/>
        <w:adjustRightInd/>
        <w:spacing w:line="276" w:lineRule="auto"/>
        <w:rPr>
          <w:rFonts w:eastAsia="Calibri"/>
          <w:sz w:val="20"/>
          <w:szCs w:val="22"/>
          <w:lang w:val="en-GB" w:eastAsia="ja-JP"/>
        </w:rPr>
      </w:pPr>
    </w:p>
    <w:p w14:paraId="13085BFF"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Table </w:t>
      </w:r>
      <w:r w:rsidRPr="00C96521">
        <w:rPr>
          <w:rFonts w:eastAsia="MS Mincho"/>
          <w:sz w:val="20"/>
          <w:szCs w:val="22"/>
          <w:lang w:val="en-GB" w:eastAsia="ja-JP"/>
        </w:rPr>
        <w:t>2. Breeding population size and trend by country/territory (page 46).</w:t>
      </w:r>
    </w:p>
    <w:p w14:paraId="42BE0DF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029BB42"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Table </w:t>
      </w:r>
      <w:r w:rsidRPr="00C96521">
        <w:rPr>
          <w:rFonts w:eastAsia="MS Mincho"/>
          <w:sz w:val="20"/>
          <w:szCs w:val="22"/>
          <w:lang w:val="en-GB" w:eastAsia="ja-JP"/>
        </w:rPr>
        <w:t>3. Migrating and non-breeding populations by country/territory (page 48).</w:t>
      </w:r>
    </w:p>
    <w:p w14:paraId="2C018B4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247D989" w14:textId="00CDC540" w:rsidR="00C96521" w:rsidRPr="00C96521" w:rsidRDefault="00C96521" w:rsidP="00C96521">
      <w:pPr>
        <w:widowControl/>
        <w:autoSpaceDE/>
        <w:autoSpaceDN/>
        <w:adjustRightInd/>
        <w:rPr>
          <w:rFonts w:eastAsia="MS Mincho" w:cs="Arial"/>
          <w:sz w:val="20"/>
          <w:szCs w:val="22"/>
          <w:lang w:val="en-GB" w:eastAsia="ja-JP"/>
        </w:rPr>
      </w:pPr>
      <w:r w:rsidRPr="00C96521">
        <w:rPr>
          <w:rFonts w:eastAsia="Calibri"/>
          <w:sz w:val="20"/>
          <w:szCs w:val="22"/>
          <w:lang w:val="en-GB" w:eastAsia="ja-JP"/>
        </w:rPr>
        <w:t xml:space="preserve">Table </w:t>
      </w:r>
      <w:r w:rsidRPr="00C96521">
        <w:rPr>
          <w:rFonts w:eastAsia="MS Mincho" w:cs="Arial"/>
          <w:sz w:val="20"/>
          <w:szCs w:val="20"/>
          <w:lang w:val="en-GB" w:eastAsia="ja-JP"/>
        </w:rPr>
        <w:t>4. Turtle</w:t>
      </w:r>
      <w:r w:rsidR="003574BE">
        <w:rPr>
          <w:rFonts w:eastAsia="MS Mincho" w:cs="Arial"/>
          <w:sz w:val="20"/>
          <w:szCs w:val="20"/>
          <w:lang w:val="en-GB" w:eastAsia="ja-JP"/>
        </w:rPr>
        <w:t xml:space="preserve"> D</w:t>
      </w:r>
      <w:r w:rsidRPr="00C96521">
        <w:rPr>
          <w:rFonts w:eastAsia="MS Mincho" w:cs="Arial"/>
          <w:sz w:val="20"/>
          <w:szCs w:val="20"/>
          <w:lang w:val="en-GB" w:eastAsia="ja-JP"/>
        </w:rPr>
        <w:t xml:space="preserve">ove bag numbers and protection/hunting details across </w:t>
      </w:r>
      <w:r w:rsidR="003574BE">
        <w:rPr>
          <w:rFonts w:eastAsia="MS Mincho" w:cs="Arial"/>
          <w:sz w:val="20"/>
          <w:szCs w:val="20"/>
          <w:lang w:val="en-GB" w:eastAsia="ja-JP"/>
        </w:rPr>
        <w:t>R</w:t>
      </w:r>
      <w:r w:rsidRPr="00C96521">
        <w:rPr>
          <w:rFonts w:eastAsia="MS Mincho" w:cs="Arial"/>
          <w:sz w:val="20"/>
          <w:szCs w:val="20"/>
          <w:lang w:val="en-GB" w:eastAsia="ja-JP"/>
        </w:rPr>
        <w:t xml:space="preserve">ange </w:t>
      </w:r>
      <w:r w:rsidR="003574BE">
        <w:rPr>
          <w:rFonts w:eastAsia="MS Mincho" w:cs="Arial"/>
          <w:sz w:val="20"/>
          <w:szCs w:val="20"/>
          <w:lang w:val="en-GB" w:eastAsia="ja-JP"/>
        </w:rPr>
        <w:t>S</w:t>
      </w:r>
      <w:r w:rsidRPr="00C96521">
        <w:rPr>
          <w:rFonts w:eastAsia="MS Mincho" w:cs="Arial"/>
          <w:sz w:val="20"/>
          <w:szCs w:val="20"/>
          <w:lang w:val="en-GB" w:eastAsia="ja-JP"/>
        </w:rPr>
        <w:t>tates within Europe, Central Asia and Africa (page 66).</w:t>
      </w:r>
    </w:p>
    <w:p w14:paraId="29713AF5" w14:textId="77777777" w:rsidR="00C96521" w:rsidRPr="00C96521" w:rsidRDefault="00C96521" w:rsidP="00C96521">
      <w:pPr>
        <w:widowControl/>
        <w:autoSpaceDE/>
        <w:autoSpaceDN/>
        <w:adjustRightInd/>
        <w:rPr>
          <w:rFonts w:eastAsia="MS Mincho" w:cs="Arial"/>
          <w:sz w:val="20"/>
          <w:szCs w:val="20"/>
          <w:lang w:val="en-GB" w:eastAsia="ja-JP"/>
        </w:rPr>
      </w:pPr>
    </w:p>
    <w:p w14:paraId="77EF88D7" w14:textId="4705DD7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Table </w:t>
      </w:r>
      <w:r w:rsidRPr="00C96521">
        <w:rPr>
          <w:rFonts w:eastAsia="MS Mincho"/>
          <w:sz w:val="20"/>
          <w:szCs w:val="22"/>
          <w:lang w:val="en-GB" w:eastAsia="ja-JP"/>
        </w:rPr>
        <w:t xml:space="preserve">5. Nesting habitat requirements of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oves and how these can be met by Countryside Stewardship Agri-environment Options (page 77).</w:t>
      </w:r>
    </w:p>
    <w:p w14:paraId="3B61970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9EB587C" w14:textId="32C4745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Table </w:t>
      </w:r>
      <w:r w:rsidRPr="00C96521">
        <w:rPr>
          <w:rFonts w:eastAsia="MS Mincho"/>
          <w:sz w:val="20"/>
          <w:szCs w:val="22"/>
          <w:lang w:val="en-GB" w:eastAsia="ja-JP"/>
        </w:rPr>
        <w:t xml:space="preserve">6. Summary of the foraging habitat requirements of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 xml:space="preserve">doves and how these can be met by Countryside Stewardship Agri-environment Options tailored for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doves (page 78).</w:t>
      </w:r>
    </w:p>
    <w:p w14:paraId="44AE535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EBFA5E3"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Table </w:t>
      </w:r>
      <w:r w:rsidRPr="00C96521">
        <w:rPr>
          <w:rFonts w:eastAsia="MS Mincho"/>
          <w:sz w:val="20"/>
          <w:szCs w:val="22"/>
          <w:lang w:val="en-GB" w:eastAsia="ja-JP"/>
        </w:rPr>
        <w:t>7. Base data for sustainable hunting model analyses (page 88).</w:t>
      </w:r>
    </w:p>
    <w:p w14:paraId="494BF6A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241D11E"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FIGURES</w:t>
      </w:r>
    </w:p>
    <w:p w14:paraId="32000FB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767B294" w14:textId="049B495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 Map of breeding and wintering </w:t>
      </w:r>
      <w:r w:rsidR="003574BE">
        <w:rPr>
          <w:rFonts w:eastAsia="MS Mincho"/>
          <w:sz w:val="20"/>
          <w:szCs w:val="22"/>
          <w:lang w:val="en-GB" w:eastAsia="ja-JP"/>
        </w:rPr>
        <w:t>R</w:t>
      </w:r>
      <w:r w:rsidRPr="00C96521">
        <w:rPr>
          <w:rFonts w:eastAsia="MS Mincho"/>
          <w:sz w:val="20"/>
          <w:szCs w:val="22"/>
          <w:lang w:val="en-GB" w:eastAsia="ja-JP"/>
        </w:rPr>
        <w:t xml:space="preserve">ange </w:t>
      </w:r>
      <w:r w:rsidR="003574BE">
        <w:rPr>
          <w:rFonts w:eastAsia="MS Mincho"/>
          <w:sz w:val="20"/>
          <w:szCs w:val="22"/>
          <w:lang w:val="en-GB" w:eastAsia="ja-JP"/>
        </w:rPr>
        <w:t>S</w:t>
      </w:r>
      <w:r w:rsidRPr="00C96521">
        <w:rPr>
          <w:rFonts w:eastAsia="MS Mincho"/>
          <w:sz w:val="20"/>
          <w:szCs w:val="22"/>
          <w:lang w:val="en-GB" w:eastAsia="ja-JP"/>
        </w:rPr>
        <w:t xml:space="preserve">tates for </w:t>
      </w:r>
      <w:r w:rsidRPr="00C96521">
        <w:rPr>
          <w:rFonts w:eastAsia="MS Mincho"/>
          <w:i/>
          <w:sz w:val="20"/>
          <w:szCs w:val="22"/>
          <w:lang w:val="en-GB" w:eastAsia="ja-JP"/>
        </w:rPr>
        <w:t>Streptopelia turtur</w:t>
      </w:r>
      <w:r w:rsidRPr="00C96521">
        <w:rPr>
          <w:rFonts w:eastAsia="MS Mincho"/>
          <w:sz w:val="20"/>
          <w:szCs w:val="22"/>
          <w:lang w:val="en-GB" w:eastAsia="ja-JP"/>
        </w:rPr>
        <w:t xml:space="preserve"> (page 8).</w:t>
      </w:r>
    </w:p>
    <w:p w14:paraId="703AB31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6F5D666"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Figure 2. National Implementation Score for each Member State, and the average score across all States (page 13).</w:t>
      </w:r>
    </w:p>
    <w:p w14:paraId="702EB48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AD0CF6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Figure 3. Average Implementation Score (AIS) for each action within the 2007 Management Plan, across all relevant Member States (page 13).</w:t>
      </w:r>
    </w:p>
    <w:p w14:paraId="47B2528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F15CFC7" w14:textId="7322B0A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4. Patterns of use of turtle-doves from five different countries: </w:t>
      </w:r>
      <w:r w:rsidR="003574BE">
        <w:rPr>
          <w:rFonts w:eastAsia="MS Mincho"/>
          <w:sz w:val="20"/>
          <w:szCs w:val="22"/>
          <w:lang w:val="en-GB" w:eastAsia="ja-JP"/>
        </w:rPr>
        <w:t xml:space="preserve">the </w:t>
      </w:r>
      <w:r w:rsidRPr="00C96521">
        <w:rPr>
          <w:rFonts w:eastAsia="MS Mincho"/>
          <w:sz w:val="20"/>
          <w:szCs w:val="22"/>
          <w:lang w:val="en-GB" w:eastAsia="ja-JP"/>
        </w:rPr>
        <w:t>Czech Republic, France, Germany, Hungary and the U</w:t>
      </w:r>
      <w:r w:rsidR="003574BE">
        <w:rPr>
          <w:rFonts w:eastAsia="MS Mincho"/>
          <w:sz w:val="20"/>
          <w:szCs w:val="22"/>
          <w:lang w:val="en-GB" w:eastAsia="ja-JP"/>
        </w:rPr>
        <w:t xml:space="preserve">nited </w:t>
      </w:r>
      <w:r w:rsidRPr="00C96521">
        <w:rPr>
          <w:rFonts w:eastAsia="MS Mincho"/>
          <w:sz w:val="20"/>
          <w:szCs w:val="22"/>
          <w:lang w:val="en-GB" w:eastAsia="ja-JP"/>
        </w:rPr>
        <w:t>K</w:t>
      </w:r>
      <w:r w:rsidR="003574BE">
        <w:rPr>
          <w:rFonts w:eastAsia="MS Mincho"/>
          <w:sz w:val="20"/>
          <w:szCs w:val="22"/>
          <w:lang w:val="en-GB" w:eastAsia="ja-JP"/>
        </w:rPr>
        <w:t>ingdom</w:t>
      </w:r>
      <w:r w:rsidRPr="00C96521">
        <w:rPr>
          <w:rFonts w:eastAsia="MS Mincho"/>
          <w:sz w:val="20"/>
          <w:szCs w:val="22"/>
          <w:lang w:val="en-GB" w:eastAsia="ja-JP"/>
        </w:rPr>
        <w:t xml:space="preserve"> (page 35).</w:t>
      </w:r>
    </w:p>
    <w:p w14:paraId="22D0D5F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0AE3CCD" w14:textId="2083A1E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5. Breeding season and pre-breeding migration of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oves in EU Member States (page 37).</w:t>
      </w:r>
    </w:p>
    <w:p w14:paraId="775F61E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13BEE8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Figure 6. Population trend index for countries in the western European population (page 49).</w:t>
      </w:r>
    </w:p>
    <w:p w14:paraId="133A849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6FD5CA3"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Figure 7. Population trend index for Estonia, Latvia, Lithuania and Poland (page 50).</w:t>
      </w:r>
    </w:p>
    <w:p w14:paraId="00D7B38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E0E30FB" w14:textId="1CE200BA"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8. Population trend index for Austria, </w:t>
      </w:r>
      <w:r w:rsidR="003574BE">
        <w:rPr>
          <w:rFonts w:eastAsia="MS Mincho"/>
          <w:sz w:val="20"/>
          <w:szCs w:val="22"/>
          <w:lang w:val="en-GB" w:eastAsia="ja-JP"/>
        </w:rPr>
        <w:t xml:space="preserve">the </w:t>
      </w:r>
      <w:r w:rsidRPr="00C96521">
        <w:rPr>
          <w:rFonts w:eastAsia="MS Mincho"/>
          <w:sz w:val="20"/>
          <w:szCs w:val="22"/>
          <w:lang w:val="en-GB" w:eastAsia="ja-JP"/>
        </w:rPr>
        <w:t>Czech Republic, Hungary, Italy, Slovakia, Slovenia and Switzerland (page 50).</w:t>
      </w:r>
    </w:p>
    <w:p w14:paraId="3179F43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E9A97B5" w14:textId="33C1F498"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Figure 9. Population trend index for Bulgaria, Cyprus, Greece, and Romania (page 51).</w:t>
      </w:r>
    </w:p>
    <w:p w14:paraId="7BBAB74B"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 </w:t>
      </w:r>
    </w:p>
    <w:p w14:paraId="4516AF75" w14:textId="366DBA3E"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10. Population trend index for the five largest populations of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dove contributing to the Pan-European Common Bird Monitoring Scheme (page 51).</w:t>
      </w:r>
    </w:p>
    <w:p w14:paraId="1255F50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6A68329" w14:textId="38DDFBE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lastRenderedPageBreak/>
        <w:t xml:space="preserve">Figure 11. Population trend index for the five populations of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dove showing the strongest declines based on the multiplicative trend index contributing to the Pan-European Common Bird Monitoring Scheme (page 52).</w:t>
      </w:r>
    </w:p>
    <w:p w14:paraId="3D027F6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3DE8583" w14:textId="21F6510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12. Population trend slope for </w:t>
      </w:r>
      <w:r w:rsidR="003574BE">
        <w:rPr>
          <w:rFonts w:eastAsia="MS Mincho"/>
          <w:sz w:val="20"/>
          <w:szCs w:val="22"/>
          <w:lang w:val="en-GB" w:eastAsia="ja-JP"/>
        </w:rPr>
        <w:t>T</w:t>
      </w:r>
      <w:r w:rsidRPr="00C96521">
        <w:rPr>
          <w:rFonts w:eastAsia="MS Mincho"/>
          <w:sz w:val="20"/>
          <w:szCs w:val="22"/>
          <w:lang w:val="en-GB" w:eastAsia="ja-JP"/>
        </w:rPr>
        <w:t>urtle</w:t>
      </w:r>
      <w:r w:rsidR="003574BE">
        <w:rPr>
          <w:rFonts w:eastAsia="MS Mincho"/>
          <w:sz w:val="20"/>
          <w:szCs w:val="22"/>
          <w:lang w:val="en-GB" w:eastAsia="ja-JP"/>
        </w:rPr>
        <w:t xml:space="preserve"> D</w:t>
      </w:r>
      <w:r w:rsidRPr="00C96521">
        <w:rPr>
          <w:rFonts w:eastAsia="MS Mincho"/>
          <w:sz w:val="20"/>
          <w:szCs w:val="22"/>
          <w:lang w:val="en-GB" w:eastAsia="ja-JP"/>
        </w:rPr>
        <w:t xml:space="preserve">ove in countries in the western population contributing to the Pan-European Common Bird Monitoring Scheme (page 52). </w:t>
      </w:r>
    </w:p>
    <w:p w14:paraId="2AB4A61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F53ABD8" w14:textId="022B53B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13. Population trend slope for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sz w:val="20"/>
          <w:szCs w:val="22"/>
          <w:lang w:val="en-GB" w:eastAsia="ja-JP"/>
        </w:rPr>
        <w:t>in countries in the central-eastern population contributing to the Pan-European Common Bird Monitoring Scheme (page 53).</w:t>
      </w:r>
    </w:p>
    <w:p w14:paraId="77F47D3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974C201" w14:textId="2617CE1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14. Population trend slope for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sz w:val="20"/>
          <w:szCs w:val="22"/>
          <w:lang w:val="en-GB" w:eastAsia="ja-JP"/>
        </w:rPr>
        <w:t>in all countries submitting national data to the Pan-European Common Bird Monitoring Scheme (page 54).</w:t>
      </w:r>
    </w:p>
    <w:p w14:paraId="0F43998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F657895" w14:textId="2887EB28"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15. Overlap of hunting season with breeding period for the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sz w:val="20"/>
          <w:szCs w:val="22"/>
          <w:lang w:val="en-GB" w:eastAsia="ja-JP"/>
        </w:rPr>
        <w:t>in EU Member States (page 71).</w:t>
      </w:r>
    </w:p>
    <w:p w14:paraId="62CFA9D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3B49D43" w14:textId="3DD0711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16. A typical hedgerow and patch of scrub used by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ove</w:t>
      </w:r>
      <w:r w:rsidR="003574BE">
        <w:rPr>
          <w:rFonts w:eastAsia="MS Mincho"/>
          <w:sz w:val="20"/>
          <w:szCs w:val="22"/>
          <w:lang w:val="en-GB" w:eastAsia="ja-JP"/>
        </w:rPr>
        <w:t>s</w:t>
      </w:r>
      <w:r w:rsidR="003574BE" w:rsidRPr="00C96521">
        <w:rPr>
          <w:rFonts w:eastAsia="MS Mincho"/>
          <w:sz w:val="20"/>
          <w:szCs w:val="22"/>
          <w:lang w:val="en-GB" w:eastAsia="ja-JP"/>
        </w:rPr>
        <w:t xml:space="preserve"> </w:t>
      </w:r>
      <w:r w:rsidRPr="00C96521">
        <w:rPr>
          <w:rFonts w:eastAsia="MS Mincho"/>
          <w:sz w:val="20"/>
          <w:szCs w:val="22"/>
          <w:lang w:val="en-GB" w:eastAsia="ja-JP"/>
        </w:rPr>
        <w:t>for song-posts and nesting (page 77).</w:t>
      </w:r>
    </w:p>
    <w:p w14:paraId="5301F79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D845D69" w14:textId="5E0D778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17. A well-managed AB1 Nectar Flower Mix with SP9 Threatened Species Supplement, delivering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sz w:val="20"/>
          <w:szCs w:val="22"/>
          <w:lang w:val="en-GB" w:eastAsia="ja-JP"/>
        </w:rPr>
        <w:t>foraging habitat, with open structure and large amounts of bare ground (page 79).</w:t>
      </w:r>
    </w:p>
    <w:p w14:paraId="2A003AC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5DC59AE" w14:textId="5D9CEFD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18. A well-managed uncropped AB11 plot delivering suitable foraging habitat for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ove</w:t>
      </w:r>
      <w:r w:rsidR="003574BE">
        <w:rPr>
          <w:rFonts w:eastAsia="MS Mincho"/>
          <w:sz w:val="20"/>
          <w:szCs w:val="22"/>
          <w:lang w:val="en-GB" w:eastAsia="ja-JP"/>
        </w:rPr>
        <w:t>s</w:t>
      </w:r>
      <w:r w:rsidR="003574BE" w:rsidRPr="00C96521">
        <w:rPr>
          <w:rFonts w:eastAsia="MS Mincho"/>
          <w:sz w:val="20"/>
          <w:szCs w:val="22"/>
          <w:lang w:val="en-GB" w:eastAsia="ja-JP"/>
        </w:rPr>
        <w:t xml:space="preserve"> </w:t>
      </w:r>
      <w:r w:rsidRPr="00C96521">
        <w:rPr>
          <w:rFonts w:eastAsia="MS Mincho"/>
          <w:sz w:val="20"/>
          <w:szCs w:val="22"/>
          <w:lang w:val="en-GB" w:eastAsia="ja-JP"/>
        </w:rPr>
        <w:t>(page 81).</w:t>
      </w:r>
    </w:p>
    <w:p w14:paraId="5169638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31CA496"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Figure 19. The three steps required to estimate the Potential maximum harvestable population fraction (P) (page 91). </w:t>
      </w:r>
    </w:p>
    <w:p w14:paraId="0CE2E736" w14:textId="77777777" w:rsidR="00C96521" w:rsidRPr="00C96521" w:rsidRDefault="00C96521" w:rsidP="00C96521">
      <w:pPr>
        <w:widowControl/>
        <w:autoSpaceDE/>
        <w:autoSpaceDN/>
        <w:adjustRightInd/>
        <w:spacing w:line="276" w:lineRule="auto"/>
        <w:rPr>
          <w:rFonts w:eastAsia="Calibri"/>
          <w:sz w:val="20"/>
          <w:szCs w:val="22"/>
          <w:lang w:val="en-GB" w:eastAsia="ja-JP"/>
        </w:rPr>
      </w:pPr>
    </w:p>
    <w:p w14:paraId="77CCB87D" w14:textId="77777777" w:rsidR="00C96521" w:rsidRPr="00C96521" w:rsidRDefault="00C96521" w:rsidP="00C96521">
      <w:pPr>
        <w:widowControl/>
        <w:autoSpaceDE/>
        <w:autoSpaceDN/>
        <w:adjustRightInd/>
        <w:spacing w:line="276" w:lineRule="auto"/>
        <w:rPr>
          <w:rFonts w:eastAsia="Calibri"/>
          <w:sz w:val="20"/>
          <w:szCs w:val="22"/>
          <w:lang w:val="en-GB" w:eastAsia="ja-JP"/>
        </w:rPr>
      </w:pPr>
      <w:r w:rsidRPr="00C96521">
        <w:rPr>
          <w:rFonts w:eastAsia="Calibri"/>
          <w:sz w:val="20"/>
          <w:szCs w:val="22"/>
          <w:lang w:val="en-GB" w:eastAsia="ja-JP"/>
        </w:rPr>
        <w:br w:type="page"/>
      </w:r>
    </w:p>
    <w:p w14:paraId="03CE8442"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1" w:name="_Toc478646889"/>
      <w:r w:rsidRPr="00C96521">
        <w:rPr>
          <w:rFonts w:eastAsia="MS Gothic"/>
          <w:b/>
          <w:bCs/>
          <w:color w:val="365F91"/>
          <w:sz w:val="32"/>
          <w:szCs w:val="28"/>
          <w:lang w:val="en-GB" w:eastAsia="ja-JP"/>
        </w:rPr>
        <w:lastRenderedPageBreak/>
        <w:t>1 - Basic Data</w:t>
      </w:r>
      <w:bookmarkEnd w:id="1"/>
    </w:p>
    <w:p w14:paraId="24B47A5F" w14:textId="2DE97F8A"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 w:name="_Toc478646890"/>
      <w:r w:rsidRPr="00C96521">
        <w:rPr>
          <w:rFonts w:ascii="Cambria" w:eastAsia="MS Gothic" w:hAnsi="Cambria"/>
          <w:b/>
          <w:bCs/>
          <w:color w:val="4F81BD"/>
          <w:sz w:val="26"/>
          <w:szCs w:val="26"/>
          <w:lang w:val="en-GB" w:eastAsia="ja-JP"/>
        </w:rPr>
        <w:t>Taxonomy and bio-geographic populations</w:t>
      </w:r>
      <w:bookmarkEnd w:id="2"/>
    </w:p>
    <w:p w14:paraId="3AC7504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B605FE2" w14:textId="691F70D7" w:rsidR="00C96521" w:rsidRDefault="00C96521" w:rsidP="00C96521">
      <w:pPr>
        <w:widowControl/>
        <w:autoSpaceDE/>
        <w:autoSpaceDN/>
        <w:adjustRightInd/>
        <w:spacing w:line="276" w:lineRule="auto"/>
        <w:rPr>
          <w:rFonts w:eastAsia="MS Mincho" w:cs="Calibri"/>
          <w:sz w:val="20"/>
          <w:szCs w:val="22"/>
          <w:lang w:val="en-GB" w:eastAsia="ja-JP"/>
        </w:rPr>
      </w:pPr>
      <w:r w:rsidRPr="00C96521">
        <w:rPr>
          <w:rFonts w:eastAsia="MS Mincho" w:cs="Calibri"/>
          <w:sz w:val="20"/>
          <w:szCs w:val="22"/>
          <w:lang w:val="en-GB" w:eastAsia="ja-JP"/>
        </w:rPr>
        <w:t xml:space="preserve">The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cs="Calibri"/>
          <w:sz w:val="20"/>
          <w:szCs w:val="22"/>
          <w:lang w:val="en-GB" w:eastAsia="ja-JP"/>
        </w:rPr>
        <w:t>(</w:t>
      </w:r>
      <w:r w:rsidRPr="00C96521">
        <w:rPr>
          <w:rFonts w:eastAsia="MS Mincho" w:cs="Calibri"/>
          <w:i/>
          <w:sz w:val="20"/>
          <w:szCs w:val="22"/>
          <w:lang w:val="en-GB" w:eastAsia="ja-JP"/>
        </w:rPr>
        <w:t>Streptopelia turtur</w:t>
      </w:r>
      <w:r w:rsidRPr="00C96521">
        <w:rPr>
          <w:rFonts w:eastAsia="MS Mincho" w:cs="Calibri"/>
          <w:sz w:val="20"/>
          <w:szCs w:val="22"/>
          <w:lang w:val="en-GB" w:eastAsia="ja-JP"/>
        </w:rPr>
        <w:t xml:space="preserve">) is the smallest representative of the dove family in Europe. Its breeding area stretches from Europe to Asia and North Africa. There are four subspecies: </w:t>
      </w:r>
      <w:r w:rsidRPr="00C96521">
        <w:rPr>
          <w:rFonts w:eastAsia="MS Mincho" w:cs="Calibri"/>
          <w:i/>
          <w:sz w:val="20"/>
          <w:szCs w:val="22"/>
          <w:lang w:val="en-GB" w:eastAsia="ja-JP"/>
        </w:rPr>
        <w:t>S. t. turtur</w:t>
      </w:r>
      <w:r w:rsidRPr="00C96521">
        <w:rPr>
          <w:rFonts w:eastAsia="MS Mincho" w:cs="Calibri"/>
          <w:sz w:val="20"/>
          <w:szCs w:val="22"/>
          <w:lang w:val="en-GB" w:eastAsia="ja-JP"/>
        </w:rPr>
        <w:t xml:space="preserve"> is distributed from the UK east to Poland and northern Russia and south to the northern Mediterranean coast as well as in the Canary Islands, Asia Minor and from Syria to Kazakhstan and western Siberia; </w:t>
      </w:r>
      <w:r w:rsidRPr="00C96521">
        <w:rPr>
          <w:rFonts w:eastAsia="MS Mincho" w:cs="Calibri"/>
          <w:i/>
          <w:sz w:val="20"/>
          <w:szCs w:val="22"/>
          <w:lang w:val="en-GB" w:eastAsia="ja-JP"/>
        </w:rPr>
        <w:t>S. t. arenicola</w:t>
      </w:r>
      <w:r w:rsidRPr="00C96521">
        <w:rPr>
          <w:rFonts w:eastAsia="MS Mincho" w:cs="Calibri"/>
          <w:sz w:val="20"/>
          <w:szCs w:val="22"/>
          <w:lang w:val="en-GB" w:eastAsia="ja-JP"/>
        </w:rPr>
        <w:t xml:space="preserve"> is distributed from Morocco east to Tripoli, and from Iraq and Iran east through Afghanistan, Turkestan and the Kyrgyz steppe to north-west China; </w:t>
      </w:r>
      <w:r w:rsidRPr="00C96521">
        <w:rPr>
          <w:rFonts w:eastAsia="MS Mincho" w:cs="Calibri"/>
          <w:i/>
          <w:sz w:val="20"/>
          <w:szCs w:val="22"/>
          <w:lang w:val="en-GB" w:eastAsia="ja-JP"/>
        </w:rPr>
        <w:t>S. t. hoggara</w:t>
      </w:r>
      <w:r w:rsidRPr="00C96521">
        <w:rPr>
          <w:rFonts w:eastAsia="MS Mincho" w:cs="Calibri"/>
          <w:sz w:val="20"/>
          <w:szCs w:val="22"/>
          <w:lang w:val="en-GB" w:eastAsia="ja-JP"/>
        </w:rPr>
        <w:t xml:space="preserve"> is found in Ahaggar, Aïr, Tibesti and the Ennedi Massifs in the southern Sahara; </w:t>
      </w:r>
      <w:r w:rsidRPr="00C96521">
        <w:rPr>
          <w:rFonts w:eastAsia="MS Mincho" w:cs="Calibri"/>
          <w:i/>
          <w:sz w:val="20"/>
          <w:szCs w:val="22"/>
          <w:lang w:val="en-GB" w:eastAsia="ja-JP"/>
        </w:rPr>
        <w:t>S. t. rufescens</w:t>
      </w:r>
      <w:r w:rsidRPr="00C96521">
        <w:rPr>
          <w:rFonts w:eastAsia="MS Mincho" w:cs="Calibri"/>
          <w:sz w:val="20"/>
          <w:szCs w:val="22"/>
          <w:lang w:val="en-GB" w:eastAsia="ja-JP"/>
        </w:rPr>
        <w:t xml:space="preserve"> is found in the Kufra Oasis in Libya, Dakhla and Kharga Oases in Egypt, as well as Faiyûm, and parts of the Nile Valley (Baptista </w:t>
      </w:r>
      <w:r w:rsidRPr="00C96521">
        <w:rPr>
          <w:rFonts w:eastAsia="MS Mincho" w:cs="Calibri"/>
          <w:i/>
          <w:sz w:val="20"/>
          <w:szCs w:val="22"/>
          <w:lang w:val="en-GB" w:eastAsia="ja-JP"/>
        </w:rPr>
        <w:t>et al</w:t>
      </w:r>
      <w:r w:rsidRPr="00C96521">
        <w:rPr>
          <w:rFonts w:eastAsia="MS Mincho" w:cs="Calibri"/>
          <w:sz w:val="20"/>
          <w:szCs w:val="22"/>
          <w:lang w:val="en-GB" w:eastAsia="ja-JP"/>
        </w:rPr>
        <w:t xml:space="preserve"> 2016). </w:t>
      </w:r>
    </w:p>
    <w:p w14:paraId="05212EBB" w14:textId="77777777" w:rsidR="003574BE" w:rsidRPr="00C96521" w:rsidRDefault="003574BE" w:rsidP="00C96521">
      <w:pPr>
        <w:widowControl/>
        <w:autoSpaceDE/>
        <w:autoSpaceDN/>
        <w:adjustRightInd/>
        <w:spacing w:line="276" w:lineRule="auto"/>
        <w:rPr>
          <w:rFonts w:eastAsia="MS Mincho" w:cs="Calibri"/>
          <w:sz w:val="20"/>
          <w:szCs w:val="22"/>
          <w:lang w:val="en-GB" w:eastAsia="ja-JP"/>
        </w:rPr>
      </w:pPr>
    </w:p>
    <w:p w14:paraId="0B4B26A3" w14:textId="77777777" w:rsidR="00C96521" w:rsidRPr="00C96521" w:rsidRDefault="00C96521" w:rsidP="00C96521">
      <w:pPr>
        <w:widowControl/>
        <w:autoSpaceDE/>
        <w:autoSpaceDN/>
        <w:adjustRightInd/>
        <w:spacing w:line="276" w:lineRule="auto"/>
        <w:rPr>
          <w:rFonts w:eastAsia="MS Mincho" w:cs="Calibri"/>
          <w:sz w:val="20"/>
          <w:szCs w:val="22"/>
          <w:lang w:val="en-GB" w:eastAsia="ja-JP"/>
        </w:rPr>
      </w:pPr>
      <w:r w:rsidRPr="00C96521">
        <w:rPr>
          <w:rFonts w:eastAsia="MS Mincho" w:cs="Calibri"/>
          <w:sz w:val="20"/>
          <w:szCs w:val="22"/>
          <w:lang w:val="en-GB" w:eastAsia="ja-JP"/>
        </w:rPr>
        <w:t>All four subspecies appear to co-occur on the wintering grounds.</w:t>
      </w:r>
    </w:p>
    <w:p w14:paraId="5D160445" w14:textId="77777777" w:rsidR="00C96521" w:rsidRPr="00C96521" w:rsidRDefault="00C96521" w:rsidP="00C96521">
      <w:pPr>
        <w:widowControl/>
        <w:autoSpaceDE/>
        <w:autoSpaceDN/>
        <w:adjustRightInd/>
        <w:spacing w:line="276" w:lineRule="auto"/>
        <w:rPr>
          <w:rFonts w:eastAsia="MS Mincho" w:cs="Calibri"/>
          <w:sz w:val="20"/>
          <w:szCs w:val="22"/>
          <w:lang w:val="en-GB" w:eastAsia="ja-JP"/>
        </w:rPr>
      </w:pPr>
    </w:p>
    <w:p w14:paraId="30AEA8BA" w14:textId="15E2977B" w:rsidR="00C96521" w:rsidRPr="00C96521" w:rsidRDefault="00C96521" w:rsidP="00C96521">
      <w:pPr>
        <w:widowControl/>
        <w:autoSpaceDE/>
        <w:autoSpaceDN/>
        <w:adjustRightInd/>
        <w:spacing w:line="276" w:lineRule="auto"/>
        <w:rPr>
          <w:rFonts w:eastAsia="MS Mincho" w:cs="Calibri"/>
          <w:sz w:val="20"/>
          <w:szCs w:val="22"/>
          <w:lang w:val="en-GB" w:eastAsia="ja-JP"/>
        </w:rPr>
      </w:pPr>
      <w:r w:rsidRPr="00C96521">
        <w:rPr>
          <w:rFonts w:eastAsia="MS Mincho" w:cs="Calibri"/>
          <w:sz w:val="20"/>
          <w:szCs w:val="22"/>
          <w:lang w:val="en-GB" w:eastAsia="ja-JP"/>
        </w:rPr>
        <w:t>The breeding area in Europe stretches from Portugal east to the Urals, and from the 35</w:t>
      </w:r>
      <w:r w:rsidRPr="00177BBB">
        <w:rPr>
          <w:rFonts w:eastAsia="MS Mincho" w:cs="Calibri"/>
          <w:sz w:val="20"/>
          <w:szCs w:val="22"/>
          <w:vertAlign w:val="superscript"/>
          <w:lang w:val="en-GB" w:eastAsia="ja-JP"/>
        </w:rPr>
        <w:t>th</w:t>
      </w:r>
      <w:r w:rsidR="003574BE">
        <w:rPr>
          <w:rFonts w:eastAsia="MS Mincho" w:cs="Calibri"/>
          <w:sz w:val="20"/>
          <w:szCs w:val="22"/>
          <w:lang w:val="en-GB" w:eastAsia="ja-JP"/>
        </w:rPr>
        <w:t xml:space="preserve"> </w:t>
      </w:r>
      <w:r w:rsidRPr="00C96521">
        <w:rPr>
          <w:rFonts w:eastAsia="MS Mincho" w:cs="Calibri"/>
          <w:sz w:val="20"/>
          <w:szCs w:val="22"/>
          <w:lang w:val="en-GB" w:eastAsia="ja-JP"/>
        </w:rPr>
        <w:t>parallel to the 65</w:t>
      </w:r>
      <w:r w:rsidRPr="00177BBB">
        <w:rPr>
          <w:rFonts w:eastAsia="MS Mincho" w:cs="Calibri"/>
          <w:sz w:val="20"/>
          <w:szCs w:val="22"/>
          <w:vertAlign w:val="superscript"/>
          <w:lang w:val="en-GB" w:eastAsia="ja-JP"/>
        </w:rPr>
        <w:t>th</w:t>
      </w:r>
      <w:r w:rsidRPr="00C96521">
        <w:rPr>
          <w:rFonts w:eastAsia="MS Mincho" w:cs="Calibri"/>
          <w:sz w:val="20"/>
          <w:szCs w:val="22"/>
          <w:lang w:val="en-GB" w:eastAsia="ja-JP"/>
        </w:rPr>
        <w:t xml:space="preserve"> parallel north (see Figure 1). Major breeding populations in Europe are found in the Mediterranean countries, and the European population is entirely migratory, wintering in Sahelian Africa from Senegal to Eritrea (Glutz von Blotzheim 1980, Geroudet 1983, Cramp 1985). Although the European population is still large, there is evidence that populations in most countries have been declining since the 1970s (BirdLife International 2004). The breeding range of the species has decreased in either the short</w:t>
      </w:r>
      <w:r w:rsidR="003574BE">
        <w:rPr>
          <w:rFonts w:eastAsia="MS Mincho" w:cs="Calibri"/>
          <w:sz w:val="20"/>
          <w:szCs w:val="22"/>
          <w:lang w:val="en-GB" w:eastAsia="ja-JP"/>
        </w:rPr>
        <w:t xml:space="preserve"> </w:t>
      </w:r>
      <w:r w:rsidRPr="00C96521">
        <w:rPr>
          <w:rFonts w:eastAsia="MS Mincho" w:cs="Calibri"/>
          <w:sz w:val="20"/>
          <w:szCs w:val="22"/>
          <w:lang w:val="en-GB" w:eastAsia="ja-JP"/>
        </w:rPr>
        <w:t>term, or the long</w:t>
      </w:r>
      <w:r w:rsidR="003574BE">
        <w:rPr>
          <w:rFonts w:eastAsia="MS Mincho" w:cs="Calibri"/>
          <w:sz w:val="20"/>
          <w:szCs w:val="22"/>
          <w:lang w:val="en-GB" w:eastAsia="ja-JP"/>
        </w:rPr>
        <w:t xml:space="preserve"> </w:t>
      </w:r>
      <w:r w:rsidRPr="00C96521">
        <w:rPr>
          <w:rFonts w:eastAsia="MS Mincho" w:cs="Calibri"/>
          <w:sz w:val="20"/>
          <w:szCs w:val="22"/>
          <w:lang w:val="en-GB" w:eastAsia="ja-JP"/>
        </w:rPr>
        <w:t>term in nine EU Member States (EIONET 2017), for example, in France the range of the species decreased by 20-30</w:t>
      </w:r>
      <w:r w:rsidR="003574BE">
        <w:rPr>
          <w:rFonts w:eastAsia="MS Mincho" w:cs="Calibri"/>
          <w:sz w:val="20"/>
          <w:szCs w:val="22"/>
          <w:lang w:val="en-GB" w:eastAsia="ja-JP"/>
        </w:rPr>
        <w:t xml:space="preserve"> per cent</w:t>
      </w:r>
      <w:r w:rsidRPr="00C96521">
        <w:rPr>
          <w:rFonts w:eastAsia="MS Mincho" w:cs="Calibri"/>
          <w:sz w:val="20"/>
          <w:szCs w:val="22"/>
          <w:lang w:val="en-GB" w:eastAsia="ja-JP"/>
        </w:rPr>
        <w:t xml:space="preserve"> between the 1985-1989 and 2009-2012 breeding atlases (Jacques Comolet-Tirman </w:t>
      </w:r>
      <w:r w:rsidRPr="00C96521">
        <w:rPr>
          <w:rFonts w:eastAsia="MS Mincho" w:cs="Calibri"/>
          <w:i/>
          <w:sz w:val="20"/>
          <w:szCs w:val="22"/>
          <w:lang w:val="en-GB" w:eastAsia="ja-JP"/>
        </w:rPr>
        <w:t>pers comm</w:t>
      </w:r>
      <w:r w:rsidRPr="00C96521">
        <w:rPr>
          <w:rFonts w:eastAsia="MS Mincho" w:cs="Calibri"/>
          <w:sz w:val="20"/>
          <w:szCs w:val="22"/>
          <w:lang w:val="en-GB" w:eastAsia="ja-JP"/>
        </w:rPr>
        <w:t xml:space="preserve">). Genomic analysis suggests that the species shows signs of a long-term demographic decline and that it is prone to undergoing demographic fluctuations (Calderón </w:t>
      </w:r>
      <w:r w:rsidRPr="00C96521">
        <w:rPr>
          <w:rFonts w:eastAsia="MS Mincho" w:cs="Calibri"/>
          <w:i/>
          <w:sz w:val="20"/>
          <w:szCs w:val="22"/>
          <w:lang w:val="en-GB" w:eastAsia="ja-JP"/>
        </w:rPr>
        <w:t>et al</w:t>
      </w:r>
      <w:r w:rsidRPr="00C96521">
        <w:rPr>
          <w:rFonts w:eastAsia="MS Mincho" w:cs="Calibri"/>
          <w:sz w:val="20"/>
          <w:szCs w:val="22"/>
          <w:lang w:val="en-GB" w:eastAsia="ja-JP"/>
        </w:rPr>
        <w:t xml:space="preserve"> 2016). The ratio of effective and census population size of the species is much lower than expected. The same analysis found no evidence that the species is genetically structured across flyways, at least within the European portion of its range, so most of the populations face similar threats and are equally relevant for conservation. </w:t>
      </w:r>
    </w:p>
    <w:p w14:paraId="378BC35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7D26775" w14:textId="73DEBEF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the EU, the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cs="Arial"/>
          <w:sz w:val="20"/>
          <w:szCs w:val="22"/>
          <w:lang w:val="en-GB" w:eastAsia="ja-JP"/>
        </w:rPr>
        <w:t xml:space="preserve">is currently found in all Member States (including all Mediterranean islands) with the exception of Ireland and Sweden, and is absent from the Alpine Arc (Parslow 1967, Sharrock 1976, Snow and Perrins 1998, BirdLife 2016). It only colonized Denmark in the late 1980s, and is almost exclusively confined to the south-western corner of Jutland (mainland Denmark) (Grell </w:t>
      </w:r>
      <w:r w:rsidRPr="00C96521">
        <w:rPr>
          <w:rFonts w:eastAsia="MS Mincho" w:cs="Arial"/>
          <w:i/>
          <w:iCs/>
          <w:sz w:val="20"/>
          <w:szCs w:val="22"/>
          <w:lang w:val="en-GB" w:eastAsia="ja-JP"/>
        </w:rPr>
        <w:t>et al</w:t>
      </w:r>
      <w:r w:rsidRPr="00C96521">
        <w:rPr>
          <w:rFonts w:eastAsia="MS Mincho" w:cs="Arial"/>
          <w:sz w:val="20"/>
          <w:szCs w:val="22"/>
          <w:lang w:val="en-GB" w:eastAsia="ja-JP"/>
        </w:rPr>
        <w:t xml:space="preserve"> 2004), with a few pockets of coloni</w:t>
      </w:r>
      <w:r w:rsidR="003574BE">
        <w:rPr>
          <w:rFonts w:eastAsia="MS Mincho" w:cs="Arial"/>
          <w:sz w:val="20"/>
          <w:szCs w:val="22"/>
          <w:lang w:val="en-GB" w:eastAsia="ja-JP"/>
        </w:rPr>
        <w:t>z</w:t>
      </w:r>
      <w:r w:rsidRPr="00C96521">
        <w:rPr>
          <w:rFonts w:eastAsia="MS Mincho" w:cs="Arial"/>
          <w:sz w:val="20"/>
          <w:szCs w:val="22"/>
          <w:lang w:val="en-GB" w:eastAsia="ja-JP"/>
        </w:rPr>
        <w:t>ation elsewhere. Its distribution is linked to an isotherm of a minimum of 16°C in July (19°C in Great Britain) (Glutz von Blotzheim 1980). In general, the species nests at a maximum altitude of 350 metres, but very occasionally on warmer slopes up to 1,000 metres (Glutz von Blotzheim 1980, Dias 2016).</w:t>
      </w:r>
    </w:p>
    <w:p w14:paraId="2DD7AE7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64D2FEC" w14:textId="77777777" w:rsidR="00C96521" w:rsidRPr="00C96521" w:rsidRDefault="00C96521" w:rsidP="00C96521">
      <w:pPr>
        <w:widowControl/>
        <w:autoSpaceDE/>
        <w:autoSpaceDN/>
        <w:adjustRightInd/>
        <w:spacing w:line="276" w:lineRule="auto"/>
        <w:rPr>
          <w:rFonts w:eastAsia="Calibri"/>
          <w:sz w:val="20"/>
          <w:szCs w:val="22"/>
          <w:lang w:val="en-GB" w:eastAsia="ja-JP"/>
        </w:rPr>
      </w:pPr>
      <w:r w:rsidRPr="00C96521">
        <w:rPr>
          <w:rFonts w:eastAsia="Calibri"/>
          <w:noProof/>
          <w:sz w:val="20"/>
          <w:szCs w:val="22"/>
        </w:rPr>
        <w:lastRenderedPageBreak/>
        <w:drawing>
          <wp:inline distT="0" distB="0" distL="0" distR="0" wp14:anchorId="517D26F9" wp14:editId="494CF84C">
            <wp:extent cx="5769499" cy="3428964"/>
            <wp:effectExtent l="19050" t="19050" r="21701" b="19086"/>
            <wp:docPr id="34" name="Picture 1" descr="TurtleDoveR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tleDoveRange.jpg"/>
                    <pic:cNvPicPr/>
                  </pic:nvPicPr>
                  <pic:blipFill>
                    <a:blip r:embed="rId29" cstate="print"/>
                    <a:stretch>
                      <a:fillRect/>
                    </a:stretch>
                  </pic:blipFill>
                  <pic:spPr>
                    <a:xfrm>
                      <a:off x="0" y="0"/>
                      <a:ext cx="5772169" cy="3430551"/>
                    </a:xfrm>
                    <a:prstGeom prst="rect">
                      <a:avLst/>
                    </a:prstGeom>
                    <a:ln w="3175" cap="sq">
                      <a:solidFill>
                        <a:srgbClr val="000000"/>
                      </a:solidFill>
                      <a:prstDash val="solid"/>
                      <a:miter lim="800000"/>
                    </a:ln>
                    <a:effectLst/>
                  </pic:spPr>
                </pic:pic>
              </a:graphicData>
            </a:graphic>
          </wp:inline>
        </w:drawing>
      </w:r>
    </w:p>
    <w:p w14:paraId="1A345404" w14:textId="77777777" w:rsidR="00C96521" w:rsidRPr="00C96521" w:rsidRDefault="00C96521" w:rsidP="00C96521">
      <w:pPr>
        <w:widowControl/>
        <w:autoSpaceDE/>
        <w:autoSpaceDN/>
        <w:adjustRightInd/>
        <w:spacing w:line="276" w:lineRule="auto"/>
        <w:rPr>
          <w:rFonts w:eastAsia="Calibri"/>
          <w:i/>
          <w:sz w:val="20"/>
          <w:szCs w:val="22"/>
          <w:lang w:val="en-GB" w:eastAsia="ja-JP"/>
        </w:rPr>
      </w:pPr>
    </w:p>
    <w:p w14:paraId="6487EAC7" w14:textId="77777777" w:rsidR="00C96521" w:rsidRPr="00C96521" w:rsidRDefault="00C96521" w:rsidP="00C96521">
      <w:pPr>
        <w:widowControl/>
        <w:autoSpaceDE/>
        <w:autoSpaceDN/>
        <w:adjustRightInd/>
        <w:spacing w:line="276" w:lineRule="auto"/>
        <w:rPr>
          <w:rFonts w:eastAsia="Calibri"/>
          <w:i/>
          <w:sz w:val="20"/>
          <w:szCs w:val="22"/>
          <w:lang w:val="en-GB" w:eastAsia="ja-JP"/>
        </w:rPr>
      </w:pPr>
      <w:r w:rsidRPr="00C96521">
        <w:rPr>
          <w:rFonts w:eastAsia="Calibri"/>
          <w:i/>
          <w:sz w:val="20"/>
          <w:szCs w:val="22"/>
          <w:lang w:val="en-GB" w:eastAsia="ja-JP"/>
        </w:rPr>
        <w:t xml:space="preserve">Figure 1. Map of breeding and wintering range states for </w:t>
      </w:r>
      <w:r w:rsidRPr="00C96521">
        <w:rPr>
          <w:rFonts w:eastAsia="Calibri"/>
          <w:sz w:val="20"/>
          <w:szCs w:val="22"/>
          <w:lang w:val="en-GB" w:eastAsia="ja-JP"/>
        </w:rPr>
        <w:t>Streptopelia turtur</w:t>
      </w:r>
      <w:r w:rsidRPr="00C96521">
        <w:rPr>
          <w:rFonts w:eastAsia="Calibri"/>
          <w:i/>
          <w:sz w:val="20"/>
          <w:szCs w:val="22"/>
          <w:lang w:val="en-GB" w:eastAsia="ja-JP"/>
        </w:rPr>
        <w:t xml:space="preserve"> (all subspecies) (breeding in red, wintering in green) (BirdLife International 2016).</w:t>
      </w:r>
    </w:p>
    <w:p w14:paraId="4D46BF84" w14:textId="77777777" w:rsidR="00C96521" w:rsidRPr="00C96521" w:rsidRDefault="00C96521" w:rsidP="00C96521">
      <w:pPr>
        <w:widowControl/>
        <w:autoSpaceDE/>
        <w:autoSpaceDN/>
        <w:adjustRightInd/>
        <w:spacing w:line="276" w:lineRule="auto"/>
        <w:rPr>
          <w:rFonts w:eastAsia="Calibri"/>
          <w:i/>
          <w:sz w:val="20"/>
          <w:szCs w:val="22"/>
          <w:lang w:val="en-GB" w:eastAsia="ja-JP"/>
        </w:rPr>
      </w:pPr>
    </w:p>
    <w:p w14:paraId="2E2E0205" w14:textId="77777777" w:rsidR="00C96521" w:rsidRPr="00C96521" w:rsidRDefault="00C96521" w:rsidP="00C96521">
      <w:pPr>
        <w:widowControl/>
        <w:autoSpaceDE/>
        <w:autoSpaceDN/>
        <w:adjustRightInd/>
        <w:spacing w:line="276" w:lineRule="auto"/>
        <w:rPr>
          <w:rFonts w:eastAsia="Calibri"/>
          <w:i/>
          <w:sz w:val="20"/>
          <w:szCs w:val="22"/>
          <w:lang w:val="en-GB" w:eastAsia="ja-JP"/>
        </w:rPr>
      </w:pPr>
    </w:p>
    <w:p w14:paraId="36105634" w14:textId="77777777" w:rsidR="00C96521" w:rsidRPr="00C96521" w:rsidRDefault="00C96521" w:rsidP="00C96521">
      <w:pPr>
        <w:widowControl/>
        <w:autoSpaceDE/>
        <w:autoSpaceDN/>
        <w:adjustRightInd/>
        <w:spacing w:line="276" w:lineRule="auto"/>
        <w:rPr>
          <w:rFonts w:eastAsia="Calibri"/>
          <w:b/>
          <w:i/>
          <w:sz w:val="20"/>
          <w:szCs w:val="22"/>
          <w:lang w:val="en-GB" w:eastAsia="ja-JP"/>
        </w:rPr>
      </w:pPr>
      <w:r w:rsidRPr="00C96521">
        <w:rPr>
          <w:rFonts w:eastAsia="Calibri"/>
          <w:i/>
          <w:sz w:val="20"/>
          <w:szCs w:val="22"/>
          <w:lang w:val="en-GB" w:eastAsia="ja-JP"/>
        </w:rPr>
        <w:t>Table 1. Range States for the European turtle-dove covered by the Action Plan</w:t>
      </w:r>
    </w:p>
    <w:p w14:paraId="2BC7E14F" w14:textId="77777777" w:rsidR="00C96521" w:rsidRPr="00C96521" w:rsidRDefault="00C96521" w:rsidP="00C96521">
      <w:pPr>
        <w:widowControl/>
        <w:autoSpaceDE/>
        <w:autoSpaceDN/>
        <w:adjustRightInd/>
        <w:spacing w:line="276" w:lineRule="auto"/>
        <w:rPr>
          <w:rFonts w:eastAsia="Calibri"/>
          <w:i/>
          <w:sz w:val="20"/>
          <w:szCs w:val="22"/>
          <w:lang w:val="en-GB" w:eastAsia="ja-JP"/>
        </w:rPr>
      </w:pPr>
    </w:p>
    <w:tbl>
      <w:tblPr>
        <w:tblStyle w:val="TableGrid"/>
        <w:tblW w:w="0" w:type="auto"/>
        <w:tblBorders>
          <w:insideV w:val="none" w:sz="0" w:space="0" w:color="auto"/>
        </w:tblBorders>
        <w:tblLook w:val="04A0" w:firstRow="1" w:lastRow="0" w:firstColumn="1" w:lastColumn="0" w:noHBand="0" w:noVBand="1"/>
      </w:tblPr>
      <w:tblGrid>
        <w:gridCol w:w="3098"/>
        <w:gridCol w:w="3102"/>
        <w:gridCol w:w="3110"/>
      </w:tblGrid>
      <w:tr w:rsidR="00C96521" w:rsidRPr="0053142C" w14:paraId="072CD994" w14:textId="77777777" w:rsidTr="00C96521">
        <w:tc>
          <w:tcPr>
            <w:tcW w:w="3178" w:type="dxa"/>
          </w:tcPr>
          <w:p w14:paraId="2E1B5410" w14:textId="77777777" w:rsidR="00C96521" w:rsidRPr="0053142C" w:rsidRDefault="00C96521" w:rsidP="00C96521">
            <w:pPr>
              <w:widowControl/>
              <w:autoSpaceDE/>
              <w:autoSpaceDN/>
              <w:adjustRightInd/>
              <w:rPr>
                <w:rFonts w:ascii="Arial" w:eastAsia="Calibri" w:hAnsi="Arial" w:cs="Arial"/>
                <w:i/>
                <w:sz w:val="20"/>
                <w:szCs w:val="20"/>
                <w:lang w:val="en-GB"/>
              </w:rPr>
            </w:pPr>
            <w:r w:rsidRPr="0053142C">
              <w:rPr>
                <w:rFonts w:ascii="Arial" w:eastAsia="Calibri" w:hAnsi="Arial" w:cs="Arial"/>
                <w:i/>
                <w:sz w:val="20"/>
                <w:szCs w:val="20"/>
                <w:lang w:val="en-GB"/>
              </w:rPr>
              <w:t>Breeding</w:t>
            </w:r>
          </w:p>
        </w:tc>
        <w:tc>
          <w:tcPr>
            <w:tcW w:w="3179" w:type="dxa"/>
            <w:tcBorders>
              <w:bottom w:val="single" w:sz="4" w:space="0" w:color="auto"/>
            </w:tcBorders>
          </w:tcPr>
          <w:p w14:paraId="6974C4C6" w14:textId="77777777" w:rsidR="00C96521" w:rsidRPr="0053142C" w:rsidRDefault="00C96521" w:rsidP="00C96521">
            <w:pPr>
              <w:widowControl/>
              <w:autoSpaceDE/>
              <w:autoSpaceDN/>
              <w:adjustRightInd/>
              <w:rPr>
                <w:rFonts w:ascii="Arial" w:eastAsia="Calibri" w:hAnsi="Arial" w:cs="Arial"/>
                <w:i/>
                <w:sz w:val="20"/>
                <w:szCs w:val="20"/>
                <w:lang w:val="en-GB"/>
              </w:rPr>
            </w:pPr>
            <w:r w:rsidRPr="0053142C">
              <w:rPr>
                <w:rFonts w:ascii="Arial" w:eastAsia="Calibri" w:hAnsi="Arial" w:cs="Arial"/>
                <w:i/>
                <w:sz w:val="20"/>
                <w:szCs w:val="20"/>
                <w:lang w:val="en-GB"/>
              </w:rPr>
              <w:t>Migrating</w:t>
            </w:r>
          </w:p>
          <w:p w14:paraId="3FADCD66" w14:textId="77777777" w:rsidR="00C96521" w:rsidRPr="0053142C" w:rsidRDefault="00C96521" w:rsidP="00C96521">
            <w:pPr>
              <w:widowControl/>
              <w:autoSpaceDE/>
              <w:autoSpaceDN/>
              <w:adjustRightInd/>
              <w:rPr>
                <w:rFonts w:ascii="Arial" w:eastAsia="Calibri" w:hAnsi="Arial" w:cs="Arial"/>
                <w:sz w:val="20"/>
                <w:szCs w:val="20"/>
                <w:lang w:val="en-GB"/>
              </w:rPr>
            </w:pPr>
          </w:p>
          <w:p w14:paraId="09ADAA5C"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Autumn: August – November Spring: March – June</w:t>
            </w:r>
          </w:p>
        </w:tc>
        <w:tc>
          <w:tcPr>
            <w:tcW w:w="3179" w:type="dxa"/>
            <w:tcBorders>
              <w:bottom w:val="single" w:sz="4" w:space="0" w:color="auto"/>
            </w:tcBorders>
          </w:tcPr>
          <w:p w14:paraId="666D38E7" w14:textId="77777777" w:rsidR="00C96521" w:rsidRPr="0053142C" w:rsidRDefault="00C96521" w:rsidP="00C96521">
            <w:pPr>
              <w:widowControl/>
              <w:autoSpaceDE/>
              <w:autoSpaceDN/>
              <w:adjustRightInd/>
              <w:rPr>
                <w:rFonts w:ascii="Arial" w:eastAsia="Calibri" w:hAnsi="Arial" w:cs="Arial"/>
                <w:i/>
                <w:sz w:val="20"/>
                <w:szCs w:val="20"/>
                <w:lang w:val="en-GB"/>
              </w:rPr>
            </w:pPr>
            <w:r w:rsidRPr="0053142C">
              <w:rPr>
                <w:rFonts w:ascii="Arial" w:eastAsia="Calibri" w:hAnsi="Arial" w:cs="Arial"/>
                <w:i/>
                <w:sz w:val="20"/>
                <w:szCs w:val="20"/>
                <w:lang w:val="en-GB"/>
              </w:rPr>
              <w:t>Wintering</w:t>
            </w:r>
          </w:p>
        </w:tc>
      </w:tr>
      <w:tr w:rsidR="00C96521" w:rsidRPr="0053142C" w14:paraId="73E02401" w14:textId="77777777" w:rsidTr="00C96521">
        <w:trPr>
          <w:trHeight w:val="979"/>
        </w:trPr>
        <w:tc>
          <w:tcPr>
            <w:tcW w:w="3178" w:type="dxa"/>
            <w:tcBorders>
              <w:right w:val="single" w:sz="4" w:space="0" w:color="auto"/>
            </w:tcBorders>
          </w:tcPr>
          <w:p w14:paraId="5EA3A635"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EUROPEAN UNION</w:t>
            </w:r>
          </w:p>
          <w:p w14:paraId="472C15DF"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Austria</w:t>
            </w:r>
          </w:p>
          <w:p w14:paraId="014FE4F5"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Belgium</w:t>
            </w:r>
          </w:p>
          <w:p w14:paraId="710F2F6B"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Bulgaria</w:t>
            </w:r>
          </w:p>
          <w:p w14:paraId="6E9B0059"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Croatia</w:t>
            </w:r>
          </w:p>
          <w:p w14:paraId="4B69520A"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Cyprus</w:t>
            </w:r>
          </w:p>
          <w:p w14:paraId="227D1F47"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Czech Republic</w:t>
            </w:r>
          </w:p>
          <w:p w14:paraId="3525B1DF"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Denmark</w:t>
            </w:r>
          </w:p>
          <w:p w14:paraId="02259201"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Estonia</w:t>
            </w:r>
          </w:p>
          <w:p w14:paraId="765EE99B"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Finland</w:t>
            </w:r>
          </w:p>
          <w:p w14:paraId="3234D6D3"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France</w:t>
            </w:r>
          </w:p>
          <w:p w14:paraId="30221C45"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Germany</w:t>
            </w:r>
          </w:p>
          <w:p w14:paraId="27A33EB6"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Greece</w:t>
            </w:r>
          </w:p>
          <w:p w14:paraId="3CA99612"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Hungary</w:t>
            </w:r>
          </w:p>
          <w:p w14:paraId="50EF1518"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Italy</w:t>
            </w:r>
          </w:p>
          <w:p w14:paraId="7F090A6A"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Latvia</w:t>
            </w:r>
          </w:p>
          <w:p w14:paraId="18E17667"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Lithuania</w:t>
            </w:r>
          </w:p>
          <w:p w14:paraId="1C88047E"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Luxembourg</w:t>
            </w:r>
          </w:p>
          <w:p w14:paraId="29211CA8"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Malta</w:t>
            </w:r>
            <w:r w:rsidRPr="0053142C">
              <w:rPr>
                <w:rFonts w:ascii="Arial" w:eastAsia="Calibri" w:hAnsi="Arial" w:cs="Arial"/>
                <w:sz w:val="20"/>
                <w:szCs w:val="20"/>
                <w:vertAlign w:val="superscript"/>
                <w:lang w:val="en-GB"/>
              </w:rPr>
              <w:footnoteReference w:id="1"/>
            </w:r>
          </w:p>
          <w:p w14:paraId="76552C6C"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Netherlands</w:t>
            </w:r>
          </w:p>
          <w:p w14:paraId="3C9631CE"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Poland</w:t>
            </w:r>
          </w:p>
          <w:p w14:paraId="69018E5D"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Portugal</w:t>
            </w:r>
          </w:p>
          <w:p w14:paraId="7BBF8084"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Romania</w:t>
            </w:r>
          </w:p>
          <w:p w14:paraId="7CB23605"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Slovakia</w:t>
            </w:r>
          </w:p>
          <w:p w14:paraId="5BCF5793"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lastRenderedPageBreak/>
              <w:t>Slovenia</w:t>
            </w:r>
          </w:p>
          <w:p w14:paraId="3C5F82B0"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Spain (and all Islands)</w:t>
            </w:r>
          </w:p>
          <w:p w14:paraId="37255D13"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United Kingdom (England, Channel Islands, Gibraltar)</w:t>
            </w:r>
          </w:p>
        </w:tc>
        <w:tc>
          <w:tcPr>
            <w:tcW w:w="3179" w:type="dxa"/>
            <w:tcBorders>
              <w:left w:val="single" w:sz="4" w:space="0" w:color="auto"/>
              <w:right w:val="single" w:sz="4" w:space="0" w:color="auto"/>
            </w:tcBorders>
          </w:tcPr>
          <w:p w14:paraId="2F707227" w14:textId="77777777" w:rsidR="00C96521" w:rsidRPr="0053142C" w:rsidRDefault="00C96521" w:rsidP="00C96521">
            <w:pPr>
              <w:widowControl/>
              <w:autoSpaceDE/>
              <w:autoSpaceDN/>
              <w:adjustRightInd/>
              <w:rPr>
                <w:rFonts w:ascii="Arial" w:eastAsia="Calibri" w:hAnsi="Arial" w:cs="Arial"/>
                <w:sz w:val="20"/>
                <w:szCs w:val="20"/>
                <w:lang w:val="en-GB"/>
              </w:rPr>
            </w:pPr>
          </w:p>
          <w:p w14:paraId="07D80A41"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The following EU countries have areas of particular importance for staging turtle-dove during</w:t>
            </w:r>
          </w:p>
          <w:p w14:paraId="060E090D"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migration :</w:t>
            </w:r>
          </w:p>
          <w:p w14:paraId="637DFC5B" w14:textId="77777777" w:rsidR="00C96521" w:rsidRPr="0053142C" w:rsidRDefault="00C96521" w:rsidP="00C96521">
            <w:pPr>
              <w:widowControl/>
              <w:autoSpaceDE/>
              <w:autoSpaceDN/>
              <w:adjustRightInd/>
              <w:rPr>
                <w:rFonts w:ascii="Arial" w:eastAsia="Calibri" w:hAnsi="Arial" w:cs="Arial"/>
                <w:sz w:val="20"/>
                <w:szCs w:val="20"/>
                <w:lang w:val="en-GB"/>
              </w:rPr>
            </w:pPr>
          </w:p>
          <w:p w14:paraId="73471795"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Cyprus</w:t>
            </w:r>
          </w:p>
          <w:p w14:paraId="096097E2"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France</w:t>
            </w:r>
          </w:p>
          <w:p w14:paraId="59AF6A2E"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Greece</w:t>
            </w:r>
          </w:p>
          <w:p w14:paraId="39893F94"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Italy</w:t>
            </w:r>
          </w:p>
          <w:p w14:paraId="6158D493"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 xml:space="preserve">Malta </w:t>
            </w:r>
          </w:p>
          <w:p w14:paraId="27DFF401"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Portugal</w:t>
            </w:r>
          </w:p>
          <w:p w14:paraId="55A093B8" w14:textId="77777777" w:rsidR="00C96521" w:rsidRPr="0053142C" w:rsidRDefault="00C96521" w:rsidP="00C96521">
            <w:pPr>
              <w:widowControl/>
              <w:numPr>
                <w:ilvl w:val="0"/>
                <w:numId w:val="18"/>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Spain</w:t>
            </w:r>
          </w:p>
        </w:tc>
        <w:tc>
          <w:tcPr>
            <w:tcW w:w="3179" w:type="dxa"/>
            <w:tcBorders>
              <w:left w:val="single" w:sz="4" w:space="0" w:color="auto"/>
              <w:bottom w:val="single" w:sz="4" w:space="0" w:color="auto"/>
            </w:tcBorders>
          </w:tcPr>
          <w:p w14:paraId="0C4FCD05" w14:textId="77777777" w:rsidR="00C96521" w:rsidRPr="0053142C" w:rsidRDefault="00C96521" w:rsidP="00C96521">
            <w:pPr>
              <w:widowControl/>
              <w:autoSpaceDE/>
              <w:autoSpaceDN/>
              <w:adjustRightInd/>
              <w:rPr>
                <w:rFonts w:ascii="Arial" w:eastAsia="Calibri" w:hAnsi="Arial" w:cs="Arial"/>
                <w:sz w:val="20"/>
                <w:szCs w:val="20"/>
                <w:lang w:val="en-GB"/>
              </w:rPr>
            </w:pPr>
          </w:p>
          <w:p w14:paraId="6C78DDC1"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None in Europe</w:t>
            </w:r>
          </w:p>
        </w:tc>
      </w:tr>
      <w:tr w:rsidR="00C96521" w:rsidRPr="0053142C" w14:paraId="798134CA" w14:textId="77777777" w:rsidTr="00C96521">
        <w:tc>
          <w:tcPr>
            <w:tcW w:w="3178" w:type="dxa"/>
          </w:tcPr>
          <w:p w14:paraId="78D233F8"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 xml:space="preserve">OTHER - </w:t>
            </w:r>
            <w:r w:rsidRPr="0053142C">
              <w:rPr>
                <w:rFonts w:ascii="Arial" w:eastAsia="Calibri" w:hAnsi="Arial" w:cs="Arial"/>
                <w:i/>
                <w:sz w:val="20"/>
                <w:szCs w:val="20"/>
                <w:lang w:val="en-GB"/>
              </w:rPr>
              <w:t>breeding</w:t>
            </w:r>
          </w:p>
          <w:p w14:paraId="3320A9CE"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Algeria</w:t>
            </w:r>
          </w:p>
          <w:p w14:paraId="071F0F4B"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Albania</w:t>
            </w:r>
          </w:p>
          <w:p w14:paraId="4D9A6059"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Andorra</w:t>
            </w:r>
          </w:p>
          <w:p w14:paraId="366F27B3"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Armenia</w:t>
            </w:r>
          </w:p>
          <w:p w14:paraId="6152D10C"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Azerbaijan</w:t>
            </w:r>
          </w:p>
          <w:p w14:paraId="412A9D17"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Belarus</w:t>
            </w:r>
          </w:p>
          <w:p w14:paraId="1AD94C21"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Bosnia and Herzegovina</w:t>
            </w:r>
          </w:p>
          <w:p w14:paraId="1D4A607D"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Egypt</w:t>
            </w:r>
          </w:p>
          <w:p w14:paraId="49644E5C"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Georgia</w:t>
            </w:r>
          </w:p>
          <w:p w14:paraId="281F0D0B"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Israel</w:t>
            </w:r>
          </w:p>
          <w:p w14:paraId="4A442EDF"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Jordan</w:t>
            </w:r>
          </w:p>
          <w:p w14:paraId="34C6EC9E" w14:textId="5EE7EF2D"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Kosovo</w:t>
            </w:r>
            <w:r w:rsidR="00177BBB">
              <w:rPr>
                <w:rFonts w:ascii="Arial" w:eastAsia="Calibri" w:hAnsi="Arial" w:cs="Arial"/>
                <w:sz w:val="20"/>
                <w:szCs w:val="20"/>
                <w:lang w:val="en-GB"/>
              </w:rPr>
              <w:t xml:space="preserve"> (UN Res 1244)</w:t>
            </w:r>
          </w:p>
          <w:p w14:paraId="4E702770"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Lebanon</w:t>
            </w:r>
          </w:p>
          <w:p w14:paraId="3FA5DCD0"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Libya</w:t>
            </w:r>
          </w:p>
          <w:p w14:paraId="5914EB55" w14:textId="77777777" w:rsidR="00C96521" w:rsidRPr="0053142C" w:rsidRDefault="00C96521" w:rsidP="00C96521">
            <w:pPr>
              <w:widowControl/>
              <w:autoSpaceDE/>
              <w:autoSpaceDN/>
              <w:adjustRightInd/>
              <w:rPr>
                <w:rFonts w:ascii="Arial" w:eastAsia="Calibri" w:hAnsi="Arial" w:cs="Arial"/>
                <w:sz w:val="20"/>
                <w:szCs w:val="20"/>
                <w:lang w:val="en-GB"/>
              </w:rPr>
            </w:pPr>
          </w:p>
          <w:p w14:paraId="1294F891" w14:textId="77777777" w:rsidR="00C96521" w:rsidRPr="0053142C" w:rsidRDefault="00C96521" w:rsidP="00C96521">
            <w:pPr>
              <w:widowControl/>
              <w:autoSpaceDE/>
              <w:autoSpaceDN/>
              <w:adjustRightInd/>
              <w:rPr>
                <w:rFonts w:ascii="Arial" w:eastAsia="Calibri" w:hAnsi="Arial" w:cs="Arial"/>
                <w:sz w:val="20"/>
                <w:szCs w:val="20"/>
                <w:lang w:val="en-GB"/>
              </w:rPr>
            </w:pPr>
            <w:r w:rsidRPr="0053142C">
              <w:rPr>
                <w:rFonts w:ascii="Arial" w:eastAsia="Calibri" w:hAnsi="Arial" w:cs="Arial"/>
                <w:sz w:val="20"/>
                <w:szCs w:val="20"/>
                <w:lang w:val="en-GB"/>
              </w:rPr>
              <w:t>Vagrant birds appear in other European countries that are not listed, and non-breeding birds are recorded during the summer in Ireland and Sweden.</w:t>
            </w:r>
          </w:p>
        </w:tc>
        <w:tc>
          <w:tcPr>
            <w:tcW w:w="3179" w:type="dxa"/>
            <w:tcBorders>
              <w:right w:val="single" w:sz="4" w:space="0" w:color="auto"/>
            </w:tcBorders>
          </w:tcPr>
          <w:p w14:paraId="7810A099" w14:textId="77777777" w:rsidR="00C96521" w:rsidRPr="0053142C" w:rsidRDefault="00C96521" w:rsidP="00C96521">
            <w:pPr>
              <w:widowControl/>
              <w:autoSpaceDE/>
              <w:autoSpaceDN/>
              <w:adjustRightInd/>
              <w:rPr>
                <w:rFonts w:ascii="Arial" w:eastAsia="Calibri" w:hAnsi="Arial" w:cs="Arial"/>
                <w:sz w:val="20"/>
                <w:szCs w:val="20"/>
                <w:lang w:val="en-GB"/>
              </w:rPr>
            </w:pPr>
          </w:p>
          <w:p w14:paraId="30EE0A30"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Liechtenstein</w:t>
            </w:r>
          </w:p>
          <w:p w14:paraId="3709AFFA"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Macedonia, FYR</w:t>
            </w:r>
          </w:p>
          <w:p w14:paraId="09B0C9D0"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Mauritania</w:t>
            </w:r>
          </w:p>
          <w:p w14:paraId="5E3AE8AF"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Moldova</w:t>
            </w:r>
          </w:p>
          <w:p w14:paraId="14FD5D4A"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Montenegro</w:t>
            </w:r>
          </w:p>
          <w:p w14:paraId="56F09FF2"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Morocco</w:t>
            </w:r>
          </w:p>
          <w:p w14:paraId="6834EC5D"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Palestinian Territory</w:t>
            </w:r>
          </w:p>
          <w:p w14:paraId="515CA9BD"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Russian Federation (European)</w:t>
            </w:r>
          </w:p>
          <w:p w14:paraId="6AE89E76"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Serbia</w:t>
            </w:r>
          </w:p>
          <w:p w14:paraId="7913F6CC"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Switzerland</w:t>
            </w:r>
          </w:p>
          <w:p w14:paraId="0DEFD989" w14:textId="1BE2DD28"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Syria</w:t>
            </w:r>
            <w:r w:rsidR="003574BE">
              <w:rPr>
                <w:rFonts w:ascii="Arial" w:eastAsia="Calibri" w:hAnsi="Arial" w:cs="Arial"/>
                <w:sz w:val="20"/>
                <w:szCs w:val="20"/>
                <w:lang w:val="en-GB"/>
              </w:rPr>
              <w:t>n Arab Republic</w:t>
            </w:r>
          </w:p>
          <w:p w14:paraId="45792620"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Tunisia</w:t>
            </w:r>
          </w:p>
          <w:p w14:paraId="53B86CCB"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Turkey</w:t>
            </w:r>
          </w:p>
          <w:p w14:paraId="65329969" w14:textId="77777777" w:rsidR="00C96521" w:rsidRPr="0053142C" w:rsidRDefault="00C96521" w:rsidP="00C96521">
            <w:pPr>
              <w:widowControl/>
              <w:numPr>
                <w:ilvl w:val="0"/>
                <w:numId w:val="26"/>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Ukraine</w:t>
            </w:r>
          </w:p>
        </w:tc>
        <w:tc>
          <w:tcPr>
            <w:tcW w:w="3179" w:type="dxa"/>
            <w:tcBorders>
              <w:left w:val="single" w:sz="4" w:space="0" w:color="auto"/>
            </w:tcBorders>
          </w:tcPr>
          <w:p w14:paraId="61344009" w14:textId="77777777" w:rsidR="00C96521" w:rsidRPr="0053142C" w:rsidRDefault="00C96521" w:rsidP="00C96521">
            <w:pPr>
              <w:widowControl/>
              <w:autoSpaceDE/>
              <w:autoSpaceDN/>
              <w:adjustRightInd/>
              <w:rPr>
                <w:rFonts w:ascii="Arial" w:eastAsia="Calibri" w:hAnsi="Arial" w:cs="Arial"/>
                <w:i/>
                <w:sz w:val="20"/>
                <w:szCs w:val="20"/>
                <w:lang w:val="en-GB"/>
              </w:rPr>
            </w:pPr>
            <w:r w:rsidRPr="0053142C">
              <w:rPr>
                <w:rFonts w:ascii="Arial" w:eastAsia="Calibri" w:hAnsi="Arial" w:cs="Arial"/>
                <w:i/>
                <w:sz w:val="20"/>
                <w:szCs w:val="20"/>
                <w:lang w:val="en-GB"/>
              </w:rPr>
              <w:t>Wintering</w:t>
            </w:r>
          </w:p>
          <w:p w14:paraId="2C8992E1"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Benin</w:t>
            </w:r>
          </w:p>
          <w:p w14:paraId="34D49403"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Burkina Faso</w:t>
            </w:r>
          </w:p>
          <w:p w14:paraId="5A3EFB80"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Cameroon</w:t>
            </w:r>
          </w:p>
          <w:p w14:paraId="3D43311F"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Central African Republic</w:t>
            </w:r>
          </w:p>
          <w:p w14:paraId="55C04103"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Chad</w:t>
            </w:r>
          </w:p>
          <w:p w14:paraId="4B8AE642"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Eritrea</w:t>
            </w:r>
          </w:p>
          <w:p w14:paraId="2AB04779"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Ethiopia</w:t>
            </w:r>
          </w:p>
          <w:p w14:paraId="47B2AA19"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The Gambia</w:t>
            </w:r>
          </w:p>
          <w:p w14:paraId="2C346351"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Ghana</w:t>
            </w:r>
          </w:p>
          <w:p w14:paraId="70D2D2EB"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Guinea</w:t>
            </w:r>
          </w:p>
          <w:p w14:paraId="62F27FEC"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Guinea-Bissau</w:t>
            </w:r>
          </w:p>
          <w:p w14:paraId="0C2278FF"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Mali</w:t>
            </w:r>
          </w:p>
          <w:p w14:paraId="21889692"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Mauritania (predominantly migrating)</w:t>
            </w:r>
          </w:p>
          <w:p w14:paraId="100520E7"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Niger</w:t>
            </w:r>
          </w:p>
          <w:p w14:paraId="2FCC0ACC"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Nigeria</w:t>
            </w:r>
          </w:p>
          <w:p w14:paraId="41C6F586"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Senegal</w:t>
            </w:r>
          </w:p>
          <w:p w14:paraId="08C5DF1D"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South Sudan</w:t>
            </w:r>
          </w:p>
          <w:p w14:paraId="2A0D0F50"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Sudan</w:t>
            </w:r>
          </w:p>
          <w:p w14:paraId="5211373E" w14:textId="77777777" w:rsidR="00C96521" w:rsidRPr="0053142C" w:rsidRDefault="00C96521" w:rsidP="00C96521">
            <w:pPr>
              <w:widowControl/>
              <w:numPr>
                <w:ilvl w:val="0"/>
                <w:numId w:val="27"/>
              </w:numPr>
              <w:autoSpaceDE/>
              <w:autoSpaceDN/>
              <w:adjustRightInd/>
              <w:contextualSpacing/>
              <w:rPr>
                <w:rFonts w:ascii="Arial" w:eastAsia="Calibri" w:hAnsi="Arial" w:cs="Arial"/>
                <w:sz w:val="20"/>
                <w:szCs w:val="20"/>
                <w:lang w:val="en-GB"/>
              </w:rPr>
            </w:pPr>
            <w:r w:rsidRPr="0053142C">
              <w:rPr>
                <w:rFonts w:ascii="Arial" w:eastAsia="Calibri" w:hAnsi="Arial" w:cs="Arial"/>
                <w:sz w:val="20"/>
                <w:szCs w:val="20"/>
                <w:lang w:val="en-GB"/>
              </w:rPr>
              <w:t>Togo</w:t>
            </w:r>
          </w:p>
        </w:tc>
      </w:tr>
    </w:tbl>
    <w:p w14:paraId="6CD31F7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A6B229F" w14:textId="5A7E79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Turtle</w:t>
      </w:r>
      <w:r w:rsidR="003574BE">
        <w:rPr>
          <w:rFonts w:eastAsia="MS Mincho"/>
          <w:sz w:val="20"/>
          <w:szCs w:val="22"/>
          <w:lang w:val="en-GB" w:eastAsia="ja-JP"/>
        </w:rPr>
        <w:t xml:space="preserve"> D</w:t>
      </w:r>
      <w:r w:rsidRPr="00C96521">
        <w:rPr>
          <w:rFonts w:eastAsia="MS Mincho"/>
          <w:sz w:val="20"/>
          <w:szCs w:val="22"/>
          <w:lang w:val="en-GB" w:eastAsia="ja-JP"/>
        </w:rPr>
        <w:t>oves are also found eastwards of Europe and the Mediterranean (see Figure 1), but information is scarce. The Framework of Actions includes activities to expand knowledge for these Range States.</w:t>
      </w:r>
    </w:p>
    <w:p w14:paraId="7B1C1A7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030D01B" w14:textId="0CB3FEA5"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3" w:name="_Toc478646891"/>
      <w:r w:rsidRPr="00C96521">
        <w:rPr>
          <w:rFonts w:ascii="Cambria" w:eastAsia="MS Gothic" w:hAnsi="Cambria"/>
          <w:b/>
          <w:bCs/>
          <w:color w:val="4F81BD"/>
          <w:sz w:val="26"/>
          <w:szCs w:val="26"/>
          <w:lang w:val="en-GB" w:eastAsia="ja-JP"/>
        </w:rPr>
        <w:t>Relevant policy and legislation</w:t>
      </w:r>
      <w:bookmarkEnd w:id="3"/>
    </w:p>
    <w:p w14:paraId="6BAC532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CFFEE78" w14:textId="6D6CDD5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the European Union, the </w:t>
      </w:r>
      <w:r w:rsidR="003574BE">
        <w:rPr>
          <w:rFonts w:eastAsia="MS Mincho"/>
          <w:sz w:val="20"/>
          <w:szCs w:val="22"/>
          <w:lang w:val="en-GB" w:eastAsia="ja-JP"/>
        </w:rPr>
        <w:t>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 xml:space="preserve">ove </w:t>
      </w:r>
      <w:r w:rsidRPr="00C96521">
        <w:rPr>
          <w:rFonts w:eastAsia="MS Mincho"/>
          <w:sz w:val="20"/>
          <w:szCs w:val="22"/>
          <w:lang w:val="en-GB" w:eastAsia="ja-JP"/>
        </w:rPr>
        <w:t xml:space="preserve">benefits from the general protection afforded by the Birds Directive 2009/147/EC to all species of native birds. It is prohibited to deliberately damage or destroy their nests and eggs, and the birds themselves are protected against deliberate disturbance, especially during the period of breeding and rearing. In the EU Member States that specifically list </w:t>
      </w:r>
      <w:r w:rsidR="003574BE">
        <w:rPr>
          <w:rFonts w:eastAsia="MS Mincho"/>
          <w:sz w:val="20"/>
          <w:szCs w:val="22"/>
          <w:lang w:val="en-GB" w:eastAsia="ja-JP"/>
        </w:rPr>
        <w:t>the T</w:t>
      </w:r>
      <w:r w:rsidR="003574BE" w:rsidRPr="00C96521">
        <w:rPr>
          <w:rFonts w:eastAsia="MS Mincho"/>
          <w:sz w:val="20"/>
          <w:szCs w:val="22"/>
          <w:lang w:val="en-GB" w:eastAsia="ja-JP"/>
        </w:rPr>
        <w:t>urtle</w:t>
      </w:r>
      <w:r w:rsidR="003574BE">
        <w:rPr>
          <w:rFonts w:eastAsia="MS Mincho"/>
          <w:sz w:val="20"/>
          <w:szCs w:val="22"/>
          <w:lang w:val="en-GB" w:eastAsia="ja-JP"/>
        </w:rPr>
        <w:t xml:space="preserve"> D</w:t>
      </w:r>
      <w:r w:rsidR="003574BE" w:rsidRPr="00C96521">
        <w:rPr>
          <w:rFonts w:eastAsia="MS Mincho"/>
          <w:sz w:val="20"/>
          <w:szCs w:val="22"/>
          <w:lang w:val="en-GB" w:eastAsia="ja-JP"/>
        </w:rPr>
        <w:t>ove</w:t>
      </w:r>
      <w:r w:rsidRPr="00C96521">
        <w:rPr>
          <w:rFonts w:eastAsia="MS Mincho"/>
          <w:sz w:val="20"/>
          <w:szCs w:val="22"/>
          <w:lang w:val="en-GB" w:eastAsia="ja-JP"/>
        </w:rPr>
        <w:t xml:space="preserve"> on Annex II/2, the species can be hunted in accordance with the national measures in force, which need to comply with the principles of wise use and ecologically balanced control of the species. Hunting must be compatible with maintaining the population at a level that corresponds in particular to ecological, scientific and cultural requirements, while taking account of economic and recreational requirements.</w:t>
      </w:r>
    </w:p>
    <w:p w14:paraId="116C42E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14F01BE" w14:textId="3841CF7D"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a wider international context, the nominate subspecies, </w:t>
      </w:r>
      <w:r w:rsidRPr="00C96521">
        <w:rPr>
          <w:rFonts w:eastAsia="MS Mincho"/>
          <w:i/>
          <w:sz w:val="20"/>
          <w:szCs w:val="22"/>
          <w:lang w:val="en-GB" w:eastAsia="ja-JP"/>
        </w:rPr>
        <w:t>S. t. turtur</w:t>
      </w:r>
      <w:r w:rsidRPr="00C96521">
        <w:rPr>
          <w:rFonts w:eastAsia="MS Mincho"/>
          <w:sz w:val="20"/>
          <w:szCs w:val="22"/>
          <w:lang w:val="en-GB" w:eastAsia="ja-JP"/>
        </w:rPr>
        <w:t xml:space="preserve">, is listed on Annex II of the Convention on Migratory Species, as potentially benefitting from international cooperation in matters of research and conservation measures. In that context, it is listed in the 2014 African-Eurasian Migratory Landbirds Action Plan (AEMLAP), which is aimed at improving the conservation status of migratory landbird species in the African-Eurasian region through the international coordination of action for these species, and catalysing action at the national level. </w:t>
      </w:r>
      <w:r w:rsidRPr="00C96521">
        <w:rPr>
          <w:rFonts w:eastAsia="MS Mincho"/>
          <w:i/>
          <w:sz w:val="20"/>
          <w:szCs w:val="22"/>
          <w:lang w:val="en-GB" w:eastAsia="ja-JP"/>
        </w:rPr>
        <w:t>S. turtur</w:t>
      </w:r>
      <w:r w:rsidRPr="00C96521">
        <w:rPr>
          <w:rFonts w:eastAsia="MS Mincho"/>
          <w:sz w:val="20"/>
          <w:szCs w:val="22"/>
          <w:lang w:val="en-GB" w:eastAsia="ja-JP"/>
        </w:rPr>
        <w:t xml:space="preserve"> is listed as Category B (non-threatened species with declining populations), although given current information, it fulfils the criteria to be listed as Category A (globally threatened, i</w:t>
      </w:r>
      <w:r w:rsidR="003574BE">
        <w:rPr>
          <w:rFonts w:eastAsia="MS Mincho"/>
          <w:sz w:val="20"/>
          <w:szCs w:val="22"/>
          <w:lang w:val="en-GB" w:eastAsia="ja-JP"/>
        </w:rPr>
        <w:t>.</w:t>
      </w:r>
      <w:r w:rsidRPr="00C96521">
        <w:rPr>
          <w:rFonts w:eastAsia="MS Mincho"/>
          <w:sz w:val="20"/>
          <w:szCs w:val="22"/>
          <w:lang w:val="en-GB" w:eastAsia="ja-JP"/>
        </w:rPr>
        <w:t>e</w:t>
      </w:r>
      <w:r w:rsidR="003574BE">
        <w:rPr>
          <w:rFonts w:eastAsia="MS Mincho"/>
          <w:sz w:val="20"/>
          <w:szCs w:val="22"/>
          <w:lang w:val="en-GB" w:eastAsia="ja-JP"/>
        </w:rPr>
        <w:t>.</w:t>
      </w:r>
      <w:r w:rsidRPr="00C96521">
        <w:rPr>
          <w:rFonts w:eastAsia="MS Mincho"/>
          <w:sz w:val="20"/>
          <w:szCs w:val="22"/>
          <w:lang w:val="en-GB" w:eastAsia="ja-JP"/>
        </w:rPr>
        <w:t xml:space="preserve"> critically endangered, endangered and vulnerable, and near-threatened migratory landbird species which should be the subject of strict protection measures and subject to a flyway recovery plan). The provisions for the latter include ensuring legal protection throughout their range.</w:t>
      </w:r>
    </w:p>
    <w:p w14:paraId="4F02927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0BAB5A8"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4" w:name="_Toc478646892"/>
      <w:r w:rsidRPr="00C96521">
        <w:rPr>
          <w:rFonts w:ascii="Cambria" w:eastAsia="MS Gothic" w:hAnsi="Cambria"/>
          <w:b/>
          <w:bCs/>
          <w:color w:val="4F81BD"/>
          <w:sz w:val="20"/>
          <w:szCs w:val="22"/>
          <w:lang w:val="en-GB" w:eastAsia="ja-JP"/>
        </w:rPr>
        <w:t>International conservation status</w:t>
      </w:r>
      <w:bookmarkEnd w:id="4"/>
      <w:r w:rsidRPr="00C96521">
        <w:rPr>
          <w:rFonts w:ascii="Cambria" w:eastAsia="MS Gothic" w:hAnsi="Cambria"/>
          <w:b/>
          <w:bCs/>
          <w:color w:val="4F81BD"/>
          <w:sz w:val="20"/>
          <w:szCs w:val="22"/>
          <w:lang w:val="en-GB" w:eastAsia="ja-JP"/>
        </w:rPr>
        <w:t xml:space="preserve"> </w:t>
      </w:r>
    </w:p>
    <w:p w14:paraId="05D7B0B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Style w:val="TableGrid"/>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18"/>
        <w:gridCol w:w="1960"/>
        <w:gridCol w:w="5232"/>
      </w:tblGrid>
      <w:tr w:rsidR="00C96521" w:rsidRPr="0053142C" w14:paraId="0A253FBE" w14:textId="77777777" w:rsidTr="00C96521">
        <w:tc>
          <w:tcPr>
            <w:tcW w:w="2167" w:type="dxa"/>
          </w:tcPr>
          <w:p w14:paraId="3EA34FA5"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lastRenderedPageBreak/>
              <w:t xml:space="preserve">IUCN Global Red List </w:t>
            </w:r>
          </w:p>
        </w:tc>
        <w:tc>
          <w:tcPr>
            <w:tcW w:w="1983" w:type="dxa"/>
          </w:tcPr>
          <w:p w14:paraId="1A334DC0"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Vulnerable</w:t>
            </w:r>
          </w:p>
        </w:tc>
        <w:tc>
          <w:tcPr>
            <w:tcW w:w="5386" w:type="dxa"/>
          </w:tcPr>
          <w:p w14:paraId="3D3A8C4D"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www.iucnredlist.org (last accessed 15</w:t>
            </w:r>
            <w:r w:rsidRPr="0053142C">
              <w:rPr>
                <w:rFonts w:ascii="Arial" w:hAnsi="Arial" w:cs="Arial"/>
                <w:sz w:val="20"/>
                <w:vertAlign w:val="superscript"/>
                <w:lang w:val="en-GB"/>
              </w:rPr>
              <w:t>th</w:t>
            </w:r>
            <w:r w:rsidRPr="0053142C">
              <w:rPr>
                <w:rFonts w:ascii="Arial" w:hAnsi="Arial" w:cs="Arial"/>
                <w:sz w:val="20"/>
                <w:lang w:val="en-GB"/>
              </w:rPr>
              <w:t xml:space="preserve"> March 2017)</w:t>
            </w:r>
          </w:p>
        </w:tc>
      </w:tr>
      <w:tr w:rsidR="00C96521" w:rsidRPr="0053142C" w14:paraId="40C94024" w14:textId="77777777" w:rsidTr="00C96521">
        <w:tc>
          <w:tcPr>
            <w:tcW w:w="2167" w:type="dxa"/>
          </w:tcPr>
          <w:p w14:paraId="520B005D"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Pan-European Status</w:t>
            </w:r>
          </w:p>
        </w:tc>
        <w:tc>
          <w:tcPr>
            <w:tcW w:w="1983" w:type="dxa"/>
          </w:tcPr>
          <w:p w14:paraId="0B19CD4D"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Unfavourable, declining; SPEC 3</w:t>
            </w:r>
          </w:p>
        </w:tc>
        <w:tc>
          <w:tcPr>
            <w:tcW w:w="5386" w:type="dxa"/>
          </w:tcPr>
          <w:p w14:paraId="77E5AA75"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BirdLife (2004)</w:t>
            </w:r>
          </w:p>
        </w:tc>
      </w:tr>
      <w:tr w:rsidR="00C96521" w:rsidRPr="0053142C" w14:paraId="0ADB20D9" w14:textId="77777777" w:rsidTr="00C96521">
        <w:tc>
          <w:tcPr>
            <w:tcW w:w="2167" w:type="dxa"/>
          </w:tcPr>
          <w:p w14:paraId="03AE85D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EU Threat Status</w:t>
            </w:r>
          </w:p>
        </w:tc>
        <w:tc>
          <w:tcPr>
            <w:tcW w:w="1983" w:type="dxa"/>
          </w:tcPr>
          <w:p w14:paraId="59504325"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Unfavourable, Near Threatened</w:t>
            </w:r>
          </w:p>
        </w:tc>
        <w:tc>
          <w:tcPr>
            <w:tcW w:w="5386" w:type="dxa"/>
          </w:tcPr>
          <w:p w14:paraId="772CC053"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BirdLife (2015)</w:t>
            </w:r>
          </w:p>
        </w:tc>
      </w:tr>
      <w:tr w:rsidR="00C96521" w:rsidRPr="0053142C" w14:paraId="128D409D" w14:textId="77777777" w:rsidTr="00C96521">
        <w:tc>
          <w:tcPr>
            <w:tcW w:w="2167" w:type="dxa"/>
          </w:tcPr>
          <w:p w14:paraId="1387DF8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European Red List</w:t>
            </w:r>
          </w:p>
        </w:tc>
        <w:tc>
          <w:tcPr>
            <w:tcW w:w="1983" w:type="dxa"/>
          </w:tcPr>
          <w:p w14:paraId="5E9613F4"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Vulnerable</w:t>
            </w:r>
          </w:p>
        </w:tc>
        <w:tc>
          <w:tcPr>
            <w:tcW w:w="5386" w:type="dxa"/>
          </w:tcPr>
          <w:p w14:paraId="3E886B68"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BirdLife (2015)</w:t>
            </w:r>
          </w:p>
        </w:tc>
      </w:tr>
    </w:tbl>
    <w:p w14:paraId="4FF4739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0045128"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5" w:name="_Toc478646893"/>
      <w:r w:rsidRPr="00C96521">
        <w:rPr>
          <w:rFonts w:ascii="Cambria" w:eastAsia="MS Gothic" w:hAnsi="Cambria"/>
          <w:b/>
          <w:bCs/>
          <w:color w:val="4F81BD"/>
          <w:sz w:val="20"/>
          <w:szCs w:val="22"/>
          <w:lang w:val="en-GB" w:eastAsia="ja-JP"/>
        </w:rPr>
        <w:t>International and European protection policy and legislation</w:t>
      </w:r>
      <w:bookmarkEnd w:id="5"/>
    </w:p>
    <w:p w14:paraId="70AA66C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Style w:val="TableGrid"/>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095"/>
        <w:gridCol w:w="1829"/>
        <w:gridCol w:w="5386"/>
      </w:tblGrid>
      <w:tr w:rsidR="00C96521" w:rsidRPr="0053142C" w14:paraId="5E6A1AEC" w14:textId="77777777" w:rsidTr="00C96521">
        <w:tc>
          <w:tcPr>
            <w:tcW w:w="2167" w:type="dxa"/>
            <w:shd w:val="clear" w:color="auto" w:fill="D9D9D9"/>
          </w:tcPr>
          <w:p w14:paraId="54362594"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Instrument</w:t>
            </w:r>
          </w:p>
        </w:tc>
        <w:tc>
          <w:tcPr>
            <w:tcW w:w="1983" w:type="dxa"/>
            <w:shd w:val="clear" w:color="auto" w:fill="D9D9D9"/>
          </w:tcPr>
          <w:p w14:paraId="3C4C82A5"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Relevant section</w:t>
            </w:r>
          </w:p>
        </w:tc>
        <w:tc>
          <w:tcPr>
            <w:tcW w:w="5386" w:type="dxa"/>
            <w:shd w:val="clear" w:color="auto" w:fill="D9D9D9"/>
          </w:tcPr>
          <w:p w14:paraId="5E3CD2A6"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Reference and notes</w:t>
            </w:r>
          </w:p>
        </w:tc>
      </w:tr>
      <w:tr w:rsidR="00C96521" w:rsidRPr="0053142C" w14:paraId="4AAC5415" w14:textId="77777777" w:rsidTr="00C96521">
        <w:tc>
          <w:tcPr>
            <w:tcW w:w="2167" w:type="dxa"/>
          </w:tcPr>
          <w:p w14:paraId="2797A9CD"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Bonn Convention/CMS</w:t>
            </w:r>
          </w:p>
        </w:tc>
        <w:tc>
          <w:tcPr>
            <w:tcW w:w="1983" w:type="dxa"/>
          </w:tcPr>
          <w:p w14:paraId="0059DDB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Appendix II</w:t>
            </w:r>
          </w:p>
        </w:tc>
        <w:tc>
          <w:tcPr>
            <w:tcW w:w="5386" w:type="dxa"/>
          </w:tcPr>
          <w:p w14:paraId="129A75F8"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http://www.cms.int/en/species/streptopelia-turtur-turtur (last accessed 15</w:t>
            </w:r>
            <w:r w:rsidRPr="0053142C">
              <w:rPr>
                <w:rFonts w:ascii="Arial" w:hAnsi="Arial" w:cs="Arial"/>
                <w:sz w:val="20"/>
                <w:vertAlign w:val="superscript"/>
                <w:lang w:val="en-GB"/>
              </w:rPr>
              <w:t>th</w:t>
            </w:r>
            <w:r w:rsidRPr="0053142C">
              <w:rPr>
                <w:rFonts w:ascii="Arial" w:hAnsi="Arial" w:cs="Arial"/>
                <w:sz w:val="20"/>
                <w:lang w:val="en-GB"/>
              </w:rPr>
              <w:t xml:space="preserve"> March 2017)</w:t>
            </w:r>
          </w:p>
        </w:tc>
      </w:tr>
      <w:tr w:rsidR="00C96521" w:rsidRPr="0053142C" w14:paraId="105F2797" w14:textId="77777777" w:rsidTr="00C96521">
        <w:tc>
          <w:tcPr>
            <w:tcW w:w="2167" w:type="dxa"/>
          </w:tcPr>
          <w:p w14:paraId="5022792F"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CITES</w:t>
            </w:r>
          </w:p>
        </w:tc>
        <w:tc>
          <w:tcPr>
            <w:tcW w:w="1983" w:type="dxa"/>
          </w:tcPr>
          <w:p w14:paraId="558FDE09"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Not listed</w:t>
            </w:r>
          </w:p>
        </w:tc>
        <w:tc>
          <w:tcPr>
            <w:tcW w:w="5386" w:type="dxa"/>
          </w:tcPr>
          <w:p w14:paraId="0B45D092"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w:t>
            </w:r>
          </w:p>
        </w:tc>
      </w:tr>
      <w:tr w:rsidR="00C96521" w:rsidRPr="0053142C" w14:paraId="525A6A5F" w14:textId="77777777" w:rsidTr="00C96521">
        <w:tc>
          <w:tcPr>
            <w:tcW w:w="2167" w:type="dxa"/>
          </w:tcPr>
          <w:p w14:paraId="2D7E8853"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Bern Convention</w:t>
            </w:r>
          </w:p>
        </w:tc>
        <w:tc>
          <w:tcPr>
            <w:tcW w:w="1983" w:type="dxa"/>
          </w:tcPr>
          <w:p w14:paraId="6A40A208"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Appendix III</w:t>
            </w:r>
          </w:p>
        </w:tc>
        <w:tc>
          <w:tcPr>
            <w:tcW w:w="5386" w:type="dxa"/>
          </w:tcPr>
          <w:p w14:paraId="4C94EA7E"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http://www.coe.int/en/web/conventions/full-list/-/conventions/treaty/104</w:t>
            </w:r>
          </w:p>
          <w:p w14:paraId="07F4B899"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(last accessed 15</w:t>
            </w:r>
            <w:r w:rsidRPr="0053142C">
              <w:rPr>
                <w:rFonts w:ascii="Arial" w:hAnsi="Arial" w:cs="Arial"/>
                <w:sz w:val="20"/>
                <w:vertAlign w:val="superscript"/>
                <w:lang w:val="en-GB"/>
              </w:rPr>
              <w:t>th</w:t>
            </w:r>
            <w:r w:rsidRPr="0053142C">
              <w:rPr>
                <w:rFonts w:ascii="Arial" w:hAnsi="Arial" w:cs="Arial"/>
                <w:sz w:val="20"/>
                <w:lang w:val="en-GB"/>
              </w:rPr>
              <w:t xml:space="preserve"> March 2017)</w:t>
            </w:r>
          </w:p>
        </w:tc>
      </w:tr>
      <w:tr w:rsidR="00C96521" w:rsidRPr="0053142C" w14:paraId="07247F49" w14:textId="77777777" w:rsidTr="00C96521">
        <w:tc>
          <w:tcPr>
            <w:tcW w:w="2167" w:type="dxa"/>
          </w:tcPr>
          <w:p w14:paraId="71AF9F77"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EU Birds Directive</w:t>
            </w:r>
          </w:p>
        </w:tc>
        <w:tc>
          <w:tcPr>
            <w:tcW w:w="1983" w:type="dxa"/>
          </w:tcPr>
          <w:p w14:paraId="79859A14"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Annex II/B</w:t>
            </w:r>
          </w:p>
        </w:tc>
        <w:tc>
          <w:tcPr>
            <w:tcW w:w="5386" w:type="dxa"/>
          </w:tcPr>
          <w:p w14:paraId="1574E93B"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http://ec.europa.eu/environment/nature/legislation/ birdsdirective/index_en.htm</w:t>
            </w:r>
          </w:p>
          <w:p w14:paraId="4124289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(last accessed 15</w:t>
            </w:r>
            <w:r w:rsidRPr="0053142C">
              <w:rPr>
                <w:rFonts w:ascii="Arial" w:hAnsi="Arial" w:cs="Arial"/>
                <w:sz w:val="20"/>
                <w:vertAlign w:val="superscript"/>
                <w:lang w:val="en-GB"/>
              </w:rPr>
              <w:t>th</w:t>
            </w:r>
            <w:r w:rsidRPr="0053142C">
              <w:rPr>
                <w:rFonts w:ascii="Arial" w:hAnsi="Arial" w:cs="Arial"/>
                <w:sz w:val="20"/>
                <w:lang w:val="en-GB"/>
              </w:rPr>
              <w:t xml:space="preserve"> March 2017)</w:t>
            </w:r>
          </w:p>
          <w:p w14:paraId="23351BFE" w14:textId="77777777" w:rsidR="00C96521" w:rsidRPr="0053142C" w:rsidRDefault="00C96521" w:rsidP="00C96521">
            <w:pPr>
              <w:widowControl/>
              <w:autoSpaceDE/>
              <w:autoSpaceDN/>
              <w:adjustRightInd/>
              <w:rPr>
                <w:rFonts w:ascii="Arial" w:hAnsi="Arial" w:cs="Arial"/>
                <w:sz w:val="20"/>
                <w:lang w:val="en-GB"/>
              </w:rPr>
            </w:pPr>
          </w:p>
          <w:p w14:paraId="477FA688"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The turtle-dove is listed on Annex II/B of the EU Birds Directive so it can only be hunted in those Member States that have defined a hunting season for the species.</w:t>
            </w:r>
          </w:p>
        </w:tc>
      </w:tr>
      <w:tr w:rsidR="00C96521" w:rsidRPr="0053142C" w14:paraId="6630D00E" w14:textId="77777777" w:rsidTr="00C96521">
        <w:tc>
          <w:tcPr>
            <w:tcW w:w="2167" w:type="dxa"/>
          </w:tcPr>
          <w:p w14:paraId="1E33B8C3"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Commission Regulation (EU) No 1320/2014 of 1 December 2014 amending Council Regulation (EC) No 338/97 on the protection of species of wild fauna and flora by regulating trade therein</w:t>
            </w:r>
          </w:p>
        </w:tc>
        <w:tc>
          <w:tcPr>
            <w:tcW w:w="1983" w:type="dxa"/>
          </w:tcPr>
          <w:p w14:paraId="4143CEE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Annex A</w:t>
            </w:r>
          </w:p>
        </w:tc>
        <w:tc>
          <w:tcPr>
            <w:tcW w:w="5386" w:type="dxa"/>
          </w:tcPr>
          <w:p w14:paraId="616476DC"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t>http://eur-lex.europa.eu/legal-content/EN/TXT/PDF/?uri=CELEX:32014R1320&amp;from=EN (last accessed 15</w:t>
            </w:r>
            <w:r w:rsidRPr="0053142C">
              <w:rPr>
                <w:rFonts w:ascii="Arial" w:hAnsi="Arial" w:cs="Arial"/>
                <w:sz w:val="20"/>
                <w:vertAlign w:val="superscript"/>
                <w:lang w:val="en-GB"/>
              </w:rPr>
              <w:t>th</w:t>
            </w:r>
            <w:r w:rsidRPr="0053142C">
              <w:rPr>
                <w:rFonts w:ascii="Arial" w:hAnsi="Arial" w:cs="Arial"/>
                <w:sz w:val="20"/>
                <w:lang w:val="en-GB"/>
              </w:rPr>
              <w:t xml:space="preserve"> March 2017)</w:t>
            </w:r>
          </w:p>
        </w:tc>
      </w:tr>
    </w:tbl>
    <w:p w14:paraId="79AA85C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DDACADC" w14:textId="4A112086"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Other EU policies will have an indirect effect on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004006B8">
        <w:rPr>
          <w:rFonts w:eastAsia="MS Mincho"/>
          <w:sz w:val="20"/>
          <w:szCs w:val="22"/>
          <w:lang w:val="en-GB" w:eastAsia="ja-JP"/>
        </w:rPr>
        <w:t>s</w:t>
      </w:r>
      <w:r w:rsidR="004006B8" w:rsidRPr="00C96521">
        <w:rPr>
          <w:rFonts w:eastAsia="MS Mincho"/>
          <w:sz w:val="20"/>
          <w:szCs w:val="22"/>
          <w:lang w:val="en-GB" w:eastAsia="ja-JP"/>
        </w:rPr>
        <w:t xml:space="preserve"> </w:t>
      </w:r>
      <w:r w:rsidRPr="00C96521">
        <w:rPr>
          <w:rFonts w:eastAsia="MS Mincho"/>
          <w:sz w:val="20"/>
          <w:szCs w:val="22"/>
          <w:lang w:val="en-GB" w:eastAsia="ja-JP"/>
        </w:rPr>
        <w:t>(they are not the specific target of the action), such as Rural Development Plans, Common Agricultural Policy, site protection as part of the Habitats Directive/Natura 2000 etc.</w:t>
      </w:r>
    </w:p>
    <w:p w14:paraId="6DA509C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F75D9EE"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6" w:name="_Toc478646894"/>
      <w:r w:rsidRPr="00C96521">
        <w:rPr>
          <w:rFonts w:ascii="Cambria" w:eastAsia="MS Gothic" w:hAnsi="Cambria"/>
          <w:b/>
          <w:bCs/>
          <w:color w:val="4F81BD"/>
          <w:sz w:val="20"/>
          <w:szCs w:val="22"/>
          <w:lang w:val="en-GB" w:eastAsia="ja-JP"/>
        </w:rPr>
        <w:t>Other relevant international policy and legislation</w:t>
      </w:r>
      <w:bookmarkEnd w:id="6"/>
    </w:p>
    <w:p w14:paraId="1736855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Style w:val="TableGrid"/>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796"/>
        <w:gridCol w:w="1998"/>
        <w:gridCol w:w="5742"/>
      </w:tblGrid>
      <w:tr w:rsidR="00C96521" w:rsidRPr="0053142C" w14:paraId="367C2EBC" w14:textId="77777777" w:rsidTr="00C96521">
        <w:tc>
          <w:tcPr>
            <w:tcW w:w="1796" w:type="dxa"/>
            <w:shd w:val="clear" w:color="auto" w:fill="D9D9D9"/>
          </w:tcPr>
          <w:p w14:paraId="21A6E4AE"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Instrument</w:t>
            </w:r>
          </w:p>
        </w:tc>
        <w:tc>
          <w:tcPr>
            <w:tcW w:w="1998" w:type="dxa"/>
            <w:shd w:val="clear" w:color="auto" w:fill="D9D9D9"/>
          </w:tcPr>
          <w:p w14:paraId="1A9F9AEA"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Relevant section</w:t>
            </w:r>
          </w:p>
        </w:tc>
        <w:tc>
          <w:tcPr>
            <w:tcW w:w="5742" w:type="dxa"/>
            <w:shd w:val="clear" w:color="auto" w:fill="D9D9D9"/>
          </w:tcPr>
          <w:p w14:paraId="7806C338" w14:textId="77777777" w:rsidR="00C96521" w:rsidRPr="0053142C" w:rsidRDefault="00C96521" w:rsidP="00C96521">
            <w:pPr>
              <w:widowControl/>
              <w:autoSpaceDE/>
              <w:autoSpaceDN/>
              <w:adjustRightInd/>
              <w:rPr>
                <w:rFonts w:ascii="Arial" w:hAnsi="Arial" w:cs="Arial"/>
                <w:b/>
                <w:sz w:val="20"/>
                <w:lang w:val="en-GB"/>
              </w:rPr>
            </w:pPr>
            <w:r w:rsidRPr="0053142C">
              <w:rPr>
                <w:rFonts w:ascii="Arial" w:hAnsi="Arial" w:cs="Arial"/>
                <w:b/>
                <w:sz w:val="20"/>
                <w:lang w:val="en-GB"/>
              </w:rPr>
              <w:t>Reference</w:t>
            </w:r>
          </w:p>
        </w:tc>
      </w:tr>
      <w:tr w:rsidR="00C96521" w:rsidRPr="0053142C" w14:paraId="702007BF" w14:textId="77777777" w:rsidTr="00C96521">
        <w:tc>
          <w:tcPr>
            <w:tcW w:w="1796" w:type="dxa"/>
          </w:tcPr>
          <w:p w14:paraId="5519B1A5"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t>Convention on the Conservation of Migratory Species of Wild Animals</w:t>
            </w:r>
          </w:p>
        </w:tc>
        <w:tc>
          <w:tcPr>
            <w:tcW w:w="1998" w:type="dxa"/>
          </w:tcPr>
          <w:p w14:paraId="55C0EE7E" w14:textId="77777777" w:rsidR="00C96521" w:rsidRPr="0053142C" w:rsidRDefault="00C96521" w:rsidP="00C96521">
            <w:pPr>
              <w:widowControl/>
              <w:autoSpaceDE/>
              <w:autoSpaceDN/>
              <w:adjustRightInd/>
              <w:rPr>
                <w:rFonts w:ascii="Arial" w:hAnsi="Arial" w:cs="Arial"/>
                <w:bCs/>
                <w:sz w:val="20"/>
                <w:szCs w:val="20"/>
                <w:lang w:val="en-GB"/>
              </w:rPr>
            </w:pPr>
            <w:r w:rsidRPr="0053142C">
              <w:rPr>
                <w:rFonts w:ascii="Arial" w:hAnsi="Arial" w:cs="Arial"/>
                <w:bCs/>
                <w:sz w:val="20"/>
                <w:szCs w:val="20"/>
                <w:lang w:val="en-GB"/>
              </w:rPr>
              <w:t>UNEP/ CMS/ Resolution 11.17</w:t>
            </w:r>
          </w:p>
          <w:p w14:paraId="658A32A9" w14:textId="77777777" w:rsidR="00C96521" w:rsidRPr="0053142C" w:rsidRDefault="00C96521" w:rsidP="00C96521">
            <w:pPr>
              <w:widowControl/>
              <w:autoSpaceDE/>
              <w:autoSpaceDN/>
              <w:adjustRightInd/>
              <w:rPr>
                <w:rFonts w:ascii="Arial" w:hAnsi="Arial" w:cs="Arial"/>
                <w:bCs/>
                <w:sz w:val="20"/>
                <w:szCs w:val="20"/>
                <w:lang w:val="en-GB"/>
              </w:rPr>
            </w:pPr>
          </w:p>
          <w:p w14:paraId="01C663E7" w14:textId="77777777" w:rsidR="00C96521" w:rsidRPr="0053142C" w:rsidRDefault="00C96521" w:rsidP="00C96521">
            <w:pPr>
              <w:widowControl/>
              <w:autoSpaceDE/>
              <w:autoSpaceDN/>
              <w:adjustRightInd/>
              <w:rPr>
                <w:rFonts w:ascii="Arial" w:hAnsi="Arial" w:cs="Arial"/>
                <w:bCs/>
                <w:sz w:val="20"/>
                <w:szCs w:val="20"/>
                <w:lang w:val="en-GB"/>
              </w:rPr>
            </w:pPr>
          </w:p>
          <w:p w14:paraId="32F3349D" w14:textId="77777777" w:rsidR="00C96521" w:rsidRPr="0053142C" w:rsidRDefault="00C96521" w:rsidP="00C96521">
            <w:pPr>
              <w:widowControl/>
              <w:autoSpaceDE/>
              <w:autoSpaceDN/>
              <w:adjustRightInd/>
              <w:rPr>
                <w:rFonts w:ascii="Arial" w:hAnsi="Arial" w:cs="Arial"/>
                <w:bCs/>
                <w:sz w:val="20"/>
                <w:szCs w:val="20"/>
                <w:lang w:val="en-GB"/>
              </w:rPr>
            </w:pPr>
          </w:p>
          <w:p w14:paraId="37363E82" w14:textId="77777777" w:rsidR="00C96521" w:rsidRPr="0053142C" w:rsidRDefault="00C96521" w:rsidP="00C96521">
            <w:pPr>
              <w:widowControl/>
              <w:autoSpaceDE/>
              <w:autoSpaceDN/>
              <w:adjustRightInd/>
              <w:rPr>
                <w:rFonts w:ascii="Arial" w:hAnsi="Arial" w:cs="Arial"/>
                <w:bCs/>
                <w:sz w:val="20"/>
                <w:szCs w:val="20"/>
                <w:lang w:val="en-GB"/>
              </w:rPr>
            </w:pPr>
          </w:p>
          <w:p w14:paraId="3708D90B" w14:textId="77777777" w:rsidR="00C96521" w:rsidRPr="0053142C" w:rsidRDefault="00C96521" w:rsidP="00C96521">
            <w:pPr>
              <w:widowControl/>
              <w:autoSpaceDE/>
              <w:autoSpaceDN/>
              <w:adjustRightInd/>
              <w:rPr>
                <w:rFonts w:ascii="Arial" w:hAnsi="Arial" w:cs="Arial"/>
                <w:bCs/>
                <w:sz w:val="20"/>
                <w:szCs w:val="20"/>
                <w:lang w:val="en-GB"/>
              </w:rPr>
            </w:pPr>
          </w:p>
          <w:p w14:paraId="697B5056" w14:textId="77777777" w:rsidR="00C96521" w:rsidRPr="0053142C" w:rsidRDefault="00C96521" w:rsidP="00C96521">
            <w:pPr>
              <w:widowControl/>
              <w:autoSpaceDE/>
              <w:autoSpaceDN/>
              <w:adjustRightInd/>
              <w:rPr>
                <w:rFonts w:ascii="Arial" w:hAnsi="Arial" w:cs="Arial"/>
                <w:bCs/>
                <w:sz w:val="20"/>
                <w:szCs w:val="20"/>
                <w:lang w:val="en-GB"/>
              </w:rPr>
            </w:pPr>
            <w:r w:rsidRPr="0053142C">
              <w:rPr>
                <w:rFonts w:ascii="Arial" w:hAnsi="Arial" w:cs="Arial"/>
                <w:sz w:val="20"/>
                <w:szCs w:val="20"/>
                <w:lang w:val="en-GB"/>
              </w:rPr>
              <w:t>Abuja Declaration</w:t>
            </w:r>
          </w:p>
        </w:tc>
        <w:tc>
          <w:tcPr>
            <w:tcW w:w="5742" w:type="dxa"/>
          </w:tcPr>
          <w:p w14:paraId="3AC5EF2D"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lang w:val="en-GB"/>
              </w:rPr>
              <w:t>http://www.cms.int/en/document/action-plan-migratory-landbirds-african-eurasian-region-aemlap</w:t>
            </w:r>
            <w:r w:rsidRPr="0053142C">
              <w:rPr>
                <w:rFonts w:ascii="Arial" w:hAnsi="Arial" w:cs="Arial"/>
                <w:sz w:val="20"/>
                <w:szCs w:val="20"/>
                <w:lang w:val="en-GB"/>
              </w:rPr>
              <w:t xml:space="preserve"> (last accessed </w:t>
            </w:r>
            <w:r w:rsidRPr="0053142C">
              <w:rPr>
                <w:rFonts w:ascii="Arial" w:hAnsi="Arial" w:cs="Arial"/>
                <w:sz w:val="20"/>
                <w:lang w:val="en-GB"/>
              </w:rPr>
              <w:t>15</w:t>
            </w:r>
            <w:r w:rsidRPr="0053142C">
              <w:rPr>
                <w:rFonts w:ascii="Arial" w:hAnsi="Arial" w:cs="Arial"/>
                <w:sz w:val="20"/>
                <w:vertAlign w:val="superscript"/>
                <w:lang w:val="en-GB"/>
              </w:rPr>
              <w:t>th</w:t>
            </w:r>
            <w:r w:rsidRPr="0053142C">
              <w:rPr>
                <w:rFonts w:ascii="Arial" w:hAnsi="Arial" w:cs="Arial"/>
                <w:sz w:val="20"/>
                <w:lang w:val="en-GB"/>
              </w:rPr>
              <w:t xml:space="preserve"> March 2017</w:t>
            </w:r>
            <w:r w:rsidRPr="0053142C">
              <w:rPr>
                <w:rFonts w:ascii="Arial" w:hAnsi="Arial" w:cs="Arial"/>
                <w:sz w:val="20"/>
                <w:szCs w:val="20"/>
                <w:lang w:val="en-GB"/>
              </w:rPr>
              <w:t>)</w:t>
            </w:r>
          </w:p>
          <w:p w14:paraId="56755575" w14:textId="77777777" w:rsidR="00C96521" w:rsidRPr="0053142C" w:rsidRDefault="00C96521" w:rsidP="00C96521">
            <w:pPr>
              <w:widowControl/>
              <w:autoSpaceDE/>
              <w:autoSpaceDN/>
              <w:adjustRightInd/>
              <w:rPr>
                <w:rFonts w:ascii="Arial" w:hAnsi="Arial" w:cs="Arial"/>
                <w:sz w:val="20"/>
                <w:szCs w:val="20"/>
                <w:lang w:val="en-GB"/>
              </w:rPr>
            </w:pPr>
          </w:p>
          <w:p w14:paraId="6E5C479D"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t>Resolution 11.17 adopted the African-Eurasian Migratory Landbirds Action Plan.</w:t>
            </w:r>
          </w:p>
          <w:p w14:paraId="65343144" w14:textId="77777777" w:rsidR="00C96521" w:rsidRPr="0053142C" w:rsidRDefault="00C96521" w:rsidP="00C96521">
            <w:pPr>
              <w:widowControl/>
              <w:autoSpaceDE/>
              <w:autoSpaceDN/>
              <w:adjustRightInd/>
              <w:rPr>
                <w:rFonts w:ascii="Arial" w:hAnsi="Arial" w:cs="Arial"/>
                <w:sz w:val="20"/>
                <w:szCs w:val="20"/>
                <w:lang w:val="en-GB"/>
              </w:rPr>
            </w:pPr>
          </w:p>
          <w:p w14:paraId="1E52F8D0" w14:textId="548A9B56"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t>Abuja Declaration on Sustainable Land Use for People and Biodiversity including Migratory Birds in West Africa http://www.cms.int/en/news/workshop-abuja-agrees-key-policies-sustainable-land-use-west-africa (last accessed 23</w:t>
            </w:r>
            <w:r w:rsidR="004006B8">
              <w:rPr>
                <w:rFonts w:ascii="Arial" w:hAnsi="Arial" w:cs="Arial"/>
                <w:sz w:val="20"/>
                <w:szCs w:val="20"/>
                <w:vertAlign w:val="superscript"/>
                <w:lang w:val="en-GB"/>
              </w:rPr>
              <w:t xml:space="preserve"> </w:t>
            </w:r>
            <w:r w:rsidRPr="0053142C">
              <w:rPr>
                <w:rFonts w:ascii="Arial" w:hAnsi="Arial" w:cs="Arial"/>
                <w:sz w:val="20"/>
                <w:szCs w:val="20"/>
                <w:lang w:val="en-GB"/>
              </w:rPr>
              <w:t>March 2017)</w:t>
            </w:r>
          </w:p>
        </w:tc>
      </w:tr>
      <w:tr w:rsidR="00C96521" w:rsidRPr="0053142C" w14:paraId="259361E8" w14:textId="77777777" w:rsidTr="00C96521">
        <w:tc>
          <w:tcPr>
            <w:tcW w:w="1796" w:type="dxa"/>
          </w:tcPr>
          <w:p w14:paraId="17D60F78" w14:textId="77777777" w:rsidR="00C96521" w:rsidRPr="003A3278" w:rsidRDefault="00C96521" w:rsidP="00C96521">
            <w:pPr>
              <w:widowControl/>
              <w:autoSpaceDE/>
              <w:autoSpaceDN/>
              <w:adjustRightInd/>
              <w:rPr>
                <w:rFonts w:ascii="Arial" w:hAnsi="Arial" w:cs="Arial"/>
                <w:sz w:val="20"/>
                <w:szCs w:val="20"/>
                <w:lang w:val="fr-FR"/>
              </w:rPr>
            </w:pPr>
            <w:r w:rsidRPr="003A3278">
              <w:rPr>
                <w:rFonts w:ascii="Arial" w:hAnsi="Arial" w:cs="Arial"/>
                <w:sz w:val="20"/>
                <w:szCs w:val="20"/>
                <w:lang w:val="fr-FR"/>
              </w:rPr>
              <w:t>UN Convention to Combat Desertification</w:t>
            </w:r>
          </w:p>
        </w:tc>
        <w:tc>
          <w:tcPr>
            <w:tcW w:w="1998" w:type="dxa"/>
          </w:tcPr>
          <w:p w14:paraId="0A1C236C"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bCs/>
                <w:sz w:val="20"/>
                <w:szCs w:val="20"/>
                <w:lang w:val="en-GB"/>
              </w:rPr>
              <w:t>ICCD/COP(11) /23/Add.1</w:t>
            </w:r>
          </w:p>
        </w:tc>
        <w:tc>
          <w:tcPr>
            <w:tcW w:w="5742" w:type="dxa"/>
          </w:tcPr>
          <w:p w14:paraId="74879BE1" w14:textId="232C4D71"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lang w:val="en-GB"/>
              </w:rPr>
              <w:t>http://www.unccd.int/Lists/OfficialDocuments/cop11/23add1eng.pdf</w:t>
            </w:r>
            <w:r w:rsidRPr="0053142C">
              <w:rPr>
                <w:rFonts w:ascii="Arial" w:hAnsi="Arial" w:cs="Arial"/>
                <w:sz w:val="20"/>
                <w:szCs w:val="20"/>
                <w:lang w:val="en-GB"/>
              </w:rPr>
              <w:t xml:space="preserve"> (last accessed </w:t>
            </w:r>
            <w:r w:rsidRPr="0053142C">
              <w:rPr>
                <w:rFonts w:ascii="Arial" w:hAnsi="Arial" w:cs="Arial"/>
                <w:sz w:val="20"/>
                <w:lang w:val="en-GB"/>
              </w:rPr>
              <w:t>15 March 2017</w:t>
            </w:r>
            <w:r w:rsidRPr="0053142C">
              <w:rPr>
                <w:rFonts w:ascii="Arial" w:hAnsi="Arial" w:cs="Arial"/>
                <w:sz w:val="20"/>
                <w:szCs w:val="20"/>
                <w:lang w:val="en-GB"/>
              </w:rPr>
              <w:t>)</w:t>
            </w:r>
          </w:p>
          <w:p w14:paraId="1174090B" w14:textId="77777777" w:rsidR="00C96521" w:rsidRPr="0053142C" w:rsidRDefault="00C96521" w:rsidP="00C96521">
            <w:pPr>
              <w:widowControl/>
              <w:autoSpaceDE/>
              <w:autoSpaceDN/>
              <w:adjustRightInd/>
              <w:rPr>
                <w:rFonts w:ascii="Arial" w:hAnsi="Arial" w:cs="Arial"/>
                <w:sz w:val="20"/>
                <w:szCs w:val="20"/>
                <w:lang w:val="en-GB"/>
              </w:rPr>
            </w:pPr>
          </w:p>
          <w:p w14:paraId="2B8B99AE"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lastRenderedPageBreak/>
              <w:t>UNCCD COP11 decision 22 adopted a Global Wild Bird Index as one of two indicators for its Strategic Objective 3.</w:t>
            </w:r>
          </w:p>
        </w:tc>
      </w:tr>
      <w:tr w:rsidR="00C96521" w:rsidRPr="0053142C" w14:paraId="58E4C82D" w14:textId="77777777" w:rsidTr="00C96521">
        <w:tc>
          <w:tcPr>
            <w:tcW w:w="1796" w:type="dxa"/>
          </w:tcPr>
          <w:p w14:paraId="221FD5E1" w14:textId="77777777" w:rsidR="00C96521" w:rsidRPr="0053142C" w:rsidRDefault="00C96521" w:rsidP="00C96521">
            <w:pPr>
              <w:widowControl/>
              <w:autoSpaceDE/>
              <w:autoSpaceDN/>
              <w:adjustRightInd/>
              <w:rPr>
                <w:rFonts w:ascii="Arial" w:hAnsi="Arial" w:cs="Arial"/>
                <w:sz w:val="20"/>
                <w:lang w:val="en-GB"/>
              </w:rPr>
            </w:pPr>
            <w:r w:rsidRPr="0053142C">
              <w:rPr>
                <w:rFonts w:ascii="Arial" w:hAnsi="Arial" w:cs="Arial"/>
                <w:sz w:val="20"/>
                <w:lang w:val="en-GB"/>
              </w:rPr>
              <w:lastRenderedPageBreak/>
              <w:t>Convention on Biological Diversity</w:t>
            </w:r>
          </w:p>
        </w:tc>
        <w:tc>
          <w:tcPr>
            <w:tcW w:w="1998" w:type="dxa"/>
          </w:tcPr>
          <w:p w14:paraId="3A5CCEFD"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Aichi targets 5 and 12</w:t>
            </w:r>
          </w:p>
        </w:tc>
        <w:tc>
          <w:tcPr>
            <w:tcW w:w="5742" w:type="dxa"/>
          </w:tcPr>
          <w:p w14:paraId="157D86DF" w14:textId="373A8588" w:rsidR="00C96521" w:rsidRPr="0053142C" w:rsidRDefault="00C96521" w:rsidP="00C96521">
            <w:pPr>
              <w:widowControl/>
              <w:rPr>
                <w:rFonts w:ascii="Arial" w:eastAsia="Calibri" w:hAnsi="Arial" w:cs="Arial"/>
                <w:bCs/>
                <w:iCs/>
                <w:color w:val="000000"/>
                <w:sz w:val="20"/>
                <w:szCs w:val="20"/>
                <w:lang w:val="en-GB"/>
              </w:rPr>
            </w:pPr>
            <w:r w:rsidRPr="0053142C">
              <w:rPr>
                <w:rFonts w:ascii="Arial" w:eastAsia="Calibri" w:hAnsi="Arial" w:cs="Arial"/>
                <w:bCs/>
                <w:iCs/>
                <w:color w:val="000000"/>
                <w:sz w:val="20"/>
                <w:szCs w:val="20"/>
                <w:lang w:val="en-GB"/>
              </w:rPr>
              <w:t>http://www.cbt.int/sp/targets (last accessed 15 March 2017)</w:t>
            </w:r>
          </w:p>
          <w:p w14:paraId="0BABCD04" w14:textId="77777777" w:rsidR="00C96521" w:rsidRPr="0053142C" w:rsidRDefault="00C96521" w:rsidP="00C96521">
            <w:pPr>
              <w:widowControl/>
              <w:autoSpaceDE/>
              <w:autoSpaceDN/>
              <w:adjustRightInd/>
              <w:rPr>
                <w:rFonts w:ascii="Arial" w:hAnsi="Arial" w:cs="Arial"/>
                <w:sz w:val="20"/>
                <w:szCs w:val="20"/>
                <w:lang w:val="en-GB"/>
              </w:rPr>
            </w:pPr>
          </w:p>
        </w:tc>
      </w:tr>
    </w:tbl>
    <w:p w14:paraId="5BE0494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6671376"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7" w:name="_Toc478646895"/>
      <w:r w:rsidRPr="00C96521">
        <w:rPr>
          <w:rFonts w:ascii="Cambria" w:eastAsia="MS Gothic" w:hAnsi="Cambria"/>
          <w:b/>
          <w:bCs/>
          <w:color w:val="4F81BD"/>
          <w:sz w:val="20"/>
          <w:szCs w:val="22"/>
          <w:lang w:val="en-GB" w:eastAsia="ja-JP"/>
        </w:rPr>
        <w:t>National policies and legislation</w:t>
      </w:r>
      <w:bookmarkEnd w:id="7"/>
    </w:p>
    <w:p w14:paraId="7B626F5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Style w:val="TableGrid"/>
        <w:tblW w:w="0" w:type="auto"/>
        <w:tblLook w:val="04A0" w:firstRow="1" w:lastRow="0" w:firstColumn="1" w:lastColumn="0" w:noHBand="0" w:noVBand="1"/>
      </w:tblPr>
      <w:tblGrid>
        <w:gridCol w:w="3039"/>
        <w:gridCol w:w="6271"/>
      </w:tblGrid>
      <w:tr w:rsidR="00C96521" w:rsidRPr="0053142C" w14:paraId="241320FF" w14:textId="77777777" w:rsidTr="00C96521">
        <w:tc>
          <w:tcPr>
            <w:tcW w:w="3085" w:type="dxa"/>
            <w:shd w:val="clear" w:color="auto" w:fill="D9D9D9"/>
          </w:tcPr>
          <w:p w14:paraId="0A55E513" w14:textId="77777777" w:rsidR="00C96521" w:rsidRPr="0053142C" w:rsidRDefault="00C96521" w:rsidP="00C96521">
            <w:pPr>
              <w:widowControl/>
              <w:autoSpaceDE/>
              <w:autoSpaceDN/>
              <w:adjustRightInd/>
              <w:spacing w:line="276" w:lineRule="auto"/>
              <w:rPr>
                <w:rFonts w:ascii="Arial" w:hAnsi="Arial" w:cs="Arial"/>
                <w:b/>
                <w:sz w:val="20"/>
                <w:szCs w:val="20"/>
                <w:lang w:val="en-GB"/>
              </w:rPr>
            </w:pPr>
            <w:r w:rsidRPr="0053142C">
              <w:rPr>
                <w:rFonts w:ascii="Arial" w:hAnsi="Arial" w:cs="Arial"/>
                <w:b/>
                <w:sz w:val="20"/>
                <w:szCs w:val="20"/>
                <w:lang w:val="en-GB"/>
              </w:rPr>
              <w:t>Country/Territory</w:t>
            </w:r>
          </w:p>
        </w:tc>
        <w:tc>
          <w:tcPr>
            <w:tcW w:w="6451" w:type="dxa"/>
            <w:shd w:val="clear" w:color="auto" w:fill="D9D9D9"/>
          </w:tcPr>
          <w:p w14:paraId="1C41D19C" w14:textId="77777777" w:rsidR="00C96521" w:rsidRPr="0053142C" w:rsidRDefault="00C96521" w:rsidP="00C96521">
            <w:pPr>
              <w:widowControl/>
              <w:autoSpaceDE/>
              <w:autoSpaceDN/>
              <w:adjustRightInd/>
              <w:spacing w:line="276" w:lineRule="auto"/>
              <w:rPr>
                <w:rFonts w:ascii="Arial" w:hAnsi="Arial" w:cs="Arial"/>
                <w:b/>
                <w:sz w:val="20"/>
                <w:szCs w:val="20"/>
                <w:lang w:val="en-GB"/>
              </w:rPr>
            </w:pPr>
            <w:r w:rsidRPr="0053142C">
              <w:rPr>
                <w:rFonts w:ascii="Arial" w:hAnsi="Arial" w:cs="Arial"/>
                <w:b/>
                <w:sz w:val="20"/>
                <w:szCs w:val="20"/>
                <w:lang w:val="en-GB"/>
              </w:rPr>
              <w:t>National Red List status (where known)</w:t>
            </w:r>
          </w:p>
        </w:tc>
      </w:tr>
      <w:tr w:rsidR="00C96521" w:rsidRPr="0053142C" w14:paraId="17751785" w14:textId="77777777" w:rsidTr="00C96521">
        <w:tc>
          <w:tcPr>
            <w:tcW w:w="3085" w:type="dxa"/>
          </w:tcPr>
          <w:p w14:paraId="0CE58984"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t>Croatia</w:t>
            </w:r>
          </w:p>
        </w:tc>
        <w:tc>
          <w:tcPr>
            <w:tcW w:w="6451" w:type="dxa"/>
          </w:tcPr>
          <w:p w14:paraId="5CD94D3D"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 xml:space="preserve">Least Concern (Tutiš </w:t>
            </w:r>
            <w:r w:rsidRPr="0053142C">
              <w:rPr>
                <w:rFonts w:ascii="Arial" w:hAnsi="Arial" w:cs="Arial"/>
                <w:i/>
                <w:color w:val="000000"/>
                <w:sz w:val="20"/>
                <w:szCs w:val="20"/>
                <w:lang w:val="en-GB"/>
              </w:rPr>
              <w:t>et al</w:t>
            </w:r>
            <w:r w:rsidRPr="0053142C">
              <w:rPr>
                <w:rFonts w:ascii="Arial" w:hAnsi="Arial" w:cs="Arial"/>
                <w:color w:val="000000"/>
                <w:sz w:val="20"/>
                <w:szCs w:val="20"/>
                <w:lang w:val="en-GB"/>
              </w:rPr>
              <w:t xml:space="preserve"> 2013)</w:t>
            </w:r>
          </w:p>
        </w:tc>
      </w:tr>
      <w:tr w:rsidR="00C96521" w:rsidRPr="0053142C" w14:paraId="58CE069A" w14:textId="77777777" w:rsidTr="00C96521">
        <w:tc>
          <w:tcPr>
            <w:tcW w:w="3085" w:type="dxa"/>
          </w:tcPr>
          <w:p w14:paraId="0214148C"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Finland</w:t>
            </w:r>
          </w:p>
        </w:tc>
        <w:tc>
          <w:tcPr>
            <w:tcW w:w="6451" w:type="dxa"/>
          </w:tcPr>
          <w:p w14:paraId="5765006C"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Critically Endangered (Lehikoinen 2016)</w:t>
            </w:r>
          </w:p>
        </w:tc>
      </w:tr>
      <w:tr w:rsidR="00C96521" w:rsidRPr="0053142C" w14:paraId="398DE6CA" w14:textId="77777777" w:rsidTr="00C96521">
        <w:tc>
          <w:tcPr>
            <w:tcW w:w="3085" w:type="dxa"/>
          </w:tcPr>
          <w:p w14:paraId="72E02AD8"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France</w:t>
            </w:r>
          </w:p>
        </w:tc>
        <w:tc>
          <w:tcPr>
            <w:tcW w:w="6451" w:type="dxa"/>
          </w:tcPr>
          <w:p w14:paraId="1CD885B3"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Vulnerable (UICN France, MNHN, LPO, SEOF and ONCFS 2016)</w:t>
            </w:r>
          </w:p>
        </w:tc>
      </w:tr>
      <w:tr w:rsidR="00C96521" w:rsidRPr="0053142C" w14:paraId="1272227D" w14:textId="77777777" w:rsidTr="00C96521">
        <w:tc>
          <w:tcPr>
            <w:tcW w:w="3085" w:type="dxa"/>
          </w:tcPr>
          <w:p w14:paraId="13DBA728"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Germany</w:t>
            </w:r>
          </w:p>
        </w:tc>
        <w:tc>
          <w:tcPr>
            <w:tcW w:w="6451" w:type="dxa"/>
          </w:tcPr>
          <w:p w14:paraId="6CA85FDA"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 xml:space="preserve">Endangered (Quillfeldt </w:t>
            </w:r>
            <w:r w:rsidRPr="0053142C">
              <w:rPr>
                <w:rFonts w:ascii="Arial" w:hAnsi="Arial" w:cs="Arial"/>
                <w:i/>
                <w:color w:val="000000"/>
                <w:sz w:val="20"/>
                <w:szCs w:val="20"/>
                <w:lang w:val="en-GB"/>
              </w:rPr>
              <w:t>et al</w:t>
            </w:r>
            <w:r w:rsidRPr="0053142C">
              <w:rPr>
                <w:rFonts w:ascii="Arial" w:hAnsi="Arial" w:cs="Arial"/>
                <w:color w:val="000000"/>
                <w:sz w:val="20"/>
                <w:szCs w:val="20"/>
                <w:lang w:val="en-GB"/>
              </w:rPr>
              <w:t xml:space="preserve"> 2014)</w:t>
            </w:r>
          </w:p>
        </w:tc>
      </w:tr>
      <w:tr w:rsidR="00C96521" w:rsidRPr="0053142C" w14:paraId="6054035A" w14:textId="77777777" w:rsidTr="00C96521">
        <w:tc>
          <w:tcPr>
            <w:tcW w:w="3085" w:type="dxa"/>
          </w:tcPr>
          <w:p w14:paraId="3FA1C54A"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Greece</w:t>
            </w:r>
          </w:p>
        </w:tc>
        <w:tc>
          <w:tcPr>
            <w:tcW w:w="6451" w:type="dxa"/>
          </w:tcPr>
          <w:p w14:paraId="3C1A8458"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color w:val="000000"/>
                <w:sz w:val="20"/>
                <w:szCs w:val="20"/>
                <w:lang w:val="en-GB"/>
              </w:rPr>
              <w:t>Not Evaluated (Legakis and Maragkou 2009)</w:t>
            </w:r>
          </w:p>
        </w:tc>
      </w:tr>
      <w:tr w:rsidR="00C96521" w:rsidRPr="0053142C" w14:paraId="2FC717A6" w14:textId="77777777" w:rsidTr="00C96521">
        <w:tc>
          <w:tcPr>
            <w:tcW w:w="3085" w:type="dxa"/>
          </w:tcPr>
          <w:p w14:paraId="1211764E"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Italy</w:t>
            </w:r>
          </w:p>
        </w:tc>
        <w:tc>
          <w:tcPr>
            <w:tcW w:w="6451" w:type="dxa"/>
          </w:tcPr>
          <w:p w14:paraId="42F4434F"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Least Concern (IUCN Comitato Italiano 2012)</w:t>
            </w:r>
          </w:p>
        </w:tc>
      </w:tr>
      <w:tr w:rsidR="00C96521" w:rsidRPr="0053142C" w14:paraId="36C98CE4" w14:textId="77777777" w:rsidTr="00C96521">
        <w:tc>
          <w:tcPr>
            <w:tcW w:w="3085" w:type="dxa"/>
          </w:tcPr>
          <w:p w14:paraId="03E30F01"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Luxembourg</w:t>
            </w:r>
          </w:p>
        </w:tc>
        <w:tc>
          <w:tcPr>
            <w:tcW w:w="6451" w:type="dxa"/>
          </w:tcPr>
          <w:p w14:paraId="38C348B8"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color w:val="000000"/>
                <w:sz w:val="20"/>
                <w:szCs w:val="20"/>
                <w:lang w:val="en-GB"/>
              </w:rPr>
              <w:t xml:space="preserve">Endangered (Lorgé </w:t>
            </w:r>
            <w:r w:rsidRPr="0053142C">
              <w:rPr>
                <w:rFonts w:ascii="Arial" w:hAnsi="Arial" w:cs="Arial"/>
                <w:i/>
                <w:color w:val="000000"/>
                <w:sz w:val="20"/>
                <w:szCs w:val="20"/>
                <w:lang w:val="en-GB"/>
              </w:rPr>
              <w:t>et al</w:t>
            </w:r>
            <w:r w:rsidRPr="0053142C">
              <w:rPr>
                <w:rFonts w:ascii="Arial" w:hAnsi="Arial" w:cs="Arial"/>
                <w:color w:val="000000"/>
                <w:sz w:val="20"/>
                <w:szCs w:val="20"/>
                <w:lang w:val="en-GB"/>
              </w:rPr>
              <w:t xml:space="preserve"> 2014)</w:t>
            </w:r>
          </w:p>
        </w:tc>
      </w:tr>
      <w:tr w:rsidR="00C96521" w:rsidRPr="0053142C" w14:paraId="4D824601" w14:textId="77777777" w:rsidTr="00C96521">
        <w:tc>
          <w:tcPr>
            <w:tcW w:w="3085" w:type="dxa"/>
          </w:tcPr>
          <w:p w14:paraId="6D2EDCB2"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Russian Federation (European)</w:t>
            </w:r>
          </w:p>
        </w:tc>
        <w:tc>
          <w:tcPr>
            <w:tcW w:w="6451" w:type="dxa"/>
          </w:tcPr>
          <w:p w14:paraId="39D578A6" w14:textId="77777777" w:rsidR="00C96521" w:rsidRPr="0053142C" w:rsidRDefault="00C96521" w:rsidP="00C96521">
            <w:pPr>
              <w:widowControl/>
              <w:autoSpaceDE/>
              <w:autoSpaceDN/>
              <w:adjustRightInd/>
              <w:spacing w:line="276" w:lineRule="auto"/>
              <w:rPr>
                <w:rFonts w:ascii="Arial" w:hAnsi="Arial" w:cs="Arial"/>
                <w:color w:val="000000"/>
                <w:sz w:val="20"/>
                <w:szCs w:val="20"/>
                <w:lang w:val="en-GB"/>
              </w:rPr>
            </w:pPr>
            <w:r w:rsidRPr="0053142C">
              <w:rPr>
                <w:rFonts w:ascii="Arial" w:hAnsi="Arial" w:cs="Arial"/>
                <w:color w:val="000000"/>
                <w:sz w:val="20"/>
                <w:szCs w:val="20"/>
                <w:lang w:val="en-GB"/>
              </w:rPr>
              <w:t xml:space="preserve">Will be listed in the Red Data Book of the Russian Federation at the end of 2017. Hunting and destruction of nesting habitat will be strictly prohibited in Russia. (Alexander Mischenko </w:t>
            </w:r>
            <w:r w:rsidRPr="0053142C">
              <w:rPr>
                <w:rFonts w:ascii="Arial" w:hAnsi="Arial" w:cs="Arial"/>
                <w:i/>
                <w:color w:val="000000"/>
                <w:sz w:val="20"/>
                <w:szCs w:val="20"/>
                <w:lang w:val="en-GB"/>
              </w:rPr>
              <w:t>pers comm</w:t>
            </w:r>
            <w:r w:rsidRPr="0053142C">
              <w:rPr>
                <w:rFonts w:ascii="Arial" w:hAnsi="Arial" w:cs="Arial"/>
                <w:color w:val="000000"/>
                <w:sz w:val="20"/>
                <w:szCs w:val="20"/>
                <w:lang w:val="en-GB"/>
              </w:rPr>
              <w:t xml:space="preserve">, Evgeny Syroechkovskiy </w:t>
            </w:r>
            <w:r w:rsidRPr="0053142C">
              <w:rPr>
                <w:rFonts w:ascii="Arial" w:hAnsi="Arial" w:cs="Arial"/>
                <w:i/>
                <w:color w:val="000000"/>
                <w:sz w:val="20"/>
                <w:szCs w:val="20"/>
                <w:lang w:val="en-GB"/>
              </w:rPr>
              <w:t>pers comm</w:t>
            </w:r>
            <w:r w:rsidRPr="0053142C">
              <w:rPr>
                <w:rFonts w:ascii="Arial" w:hAnsi="Arial" w:cs="Arial"/>
                <w:color w:val="000000"/>
                <w:sz w:val="20"/>
                <w:szCs w:val="20"/>
                <w:lang w:val="en-GB"/>
              </w:rPr>
              <w:t>)</w:t>
            </w:r>
          </w:p>
        </w:tc>
      </w:tr>
      <w:tr w:rsidR="00C96521" w:rsidRPr="0053142C" w14:paraId="0419FD7B" w14:textId="77777777" w:rsidTr="00C96521">
        <w:tc>
          <w:tcPr>
            <w:tcW w:w="3085" w:type="dxa"/>
          </w:tcPr>
          <w:p w14:paraId="19C47C11"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Spain</w:t>
            </w:r>
          </w:p>
        </w:tc>
        <w:tc>
          <w:tcPr>
            <w:tcW w:w="6451" w:type="dxa"/>
          </w:tcPr>
          <w:p w14:paraId="21D85AA4" w14:textId="77777777" w:rsidR="00C96521" w:rsidRPr="0053142C" w:rsidRDefault="00C96521" w:rsidP="00C96521">
            <w:pPr>
              <w:widowControl/>
              <w:autoSpaceDE/>
              <w:autoSpaceDN/>
              <w:adjustRightInd/>
              <w:spacing w:line="276" w:lineRule="auto"/>
              <w:rPr>
                <w:rFonts w:ascii="Arial" w:hAnsi="Arial" w:cs="Arial"/>
                <w:color w:val="000000"/>
                <w:sz w:val="20"/>
                <w:szCs w:val="20"/>
                <w:lang w:val="en-GB"/>
              </w:rPr>
            </w:pPr>
            <w:r w:rsidRPr="0053142C">
              <w:rPr>
                <w:rFonts w:ascii="Arial" w:hAnsi="Arial" w:cs="Arial"/>
                <w:color w:val="000000"/>
                <w:sz w:val="20"/>
                <w:szCs w:val="20"/>
                <w:lang w:val="en-GB"/>
              </w:rPr>
              <w:t xml:space="preserve">Vulnerable (Madroño </w:t>
            </w:r>
            <w:r w:rsidRPr="0053142C">
              <w:rPr>
                <w:rFonts w:ascii="Arial" w:hAnsi="Arial" w:cs="Arial"/>
                <w:i/>
                <w:color w:val="000000"/>
                <w:sz w:val="20"/>
                <w:szCs w:val="20"/>
                <w:lang w:val="en-GB"/>
              </w:rPr>
              <w:t>et al</w:t>
            </w:r>
            <w:r w:rsidRPr="0053142C">
              <w:rPr>
                <w:rFonts w:ascii="Arial" w:hAnsi="Arial" w:cs="Arial"/>
                <w:color w:val="000000"/>
                <w:sz w:val="20"/>
                <w:szCs w:val="20"/>
                <w:lang w:val="en-GB"/>
              </w:rPr>
              <w:t xml:space="preserve"> 2004)</w:t>
            </w:r>
          </w:p>
        </w:tc>
      </w:tr>
      <w:tr w:rsidR="00C96521" w:rsidRPr="0053142C" w14:paraId="666284D6" w14:textId="77777777" w:rsidTr="00C96521">
        <w:tc>
          <w:tcPr>
            <w:tcW w:w="3085" w:type="dxa"/>
          </w:tcPr>
          <w:p w14:paraId="741DF820" w14:textId="77777777" w:rsidR="00C96521" w:rsidRPr="0053142C" w:rsidRDefault="00C96521" w:rsidP="00C96521">
            <w:pPr>
              <w:widowControl/>
              <w:autoSpaceDE/>
              <w:autoSpaceDN/>
              <w:adjustRightInd/>
              <w:rPr>
                <w:rFonts w:ascii="Arial" w:hAnsi="Arial" w:cs="Arial"/>
                <w:sz w:val="20"/>
                <w:szCs w:val="20"/>
                <w:lang w:val="en-GB"/>
              </w:rPr>
            </w:pPr>
            <w:r w:rsidRPr="0053142C">
              <w:rPr>
                <w:rFonts w:ascii="Arial" w:hAnsi="Arial" w:cs="Arial"/>
                <w:sz w:val="20"/>
                <w:szCs w:val="20"/>
                <w:lang w:val="en-GB"/>
              </w:rPr>
              <w:t>Switzerland</w:t>
            </w:r>
          </w:p>
        </w:tc>
        <w:tc>
          <w:tcPr>
            <w:tcW w:w="6451" w:type="dxa"/>
          </w:tcPr>
          <w:p w14:paraId="3CC4D66A" w14:textId="77777777" w:rsidR="00C96521" w:rsidRPr="0053142C" w:rsidRDefault="00C96521" w:rsidP="00C96521">
            <w:pPr>
              <w:widowControl/>
              <w:autoSpaceDE/>
              <w:autoSpaceDN/>
              <w:adjustRightInd/>
              <w:spacing w:line="276" w:lineRule="auto"/>
              <w:rPr>
                <w:rFonts w:ascii="Arial" w:hAnsi="Arial" w:cs="Arial"/>
                <w:color w:val="000000"/>
                <w:sz w:val="20"/>
                <w:szCs w:val="20"/>
                <w:lang w:val="en-GB"/>
              </w:rPr>
            </w:pPr>
            <w:r w:rsidRPr="0053142C">
              <w:rPr>
                <w:rFonts w:ascii="Arial" w:hAnsi="Arial" w:cs="Arial"/>
                <w:color w:val="000000"/>
                <w:sz w:val="20"/>
                <w:szCs w:val="20"/>
                <w:lang w:val="en-GB"/>
              </w:rPr>
              <w:t>Near Threatened (Vogelwarte 2016b)</w:t>
            </w:r>
          </w:p>
        </w:tc>
      </w:tr>
      <w:tr w:rsidR="00C96521" w:rsidRPr="0053142C" w14:paraId="16C603CE" w14:textId="77777777" w:rsidTr="00C96521">
        <w:tc>
          <w:tcPr>
            <w:tcW w:w="3085" w:type="dxa"/>
          </w:tcPr>
          <w:p w14:paraId="6C8EE7E5" w14:textId="77777777" w:rsidR="00C96521" w:rsidRPr="0053142C" w:rsidRDefault="00C96521" w:rsidP="00C96521">
            <w:pPr>
              <w:widowControl/>
              <w:autoSpaceDE/>
              <w:autoSpaceDN/>
              <w:adjustRightInd/>
              <w:spacing w:line="276" w:lineRule="auto"/>
              <w:rPr>
                <w:rFonts w:ascii="Arial" w:hAnsi="Arial" w:cs="Arial"/>
                <w:sz w:val="20"/>
                <w:szCs w:val="20"/>
                <w:lang w:val="en-GB"/>
              </w:rPr>
            </w:pPr>
            <w:r w:rsidRPr="0053142C">
              <w:rPr>
                <w:rFonts w:ascii="Arial" w:hAnsi="Arial" w:cs="Arial"/>
                <w:sz w:val="20"/>
                <w:szCs w:val="20"/>
                <w:lang w:val="en-GB"/>
              </w:rPr>
              <w:t>United Kingdom</w:t>
            </w:r>
          </w:p>
        </w:tc>
        <w:tc>
          <w:tcPr>
            <w:tcW w:w="6451" w:type="dxa"/>
          </w:tcPr>
          <w:p w14:paraId="41633A72" w14:textId="77777777" w:rsidR="00C96521" w:rsidRPr="0053142C" w:rsidRDefault="00C96521" w:rsidP="00C96521">
            <w:pPr>
              <w:widowControl/>
              <w:autoSpaceDE/>
              <w:autoSpaceDN/>
              <w:adjustRightInd/>
              <w:spacing w:line="276" w:lineRule="auto"/>
              <w:rPr>
                <w:rFonts w:ascii="Arial" w:hAnsi="Arial" w:cs="Arial"/>
                <w:color w:val="000000"/>
                <w:sz w:val="20"/>
                <w:szCs w:val="20"/>
                <w:lang w:val="en-GB"/>
              </w:rPr>
            </w:pPr>
            <w:r w:rsidRPr="0053142C">
              <w:rPr>
                <w:rFonts w:ascii="Arial" w:hAnsi="Arial" w:cs="Arial"/>
                <w:color w:val="000000"/>
                <w:sz w:val="20"/>
                <w:szCs w:val="20"/>
                <w:lang w:val="en-GB"/>
              </w:rPr>
              <w:t xml:space="preserve">On Red list of Birds of Conservation Concern 4 (Eaton </w:t>
            </w:r>
            <w:r w:rsidRPr="0053142C">
              <w:rPr>
                <w:rFonts w:ascii="Arial" w:hAnsi="Arial" w:cs="Arial"/>
                <w:i/>
                <w:color w:val="000000"/>
                <w:sz w:val="20"/>
                <w:szCs w:val="20"/>
                <w:lang w:val="en-GB"/>
              </w:rPr>
              <w:t xml:space="preserve">et al </w:t>
            </w:r>
            <w:r w:rsidRPr="0053142C">
              <w:rPr>
                <w:rFonts w:ascii="Arial" w:hAnsi="Arial" w:cs="Arial"/>
                <w:color w:val="000000"/>
                <w:sz w:val="20"/>
                <w:szCs w:val="20"/>
                <w:lang w:val="en-GB"/>
              </w:rPr>
              <w:t>2015)</w:t>
            </w:r>
          </w:p>
        </w:tc>
      </w:tr>
    </w:tbl>
    <w:p w14:paraId="458CA7E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0119631" w14:textId="17ECB299" w:rsidR="00C96521" w:rsidRPr="00C96521" w:rsidRDefault="004006B8" w:rsidP="00C96521">
      <w:pPr>
        <w:widowControl/>
        <w:autoSpaceDE/>
        <w:autoSpaceDN/>
        <w:adjustRightInd/>
        <w:spacing w:line="276" w:lineRule="auto"/>
        <w:rPr>
          <w:rFonts w:eastAsia="MS Mincho"/>
          <w:sz w:val="20"/>
          <w:szCs w:val="22"/>
          <w:lang w:val="en-GB" w:eastAsia="ja-JP"/>
        </w:rPr>
      </w:pPr>
      <w:r>
        <w:rPr>
          <w:rFonts w:eastAsia="MS Mincho"/>
          <w:sz w:val="20"/>
          <w:szCs w:val="22"/>
          <w:lang w:val="en-GB" w:eastAsia="ja-JP"/>
        </w:rPr>
        <w:t xml:space="preserve">The </w:t>
      </w:r>
      <w:r w:rsidR="00C96521" w:rsidRPr="00C96521">
        <w:rPr>
          <w:rFonts w:eastAsia="MS Mincho"/>
          <w:sz w:val="20"/>
          <w:szCs w:val="22"/>
          <w:lang w:val="en-GB" w:eastAsia="ja-JP"/>
        </w:rPr>
        <w:t>Turtle</w:t>
      </w:r>
      <w:r>
        <w:rPr>
          <w:rFonts w:eastAsia="MS Mincho"/>
          <w:sz w:val="20"/>
          <w:szCs w:val="22"/>
          <w:lang w:val="en-GB" w:eastAsia="ja-JP"/>
        </w:rPr>
        <w:t xml:space="preserve"> Do</w:t>
      </w:r>
      <w:r w:rsidR="00C96521" w:rsidRPr="00C96521">
        <w:rPr>
          <w:rFonts w:eastAsia="MS Mincho"/>
          <w:sz w:val="20"/>
          <w:szCs w:val="22"/>
          <w:lang w:val="en-GB" w:eastAsia="ja-JP"/>
        </w:rPr>
        <w:t xml:space="preserve">ve is considered in national or sub-national conservation Action Plans in the following countries: Belgium, Luxembourg, </w:t>
      </w:r>
      <w:r>
        <w:rPr>
          <w:rFonts w:eastAsia="MS Mincho"/>
          <w:sz w:val="20"/>
          <w:szCs w:val="22"/>
          <w:lang w:val="en-GB" w:eastAsia="ja-JP"/>
        </w:rPr>
        <w:t xml:space="preserve">the </w:t>
      </w:r>
      <w:r w:rsidR="00C96521" w:rsidRPr="00C96521">
        <w:rPr>
          <w:rFonts w:eastAsia="MS Mincho"/>
          <w:sz w:val="20"/>
          <w:szCs w:val="22"/>
          <w:lang w:val="en-GB" w:eastAsia="ja-JP"/>
        </w:rPr>
        <w:t xml:space="preserve">United Kingdom and </w:t>
      </w:r>
      <w:r>
        <w:rPr>
          <w:rFonts w:eastAsia="MS Mincho"/>
          <w:sz w:val="20"/>
          <w:szCs w:val="22"/>
          <w:lang w:val="en-GB" w:eastAsia="ja-JP"/>
        </w:rPr>
        <w:t>t</w:t>
      </w:r>
      <w:r w:rsidR="00C96521" w:rsidRPr="00C96521">
        <w:rPr>
          <w:rFonts w:eastAsia="MS Mincho"/>
          <w:sz w:val="20"/>
          <w:szCs w:val="22"/>
          <w:lang w:val="en-GB" w:eastAsia="ja-JP"/>
        </w:rPr>
        <w:t>he Gambia.</w:t>
      </w:r>
    </w:p>
    <w:p w14:paraId="7DBBB0C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4791650" w14:textId="7AA57E7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Working groups or projects for </w:t>
      </w:r>
      <w:r w:rsidR="004006B8">
        <w:rPr>
          <w:rFonts w:eastAsia="MS Mincho"/>
          <w:sz w:val="20"/>
          <w:szCs w:val="22"/>
          <w:lang w:val="en-GB" w:eastAsia="ja-JP"/>
        </w:rPr>
        <w:t>the 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 xml:space="preserve">ove </w:t>
      </w:r>
      <w:r w:rsidRPr="00C96521">
        <w:rPr>
          <w:rFonts w:eastAsia="MS Mincho"/>
          <w:sz w:val="20"/>
          <w:szCs w:val="22"/>
          <w:lang w:val="en-GB" w:eastAsia="ja-JP"/>
        </w:rPr>
        <w:t xml:space="preserve">exist in the following countries: Belgium, Estonia, Germany, Greece, Malta, Portugal, </w:t>
      </w:r>
      <w:r w:rsidR="004006B8">
        <w:rPr>
          <w:rFonts w:eastAsia="MS Mincho"/>
          <w:sz w:val="20"/>
          <w:szCs w:val="22"/>
          <w:lang w:val="en-GB" w:eastAsia="ja-JP"/>
        </w:rPr>
        <w:t xml:space="preserve">the </w:t>
      </w:r>
      <w:r w:rsidRPr="00C96521">
        <w:rPr>
          <w:rFonts w:eastAsia="MS Mincho"/>
          <w:sz w:val="20"/>
          <w:szCs w:val="22"/>
          <w:lang w:val="en-GB" w:eastAsia="ja-JP"/>
        </w:rPr>
        <w:t xml:space="preserve">United Kingdom, </w:t>
      </w:r>
      <w:r w:rsidR="004006B8">
        <w:rPr>
          <w:rFonts w:eastAsia="MS Mincho"/>
          <w:sz w:val="20"/>
          <w:szCs w:val="22"/>
          <w:lang w:val="en-GB" w:eastAsia="ja-JP"/>
        </w:rPr>
        <w:t>t</w:t>
      </w:r>
      <w:r w:rsidRPr="00C96521">
        <w:rPr>
          <w:rFonts w:eastAsia="MS Mincho"/>
          <w:sz w:val="20"/>
          <w:szCs w:val="22"/>
          <w:lang w:val="en-GB" w:eastAsia="ja-JP"/>
        </w:rPr>
        <w:t>he Gambia and Senegal.</w:t>
      </w:r>
    </w:p>
    <w:p w14:paraId="5459BD1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1B75CB8"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8" w:name="_Toc478646896"/>
      <w:r w:rsidRPr="00C96521">
        <w:rPr>
          <w:rFonts w:ascii="Cambria" w:eastAsia="MS Gothic" w:hAnsi="Cambria"/>
          <w:b/>
          <w:bCs/>
          <w:color w:val="4F81BD"/>
          <w:sz w:val="20"/>
          <w:szCs w:val="22"/>
          <w:lang w:val="en-GB" w:eastAsia="ja-JP"/>
        </w:rPr>
        <w:t>Regulated use and management of the species</w:t>
      </w:r>
      <w:bookmarkEnd w:id="8"/>
    </w:p>
    <w:p w14:paraId="426CB80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FDC3BA1" w14:textId="4DF38DA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Calibri"/>
          <w:sz w:val="20"/>
          <w:szCs w:val="22"/>
          <w:lang w:val="en-GB" w:eastAsia="ja-JP"/>
        </w:rPr>
        <w:t xml:space="preserve">The </w:t>
      </w:r>
      <w:r w:rsidRPr="00C96521">
        <w:rPr>
          <w:rFonts w:eastAsia="MS Mincho"/>
          <w:i/>
          <w:sz w:val="20"/>
          <w:szCs w:val="22"/>
          <w:lang w:val="en-GB" w:eastAsia="ja-JP"/>
        </w:rPr>
        <w:t>2007-2009 Management Plan for Turtle</w:t>
      </w:r>
      <w:r w:rsidR="003A3278">
        <w:rPr>
          <w:rFonts w:eastAsia="MS Mincho"/>
          <w:i/>
          <w:sz w:val="20"/>
          <w:szCs w:val="22"/>
          <w:lang w:val="en-GB" w:eastAsia="ja-JP"/>
        </w:rPr>
        <w:t xml:space="preserve"> D</w:t>
      </w:r>
      <w:r w:rsidRPr="00C96521">
        <w:rPr>
          <w:rFonts w:eastAsia="MS Mincho"/>
          <w:i/>
          <w:sz w:val="20"/>
          <w:szCs w:val="22"/>
          <w:lang w:val="en-GB" w:eastAsia="ja-JP"/>
        </w:rPr>
        <w:t>ove</w:t>
      </w:r>
      <w:r w:rsidRPr="00C96521">
        <w:rPr>
          <w:rFonts w:eastAsia="MS Mincho"/>
          <w:sz w:val="20"/>
          <w:szCs w:val="22"/>
          <w:lang w:val="en-GB" w:eastAsia="ja-JP"/>
        </w:rPr>
        <w:t xml:space="preserve"> (Lutz 2007) was reviewed in 2014 (The N2K Group, 2014), and more recently in preparation for this Action Plan (Fisher </w:t>
      </w:r>
      <w:r w:rsidRPr="00C96521">
        <w:rPr>
          <w:rFonts w:eastAsia="MS Mincho"/>
          <w:i/>
          <w:sz w:val="20"/>
          <w:szCs w:val="22"/>
          <w:lang w:val="en-GB" w:eastAsia="ja-JP"/>
        </w:rPr>
        <w:t>et al</w:t>
      </w:r>
      <w:r w:rsidRPr="00C96521">
        <w:rPr>
          <w:rFonts w:eastAsia="MS Mincho"/>
          <w:sz w:val="20"/>
          <w:szCs w:val="22"/>
          <w:lang w:val="en-GB" w:eastAsia="ja-JP"/>
        </w:rPr>
        <w:t xml:space="preserve"> 2016b, using the methodology developed by BirdLife, Gallo-Orsi 2001). Finland, Ireland and Sweden did not implement the original Management Plan because of the very low numbers of breeding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004006B8">
        <w:rPr>
          <w:rFonts w:eastAsia="MS Mincho"/>
          <w:sz w:val="20"/>
          <w:szCs w:val="22"/>
          <w:lang w:val="en-GB" w:eastAsia="ja-JP"/>
        </w:rPr>
        <w:t>s</w:t>
      </w:r>
      <w:r w:rsidR="004006B8" w:rsidRPr="00C96521">
        <w:rPr>
          <w:rFonts w:eastAsia="MS Mincho"/>
          <w:sz w:val="20"/>
          <w:szCs w:val="22"/>
          <w:lang w:val="en-GB" w:eastAsia="ja-JP"/>
        </w:rPr>
        <w:t xml:space="preserve"> </w:t>
      </w:r>
      <w:r w:rsidRPr="00C96521">
        <w:rPr>
          <w:rFonts w:eastAsia="MS Mincho"/>
          <w:sz w:val="20"/>
          <w:szCs w:val="22"/>
          <w:lang w:val="en-GB" w:eastAsia="ja-JP"/>
        </w:rPr>
        <w:t xml:space="preserve">(in the case of Ireland, the species is a rare vagrant). </w:t>
      </w:r>
    </w:p>
    <w:p w14:paraId="1EE888F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9DA969C" w14:textId="359485A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Most Member States do not have an existing Management or Action Plan for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004006B8">
        <w:rPr>
          <w:rFonts w:eastAsia="MS Mincho"/>
          <w:sz w:val="20"/>
          <w:szCs w:val="22"/>
          <w:lang w:val="en-GB" w:eastAsia="ja-JP"/>
        </w:rPr>
        <w:t>s</w:t>
      </w:r>
      <w:r w:rsidRPr="00C96521">
        <w:rPr>
          <w:rFonts w:eastAsia="MS Mincho"/>
          <w:sz w:val="20"/>
          <w:szCs w:val="22"/>
          <w:lang w:val="en-GB" w:eastAsia="ja-JP"/>
        </w:rPr>
        <w:t xml:space="preserve">, and for many, few of the original Management Plan's actions have been implemented completely. Where significant progress has taken place, this was often through the indirect effects of other actions; conservation of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 xml:space="preserve">ove </w:t>
      </w:r>
      <w:r w:rsidRPr="00C96521">
        <w:rPr>
          <w:rFonts w:eastAsia="MS Mincho"/>
          <w:sz w:val="20"/>
          <w:szCs w:val="22"/>
          <w:lang w:val="en-GB" w:eastAsia="ja-JP"/>
        </w:rPr>
        <w:t xml:space="preserve">habitats was not the main focus of efforts. It is likely that the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 xml:space="preserve">ove </w:t>
      </w:r>
      <w:r w:rsidRPr="00C96521">
        <w:rPr>
          <w:rFonts w:eastAsia="MS Mincho"/>
          <w:sz w:val="20"/>
          <w:szCs w:val="22"/>
          <w:lang w:val="en-GB" w:eastAsia="ja-JP"/>
        </w:rPr>
        <w:t xml:space="preserve">indirectly benefits from a range of other initiatives in many countries, including: Agri-environment Schemes; promotion of organic farming; Rural Development Programmes; national legislation that protects important features, such as hedgerows and riparian galleries; management of sites for nature conservation, such as Special Protection Areas; and other species and habitat-based projects not aimed at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004006B8">
        <w:rPr>
          <w:rFonts w:eastAsia="MS Mincho"/>
          <w:sz w:val="20"/>
          <w:szCs w:val="22"/>
          <w:lang w:val="en-GB" w:eastAsia="ja-JP"/>
        </w:rPr>
        <w:t>s</w:t>
      </w:r>
      <w:r w:rsidRPr="00C96521">
        <w:rPr>
          <w:rFonts w:eastAsia="MS Mincho"/>
          <w:sz w:val="20"/>
          <w:szCs w:val="22"/>
          <w:lang w:val="en-GB" w:eastAsia="ja-JP"/>
        </w:rPr>
        <w:t xml:space="preserve">. However, other policy and development areas have continuing negative effects, such as agricultural change. </w:t>
      </w:r>
    </w:p>
    <w:p w14:paraId="31D0D1B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3091FCF" w14:textId="67D8355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Information is sparse on whether or not the actions have globally contributed to improving the status of the turtle-dove, with long-running monitoring mostly absent or not specifically targeted at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004006B8">
        <w:rPr>
          <w:rFonts w:eastAsia="MS Mincho"/>
          <w:sz w:val="20"/>
          <w:szCs w:val="22"/>
          <w:lang w:val="en-GB" w:eastAsia="ja-JP"/>
        </w:rPr>
        <w:t>s</w:t>
      </w:r>
      <w:r w:rsidRPr="00C96521">
        <w:rPr>
          <w:rFonts w:eastAsia="MS Mincho"/>
          <w:sz w:val="20"/>
          <w:szCs w:val="22"/>
          <w:lang w:val="en-GB" w:eastAsia="ja-JP"/>
        </w:rPr>
        <w:t>. There is consensus that isolated Member State activities are of insufficient scale to illicit a global-level response, and there is a need for more diagnostic research and solution testing outside of the western flyway.</w:t>
      </w:r>
    </w:p>
    <w:p w14:paraId="00161DF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B89724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key measures within the original Action Plan were:</w:t>
      </w:r>
    </w:p>
    <w:p w14:paraId="12F252A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558D88E"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Wooded farmland, hedges, and other habitats important for breeding are maintained and better protected.</w:t>
      </w:r>
    </w:p>
    <w:p w14:paraId="6C78B944"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Hunting seasons do not overlap with the breeding period (as defined in “Period of reproduction and prenuptial migration of Annex II bird species in the EU”), and hunting does not affect late breeding birds and birds during spring migration.</w:t>
      </w:r>
    </w:p>
    <w:p w14:paraId="6E68654E"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Annual bag statistics are available (where hunting is allowed).</w:t>
      </w:r>
    </w:p>
    <w:p w14:paraId="36034810"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Hunting bags information is collected from key countries outside the EU where European populations pass on migration and winter (especially Maghreb and sub-Saharan countries).</w:t>
      </w:r>
    </w:p>
    <w:p w14:paraId="36F068DA"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A predictive model is developed to help determine sustainable annual bag.</w:t>
      </w:r>
    </w:p>
    <w:p w14:paraId="3FF34145"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From the existing monitoring schemes, common guidelines for monitoring the species are agreed and used to monitor populations.</w:t>
      </w:r>
    </w:p>
    <w:p w14:paraId="721BD83E"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National ringing activities and analyses of existing ringing data to estimate mortality and identify population units are supported.</w:t>
      </w:r>
    </w:p>
    <w:p w14:paraId="3143BD1B"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Annual estimate of breeding success is provided on breeding grounds.</w:t>
      </w:r>
    </w:p>
    <w:p w14:paraId="0EBA94F2" w14:textId="77777777"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Accurate information is gathered on the breeding population size and trend in Turkey and Russia, and on numbers, distribution, and ecology of wintering populations in West Africa.</w:t>
      </w:r>
    </w:p>
    <w:p w14:paraId="26F0BD1D" w14:textId="18235B6A" w:rsidR="00C96521" w:rsidRPr="00C96521" w:rsidRDefault="00C96521" w:rsidP="00C96521">
      <w:pPr>
        <w:widowControl/>
        <w:numPr>
          <w:ilvl w:val="0"/>
          <w:numId w:val="42"/>
        </w:numPr>
        <w:tabs>
          <w:tab w:val="left" w:pos="534"/>
        </w:tabs>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 xml:space="preserve">Research on reproduction, mortality, and feeding ecology targeted at assessing which components of agricultural intensification and habitat modification have significant adverse effects, and research to determine which management is most effective, including reviews of existing pilot studies, is supported. Potential competition with </w:t>
      </w:r>
      <w:r w:rsidR="004006B8">
        <w:rPr>
          <w:rFonts w:eastAsia="MS Mincho"/>
          <w:sz w:val="20"/>
          <w:szCs w:val="22"/>
          <w:lang w:val="en-GB" w:eastAsia="ja-JP"/>
        </w:rPr>
        <w:t xml:space="preserve">the </w:t>
      </w:r>
      <w:r w:rsidRPr="00C96521">
        <w:rPr>
          <w:rFonts w:eastAsia="MS Mincho"/>
          <w:sz w:val="20"/>
          <w:szCs w:val="22"/>
          <w:lang w:val="en-GB" w:eastAsia="ja-JP"/>
        </w:rPr>
        <w:t>Collared Dove also needs to be investigated.</w:t>
      </w:r>
    </w:p>
    <w:p w14:paraId="7C93DA0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F2005E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Four short-term objectives were assessed:</w:t>
      </w:r>
    </w:p>
    <w:p w14:paraId="1A8E3938" w14:textId="77777777" w:rsidR="00C96521" w:rsidRPr="00C96521" w:rsidRDefault="00C96521" w:rsidP="00C96521">
      <w:pPr>
        <w:widowControl/>
        <w:autoSpaceDE/>
        <w:autoSpaceDN/>
        <w:adjustRightInd/>
        <w:spacing w:line="276" w:lineRule="auto"/>
        <w:ind w:left="720"/>
        <w:rPr>
          <w:rFonts w:eastAsia="MS Mincho"/>
          <w:sz w:val="20"/>
          <w:szCs w:val="22"/>
          <w:lang w:val="en-GB" w:eastAsia="ja-JP"/>
        </w:rPr>
      </w:pPr>
    </w:p>
    <w:p w14:paraId="5D35E0D3" w14:textId="7450417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Objective 1: improving management and restoration of breeding habitats (review measure 1). This was relevant to 23 Member States, with seven achieving the short-term goal, and another three with partial progress (43</w:t>
      </w:r>
      <w:bookmarkStart w:id="9" w:name="_Toc469140846"/>
      <w:r w:rsidR="004006B8">
        <w:rPr>
          <w:rFonts w:eastAsia="MS Mincho"/>
          <w:sz w:val="20"/>
          <w:szCs w:val="22"/>
          <w:lang w:val="en-GB" w:eastAsia="ja-JP"/>
        </w:rPr>
        <w:t xml:space="preserve"> per cent</w:t>
      </w:r>
      <w:r w:rsidRPr="00C96521">
        <w:rPr>
          <w:rFonts w:eastAsia="MS Mincho"/>
          <w:sz w:val="20"/>
          <w:szCs w:val="22"/>
          <w:lang w:val="en-GB" w:eastAsia="ja-JP"/>
        </w:rPr>
        <w:t xml:space="preserve"> making some positive change).</w:t>
      </w:r>
    </w:p>
    <w:p w14:paraId="76FEE36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B67D891" w14:textId="481B8D4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Objective 2: monitoring and research, including international cooperation (measures 6 to 10).</w:t>
      </w:r>
      <w:bookmarkEnd w:id="9"/>
      <w:r w:rsidRPr="00C96521">
        <w:rPr>
          <w:rFonts w:eastAsia="MS Mincho"/>
          <w:sz w:val="20"/>
          <w:szCs w:val="22"/>
          <w:lang w:val="en-GB" w:eastAsia="ja-JP"/>
        </w:rPr>
        <w:t xml:space="preserve"> Of the 25 Member States for which this objective was relevant, </w:t>
      </w:r>
      <w:r w:rsidR="004006B8">
        <w:rPr>
          <w:rFonts w:eastAsia="MS Mincho"/>
          <w:sz w:val="20"/>
          <w:szCs w:val="22"/>
          <w:lang w:val="en-GB" w:eastAsia="ja-JP"/>
        </w:rPr>
        <w:t>6</w:t>
      </w:r>
      <w:r w:rsidR="004006B8" w:rsidRPr="00C96521">
        <w:rPr>
          <w:rFonts w:eastAsia="MS Mincho"/>
          <w:sz w:val="20"/>
          <w:szCs w:val="22"/>
          <w:lang w:val="en-GB" w:eastAsia="ja-JP"/>
        </w:rPr>
        <w:t xml:space="preserve"> </w:t>
      </w:r>
      <w:r w:rsidRPr="00C96521">
        <w:rPr>
          <w:rFonts w:eastAsia="MS Mincho"/>
          <w:sz w:val="20"/>
          <w:szCs w:val="22"/>
          <w:lang w:val="en-GB" w:eastAsia="ja-JP"/>
        </w:rPr>
        <w:t>made significant progress, and another 16 some progress (88</w:t>
      </w:r>
      <w:r w:rsidR="004006B8">
        <w:rPr>
          <w:rFonts w:eastAsia="MS Mincho"/>
          <w:sz w:val="20"/>
          <w:szCs w:val="22"/>
          <w:lang w:val="en-GB" w:eastAsia="ja-JP"/>
        </w:rPr>
        <w:t xml:space="preserve"> per cent</w:t>
      </w:r>
      <w:r w:rsidRPr="00C96521">
        <w:rPr>
          <w:rFonts w:eastAsia="MS Mincho"/>
          <w:sz w:val="20"/>
          <w:szCs w:val="22"/>
          <w:lang w:val="en-GB" w:eastAsia="ja-JP"/>
        </w:rPr>
        <w:t xml:space="preserve"> making some positive change)</w:t>
      </w:r>
      <w:bookmarkStart w:id="10" w:name="_Toc469140847"/>
      <w:r w:rsidRPr="00C96521">
        <w:rPr>
          <w:rFonts w:eastAsia="MS Mincho"/>
          <w:sz w:val="20"/>
          <w:szCs w:val="22"/>
          <w:lang w:val="en-GB" w:eastAsia="ja-JP"/>
        </w:rPr>
        <w:t xml:space="preserve">. </w:t>
      </w:r>
    </w:p>
    <w:p w14:paraId="49EBF1D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BA9A3A9" w14:textId="3AC02C0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Objective 3: analysis of competition between </w:t>
      </w:r>
      <w:r w:rsidR="004006B8">
        <w:rPr>
          <w:rFonts w:eastAsia="MS Mincho"/>
          <w:sz w:val="20"/>
          <w:szCs w:val="22"/>
          <w:lang w:val="en-GB" w:eastAsia="ja-JP"/>
        </w:rPr>
        <w:t>the C</w:t>
      </w:r>
      <w:r w:rsidRPr="00C96521">
        <w:rPr>
          <w:rFonts w:eastAsia="MS Mincho"/>
          <w:sz w:val="20"/>
          <w:szCs w:val="22"/>
          <w:lang w:val="en-GB" w:eastAsia="ja-JP"/>
        </w:rPr>
        <w:t xml:space="preserve">ollared </w:t>
      </w:r>
      <w:r w:rsidR="004006B8">
        <w:rPr>
          <w:rFonts w:eastAsia="MS Mincho"/>
          <w:sz w:val="20"/>
          <w:szCs w:val="22"/>
          <w:lang w:val="en-GB" w:eastAsia="ja-JP"/>
        </w:rPr>
        <w:t>D</w:t>
      </w:r>
      <w:r w:rsidRPr="00C96521">
        <w:rPr>
          <w:rFonts w:eastAsia="MS Mincho"/>
          <w:sz w:val="20"/>
          <w:szCs w:val="22"/>
          <w:lang w:val="en-GB" w:eastAsia="ja-JP"/>
        </w:rPr>
        <w:t xml:space="preserve">ove and </w:t>
      </w:r>
      <w:r w:rsidR="004006B8">
        <w:rPr>
          <w:rFonts w:eastAsia="MS Mincho"/>
          <w:sz w:val="20"/>
          <w:szCs w:val="22"/>
          <w:lang w:val="en-GB" w:eastAsia="ja-JP"/>
        </w:rPr>
        <w:t>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Pr="00C96521">
        <w:rPr>
          <w:rFonts w:eastAsia="MS Mincho"/>
          <w:sz w:val="20"/>
          <w:szCs w:val="22"/>
          <w:lang w:val="en-GB" w:eastAsia="ja-JP"/>
        </w:rPr>
        <w:t xml:space="preserve"> (measure 10).</w:t>
      </w:r>
      <w:bookmarkEnd w:id="10"/>
      <w:r w:rsidRPr="00C96521">
        <w:rPr>
          <w:rFonts w:eastAsia="MS Mincho"/>
          <w:sz w:val="20"/>
          <w:szCs w:val="22"/>
          <w:lang w:val="en-GB" w:eastAsia="ja-JP"/>
        </w:rPr>
        <w:t xml:space="preserve"> This objective was potentially relevant for 22 countries, from which only Malta carried out significant analyses</w:t>
      </w:r>
      <w:bookmarkStart w:id="11" w:name="_Toc469140848"/>
      <w:r w:rsidRPr="00C96521">
        <w:rPr>
          <w:rFonts w:eastAsia="MS Mincho"/>
          <w:sz w:val="20"/>
          <w:szCs w:val="22"/>
          <w:lang w:val="en-GB" w:eastAsia="ja-JP"/>
        </w:rPr>
        <w:t>.</w:t>
      </w:r>
    </w:p>
    <w:p w14:paraId="35F8937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C3D1212"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Objective 4: collection of more robust data to understand the effects of hunting (measures 3 to 5).</w:t>
      </w:r>
      <w:bookmarkEnd w:id="11"/>
      <w:r w:rsidRPr="00C96521">
        <w:rPr>
          <w:rFonts w:eastAsia="MS Mincho"/>
          <w:sz w:val="20"/>
          <w:szCs w:val="22"/>
          <w:lang w:val="en-GB" w:eastAsia="ja-JP"/>
        </w:rPr>
        <w:t xml:space="preserve"> This objective was relevant only to the 10 Member States where hunting is legal (Austria, Bulgaria, Cyprus, France, Greece, Italy, Malta, Portugal, Romania, and Spain). Of these, nine collected data, but only Malta significantly fulfilled this objective.</w:t>
      </w:r>
    </w:p>
    <w:p w14:paraId="6DEB02F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BDDDA6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Two indices were used to show progress (see Fisher </w:t>
      </w:r>
      <w:r w:rsidRPr="00C96521">
        <w:rPr>
          <w:rFonts w:eastAsia="MS Mincho"/>
          <w:i/>
          <w:sz w:val="20"/>
          <w:szCs w:val="22"/>
          <w:lang w:val="en-GB" w:eastAsia="ja-JP"/>
        </w:rPr>
        <w:t xml:space="preserve">et al </w:t>
      </w:r>
      <w:r w:rsidRPr="00C96521">
        <w:rPr>
          <w:rFonts w:eastAsia="MS Mincho"/>
          <w:sz w:val="20"/>
          <w:szCs w:val="22"/>
          <w:lang w:val="en-GB" w:eastAsia="ja-JP"/>
        </w:rPr>
        <w:t>2016b) for further details on calculating the indices). The National Implementation Score (Figure 2) shows progress of each Member State towards achieving all measures, from 1 (little or no implementation) to 4 (full implementation). The Average Implementation Score (Figure 3) shows progress of each measure across all relevant Member States, from 0 (none) to 4 (full implementation).</w:t>
      </w:r>
    </w:p>
    <w:p w14:paraId="39109A6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D012EEC"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lastRenderedPageBreak/>
        <w:drawing>
          <wp:inline distT="0" distB="0" distL="0" distR="0" wp14:anchorId="28DE4D48" wp14:editId="73479C8B">
            <wp:extent cx="5918200" cy="3121598"/>
            <wp:effectExtent l="0" t="0" r="0" b="0"/>
            <wp:docPr id="4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172001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Figure 2. National Implementation Score (NIS) for each Member State (FI, EI, SE excluded as NIS not relevant), and the average score across all States.</w:t>
      </w:r>
    </w:p>
    <w:p w14:paraId="4D79F22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A4AC74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drawing>
          <wp:inline distT="0" distB="0" distL="0" distR="0" wp14:anchorId="1D4D7516" wp14:editId="3F9198BF">
            <wp:extent cx="5918200" cy="2904091"/>
            <wp:effectExtent l="0" t="0" r="0" b="0"/>
            <wp:docPr id="41"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1CC198F"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Figure 3. Average Implementation Score (AIS) for each action within the Management Plan, across all relevant Member States. All actions were Medium priority except 3 and 5 which were High (darker shaded).</w:t>
      </w:r>
    </w:p>
    <w:p w14:paraId="0DFD34D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5E167F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Overall implementation of the Management Plan was poor, with most progress made in France, Malta, and the United Kingdom, and for measures to mitigate hunting effects (avoidance of overlap of hunting and breeding seasons), to collect hunting information, and to monitor populations. There was little activity associated with predictive modelling owing to a lack of robust data, and with working outside of the EU. However, most Member States carried out some form of habitat conservation work. </w:t>
      </w:r>
    </w:p>
    <w:p w14:paraId="735F28C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4AB57C5" w14:textId="525951D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sz w:val="20"/>
          <w:szCs w:val="22"/>
          <w:lang w:val="en-GB" w:eastAsia="ja-JP"/>
        </w:rPr>
        <w:t xml:space="preserve">A limited number of the activities carried out for </w:t>
      </w:r>
      <w:r w:rsidR="004006B8">
        <w:rPr>
          <w:rFonts w:eastAsia="MS Mincho"/>
          <w:sz w:val="20"/>
          <w:szCs w:val="22"/>
          <w:lang w:val="en-GB" w:eastAsia="ja-JP"/>
        </w:rPr>
        <w:t>the T</w:t>
      </w:r>
      <w:r w:rsidR="004006B8" w:rsidRPr="00C96521">
        <w:rPr>
          <w:rFonts w:eastAsia="MS Mincho"/>
          <w:sz w:val="20"/>
          <w:szCs w:val="22"/>
          <w:lang w:val="en-GB" w:eastAsia="ja-JP"/>
        </w:rPr>
        <w:t>urtle</w:t>
      </w:r>
      <w:r w:rsidR="004006B8">
        <w:rPr>
          <w:rFonts w:eastAsia="MS Mincho"/>
          <w:sz w:val="20"/>
          <w:szCs w:val="22"/>
          <w:lang w:val="en-GB" w:eastAsia="ja-JP"/>
        </w:rPr>
        <w:t xml:space="preserve"> D</w:t>
      </w:r>
      <w:r w:rsidR="004006B8" w:rsidRPr="00C96521">
        <w:rPr>
          <w:rFonts w:eastAsia="MS Mincho"/>
          <w:sz w:val="20"/>
          <w:szCs w:val="22"/>
          <w:lang w:val="en-GB" w:eastAsia="ja-JP"/>
        </w:rPr>
        <w:t>ove</w:t>
      </w:r>
      <w:r w:rsidRPr="00C96521">
        <w:rPr>
          <w:rFonts w:eastAsia="MS Mincho"/>
          <w:sz w:val="20"/>
          <w:szCs w:val="22"/>
          <w:lang w:val="en-GB" w:eastAsia="ja-JP"/>
        </w:rPr>
        <w:t xml:space="preserve"> seem to have been triggered by the Management Plan, while most of the conservation measures were taken regardless of the Plan, under the framework of a wide range of different instruments: legislative, regulatory, planning, programmatic and financial. Many of the actions were carried out by academic institutions and NGOs, and hunting organi</w:t>
      </w:r>
      <w:r w:rsidR="004006B8">
        <w:rPr>
          <w:rFonts w:eastAsia="MS Mincho"/>
          <w:sz w:val="20"/>
          <w:szCs w:val="22"/>
          <w:lang w:val="en-GB" w:eastAsia="ja-JP"/>
        </w:rPr>
        <w:t>z</w:t>
      </w:r>
      <w:r w:rsidRPr="00C96521">
        <w:rPr>
          <w:rFonts w:eastAsia="MS Mincho"/>
          <w:sz w:val="20"/>
          <w:szCs w:val="22"/>
          <w:lang w:val="en-GB" w:eastAsia="ja-JP"/>
        </w:rPr>
        <w:t>ations contributed to implementation of some of the activities, including habitat management.</w:t>
      </w:r>
    </w:p>
    <w:p w14:paraId="5C52EA85" w14:textId="77777777" w:rsidR="00C96521" w:rsidRPr="00C96521" w:rsidRDefault="00C96521" w:rsidP="00C96521">
      <w:pPr>
        <w:widowControl/>
        <w:autoSpaceDE/>
        <w:autoSpaceDN/>
        <w:adjustRightInd/>
        <w:spacing w:line="276" w:lineRule="auto"/>
        <w:rPr>
          <w:rFonts w:eastAsia="MS Mincho"/>
          <w:sz w:val="20"/>
          <w:szCs w:val="22"/>
          <w:lang w:val="en-GB" w:eastAsia="ja-JP"/>
        </w:rPr>
        <w:sectPr w:rsidR="00C96521" w:rsidRPr="00C96521" w:rsidSect="00C96521">
          <w:headerReference w:type="even" r:id="rId32"/>
          <w:headerReference w:type="default" r:id="rId33"/>
          <w:footerReference w:type="default" r:id="rId34"/>
          <w:footerReference w:type="first" r:id="rId35"/>
          <w:pgSz w:w="11920" w:h="16840"/>
          <w:pgMar w:top="1276" w:right="1300" w:bottom="920" w:left="1300" w:header="730" w:footer="738" w:gutter="0"/>
          <w:cols w:space="720"/>
          <w:docGrid w:linePitch="299"/>
        </w:sectPr>
      </w:pPr>
    </w:p>
    <w:p w14:paraId="73FBD4DE"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12" w:name="_Toc478646897"/>
      <w:r w:rsidRPr="00C96521">
        <w:rPr>
          <w:rFonts w:eastAsia="MS Gothic"/>
          <w:b/>
          <w:bCs/>
          <w:color w:val="365F91"/>
          <w:sz w:val="32"/>
          <w:szCs w:val="28"/>
          <w:lang w:val="en-GB" w:eastAsia="ja-JP"/>
        </w:rPr>
        <w:lastRenderedPageBreak/>
        <w:t>2 - FRAMEWORK FOR ACTION</w:t>
      </w:r>
      <w:bookmarkEnd w:id="12"/>
    </w:p>
    <w:p w14:paraId="1F223FB6"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3" w:name="_Toc478646898"/>
      <w:r w:rsidRPr="00C96521">
        <w:rPr>
          <w:rFonts w:ascii="Cambria" w:eastAsia="MS Gothic" w:hAnsi="Cambria"/>
          <w:b/>
          <w:bCs/>
          <w:color w:val="4F81BD"/>
          <w:sz w:val="26"/>
          <w:szCs w:val="26"/>
          <w:lang w:val="en-GB" w:eastAsia="ja-JP"/>
        </w:rPr>
        <w:t>Goal</w:t>
      </w:r>
      <w:bookmarkEnd w:id="13"/>
    </w:p>
    <w:p w14:paraId="7FF2F4B7" w14:textId="04A31E5C" w:rsidR="00C96521" w:rsidRPr="00C96521" w:rsidRDefault="00C96521" w:rsidP="00C96521">
      <w:pPr>
        <w:widowControl/>
        <w:autoSpaceDE/>
        <w:autoSpaceDN/>
        <w:adjustRightInd/>
        <w:spacing w:before="120" w:line="276" w:lineRule="auto"/>
        <w:rPr>
          <w:rFonts w:eastAsia="MS Mincho"/>
          <w:sz w:val="20"/>
          <w:szCs w:val="22"/>
          <w:lang w:val="en-GB" w:eastAsia="ja-JP"/>
        </w:rPr>
      </w:pPr>
      <w:r w:rsidRPr="00C96521">
        <w:rPr>
          <w:rFonts w:eastAsia="MS Mincho"/>
          <w:sz w:val="20"/>
          <w:szCs w:val="22"/>
          <w:lang w:val="en-GB" w:eastAsia="ja-JP"/>
        </w:rPr>
        <w:t>To restore the European Turtle</w:t>
      </w:r>
      <w:r w:rsidR="004006B8">
        <w:rPr>
          <w:rFonts w:eastAsia="MS Mincho"/>
          <w:sz w:val="20"/>
          <w:szCs w:val="22"/>
          <w:lang w:val="en-GB" w:eastAsia="ja-JP"/>
        </w:rPr>
        <w:t xml:space="preserve"> Dov</w:t>
      </w:r>
      <w:r w:rsidRPr="00C96521">
        <w:rPr>
          <w:rFonts w:eastAsia="MS Mincho"/>
          <w:sz w:val="20"/>
          <w:szCs w:val="22"/>
          <w:lang w:val="en-GB" w:eastAsia="ja-JP"/>
        </w:rPr>
        <w:t>e (</w:t>
      </w:r>
      <w:r w:rsidRPr="00C96521">
        <w:rPr>
          <w:rFonts w:eastAsia="MS Mincho"/>
          <w:i/>
          <w:sz w:val="20"/>
          <w:szCs w:val="22"/>
          <w:lang w:val="en-GB" w:eastAsia="ja-JP"/>
        </w:rPr>
        <w:t>Streptopelia turtur</w:t>
      </w:r>
      <w:r w:rsidRPr="00C96521">
        <w:rPr>
          <w:rFonts w:eastAsia="MS Mincho"/>
          <w:sz w:val="20"/>
          <w:szCs w:val="22"/>
          <w:lang w:val="en-GB" w:eastAsia="ja-JP"/>
        </w:rPr>
        <w:t>) to a favourable population status so it can be safely removed from the threatened categories of the IUCN Red List.</w:t>
      </w:r>
    </w:p>
    <w:p w14:paraId="26A31B40"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4" w:name="_Toc478646899"/>
      <w:r w:rsidRPr="00C96521">
        <w:rPr>
          <w:rFonts w:ascii="Cambria" w:eastAsia="MS Gothic" w:hAnsi="Cambria"/>
          <w:b/>
          <w:bCs/>
          <w:color w:val="4F81BD"/>
          <w:sz w:val="26"/>
          <w:szCs w:val="26"/>
          <w:lang w:val="en-GB" w:eastAsia="ja-JP"/>
        </w:rPr>
        <w:t>High Level Objective</w:t>
      </w:r>
      <w:bookmarkEnd w:id="14"/>
    </w:p>
    <w:p w14:paraId="5A592903" w14:textId="28DE4019" w:rsidR="00C96521" w:rsidRPr="00C96521" w:rsidRDefault="00C96521" w:rsidP="00C96521">
      <w:pPr>
        <w:widowControl/>
        <w:autoSpaceDE/>
        <w:autoSpaceDN/>
        <w:adjustRightInd/>
        <w:spacing w:before="120" w:line="276" w:lineRule="auto"/>
        <w:rPr>
          <w:rFonts w:eastAsia="MS Mincho"/>
          <w:sz w:val="20"/>
          <w:szCs w:val="22"/>
          <w:lang w:val="en-GB" w:eastAsia="ja-JP"/>
        </w:rPr>
      </w:pPr>
      <w:r w:rsidRPr="00C96521">
        <w:rPr>
          <w:rFonts w:eastAsia="MS Mincho"/>
          <w:sz w:val="20"/>
          <w:szCs w:val="22"/>
          <w:lang w:val="en-GB" w:eastAsia="ja-JP"/>
        </w:rPr>
        <w:t>To halt the population decline of the European Turtle</w:t>
      </w:r>
      <w:r w:rsidR="004006B8">
        <w:rPr>
          <w:rFonts w:eastAsia="MS Mincho"/>
          <w:sz w:val="20"/>
          <w:szCs w:val="22"/>
          <w:lang w:val="en-GB" w:eastAsia="ja-JP"/>
        </w:rPr>
        <w:t xml:space="preserve"> D</w:t>
      </w:r>
      <w:r w:rsidRPr="00C96521">
        <w:rPr>
          <w:rFonts w:eastAsia="MS Mincho"/>
          <w:sz w:val="20"/>
          <w:szCs w:val="22"/>
          <w:lang w:val="en-GB" w:eastAsia="ja-JP"/>
        </w:rPr>
        <w:t>ove throughout most of its range, preparing the way for an increase in population sizes within each flyway during the period of the next version of the Action Plan.</w:t>
      </w:r>
    </w:p>
    <w:p w14:paraId="29872BDD"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5" w:name="_Toc478646900"/>
      <w:r w:rsidRPr="00C96521">
        <w:rPr>
          <w:rFonts w:ascii="Cambria" w:eastAsia="MS Gothic" w:hAnsi="Cambria"/>
          <w:b/>
          <w:bCs/>
          <w:color w:val="4F81BD"/>
          <w:sz w:val="26"/>
          <w:szCs w:val="26"/>
          <w:lang w:val="en-GB" w:eastAsia="ja-JP"/>
        </w:rPr>
        <w:t>Results and actions</w:t>
      </w:r>
      <w:bookmarkEnd w:id="15"/>
    </w:p>
    <w:p w14:paraId="41AA739C" w14:textId="77777777" w:rsidR="00C96521" w:rsidRPr="00C96521" w:rsidRDefault="00C96521" w:rsidP="00C96521">
      <w:pPr>
        <w:widowControl/>
        <w:autoSpaceDE/>
        <w:autoSpaceDN/>
        <w:adjustRightInd/>
        <w:spacing w:line="276" w:lineRule="auto"/>
        <w:rPr>
          <w:rFonts w:eastAsia="MS Mincho"/>
          <w:color w:val="FF0000"/>
          <w:sz w:val="20"/>
          <w:szCs w:val="22"/>
          <w:lang w:val="en-GB" w:eastAsia="ja-JP"/>
        </w:rPr>
      </w:pPr>
    </w:p>
    <w:p w14:paraId="4321F599" w14:textId="77777777" w:rsidR="00C96521" w:rsidRPr="00C96521" w:rsidRDefault="00C96521" w:rsidP="00C96521">
      <w:pPr>
        <w:widowControl/>
        <w:autoSpaceDE/>
        <w:autoSpaceDN/>
        <w:adjustRightInd/>
        <w:spacing w:line="276" w:lineRule="auto"/>
        <w:rPr>
          <w:rFonts w:eastAsia="MS Mincho"/>
          <w:color w:val="FF0000"/>
          <w:sz w:val="20"/>
          <w:szCs w:val="22"/>
          <w:lang w:val="en-GB" w:eastAsia="ja-JP"/>
        </w:rPr>
      </w:pPr>
      <w:r w:rsidRPr="00C96521">
        <w:rPr>
          <w:rFonts w:eastAsia="MS Mincho"/>
          <w:color w:val="FF0000"/>
          <w:sz w:val="20"/>
          <w:szCs w:val="22"/>
          <w:lang w:val="en-GB" w:eastAsia="ja-JP"/>
        </w:rPr>
        <w:t xml:space="preserve">Editors' note: any dates and values are provisional and have not been agreed.  They are inserted in </w:t>
      </w:r>
      <w:r w:rsidRPr="00C96521">
        <w:rPr>
          <w:rFonts w:eastAsia="MS Mincho"/>
          <w:i/>
          <w:color w:val="FF0000"/>
          <w:sz w:val="20"/>
          <w:szCs w:val="22"/>
          <w:lang w:val="en-GB" w:eastAsia="ja-JP"/>
        </w:rPr>
        <w:t>italics</w:t>
      </w:r>
      <w:r w:rsidRPr="00C96521">
        <w:rPr>
          <w:rFonts w:eastAsia="MS Mincho"/>
          <w:color w:val="FF0000"/>
          <w:sz w:val="20"/>
          <w:szCs w:val="22"/>
          <w:lang w:val="en-GB" w:eastAsia="ja-JP"/>
        </w:rPr>
        <w:t xml:space="preserve"> and [brackets].  Exact measures will be determined during the consultation process.</w:t>
      </w:r>
    </w:p>
    <w:p w14:paraId="08D7C4D4" w14:textId="77777777" w:rsidR="00C96521" w:rsidRPr="00C96521" w:rsidRDefault="00C96521" w:rsidP="00C96521">
      <w:pPr>
        <w:widowControl/>
        <w:autoSpaceDE/>
        <w:autoSpaceDN/>
        <w:adjustRightInd/>
        <w:spacing w:line="276" w:lineRule="auto"/>
        <w:rPr>
          <w:rFonts w:eastAsia="MS Mincho"/>
          <w:color w:val="FF0000"/>
          <w:sz w:val="20"/>
          <w:szCs w:val="22"/>
          <w:lang w:val="en-GB" w:eastAsia="ja-JP"/>
        </w:rPr>
      </w:pPr>
    </w:p>
    <w:tbl>
      <w:tblPr>
        <w:tblStyle w:val="TableGrid"/>
        <w:tblW w:w="0" w:type="auto"/>
        <w:tblLook w:val="04A0" w:firstRow="1" w:lastRow="0" w:firstColumn="1" w:lastColumn="0" w:noHBand="0" w:noVBand="1"/>
      </w:tblPr>
      <w:tblGrid>
        <w:gridCol w:w="6912"/>
        <w:gridCol w:w="1985"/>
        <w:gridCol w:w="5278"/>
      </w:tblGrid>
      <w:tr w:rsidR="00C96521" w:rsidRPr="005D4262" w14:paraId="4F7A0128" w14:textId="77777777" w:rsidTr="00C96521">
        <w:tc>
          <w:tcPr>
            <w:tcW w:w="6912" w:type="dxa"/>
            <w:shd w:val="clear" w:color="auto" w:fill="D9D9D9"/>
          </w:tcPr>
          <w:p w14:paraId="58A6AF1D"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Threat assessment</w:t>
            </w:r>
          </w:p>
        </w:tc>
        <w:tc>
          <w:tcPr>
            <w:tcW w:w="1985" w:type="dxa"/>
            <w:shd w:val="clear" w:color="auto" w:fill="D9D9D9"/>
          </w:tcPr>
          <w:p w14:paraId="0D98CAEC"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Action priority</w:t>
            </w:r>
          </w:p>
        </w:tc>
        <w:tc>
          <w:tcPr>
            <w:tcW w:w="5278" w:type="dxa"/>
            <w:shd w:val="clear" w:color="auto" w:fill="D9D9D9"/>
          </w:tcPr>
          <w:p w14:paraId="39AD7BFA"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Action timescale</w:t>
            </w:r>
          </w:p>
        </w:tc>
      </w:tr>
      <w:tr w:rsidR="00C96521" w:rsidRPr="005D4262" w14:paraId="3EFBDA0D" w14:textId="77777777" w:rsidTr="00C96521">
        <w:tc>
          <w:tcPr>
            <w:tcW w:w="6912" w:type="dxa"/>
          </w:tcPr>
          <w:p w14:paraId="168B457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Critical</w:t>
            </w:r>
            <w:r w:rsidRPr="005D4262">
              <w:rPr>
                <w:rFonts w:ascii="Arial" w:hAnsi="Arial" w:cs="Arial"/>
                <w:sz w:val="18"/>
                <w:szCs w:val="18"/>
                <w:lang w:val="en-GB"/>
              </w:rPr>
              <w:t xml:space="preserve"> - causing or likely to cause very rapid declines and/or extinction</w:t>
            </w:r>
          </w:p>
        </w:tc>
        <w:tc>
          <w:tcPr>
            <w:tcW w:w="1985" w:type="dxa"/>
          </w:tcPr>
          <w:p w14:paraId="77F55360"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Essential</w:t>
            </w:r>
          </w:p>
        </w:tc>
        <w:tc>
          <w:tcPr>
            <w:tcW w:w="5278" w:type="dxa"/>
          </w:tcPr>
          <w:p w14:paraId="198C85F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Immediate</w:t>
            </w:r>
            <w:r w:rsidRPr="005D4262">
              <w:rPr>
                <w:rFonts w:ascii="Arial" w:hAnsi="Arial" w:cs="Arial"/>
                <w:sz w:val="18"/>
                <w:szCs w:val="18"/>
                <w:lang w:val="en-GB"/>
              </w:rPr>
              <w:t xml:space="preserve"> - to commence within the next year</w:t>
            </w:r>
          </w:p>
        </w:tc>
      </w:tr>
      <w:tr w:rsidR="00C96521" w:rsidRPr="005D4262" w14:paraId="197E19AB" w14:textId="77777777" w:rsidTr="00C96521">
        <w:tc>
          <w:tcPr>
            <w:tcW w:w="6912" w:type="dxa"/>
          </w:tcPr>
          <w:p w14:paraId="5EE8FA9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High</w:t>
            </w:r>
            <w:r w:rsidRPr="005D4262">
              <w:rPr>
                <w:rFonts w:ascii="Arial" w:hAnsi="Arial" w:cs="Arial"/>
                <w:sz w:val="18"/>
                <w:szCs w:val="18"/>
                <w:lang w:val="en-GB"/>
              </w:rPr>
              <w:t xml:space="preserve"> - causing or likely to cause rapid decline leading to depletion</w:t>
            </w:r>
          </w:p>
        </w:tc>
        <w:tc>
          <w:tcPr>
            <w:tcW w:w="1985" w:type="dxa"/>
          </w:tcPr>
          <w:p w14:paraId="2AE252D7"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High</w:t>
            </w:r>
          </w:p>
        </w:tc>
        <w:tc>
          <w:tcPr>
            <w:tcW w:w="5278" w:type="dxa"/>
          </w:tcPr>
          <w:p w14:paraId="4790CFB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Short</w:t>
            </w:r>
            <w:r w:rsidRPr="005D4262">
              <w:rPr>
                <w:rFonts w:ascii="Arial" w:hAnsi="Arial" w:cs="Arial"/>
                <w:sz w:val="18"/>
                <w:szCs w:val="18"/>
                <w:lang w:val="en-GB"/>
              </w:rPr>
              <w:t xml:space="preserve"> - to commence within the next 3 years</w:t>
            </w:r>
          </w:p>
        </w:tc>
      </w:tr>
      <w:tr w:rsidR="00C96521" w:rsidRPr="005D4262" w14:paraId="575CB24B" w14:textId="77777777" w:rsidTr="00C96521">
        <w:tc>
          <w:tcPr>
            <w:tcW w:w="6912" w:type="dxa"/>
          </w:tcPr>
          <w:p w14:paraId="15AB7BB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Medium</w:t>
            </w:r>
            <w:r w:rsidRPr="005D4262">
              <w:rPr>
                <w:rFonts w:ascii="Arial" w:hAnsi="Arial" w:cs="Arial"/>
                <w:sz w:val="18"/>
                <w:szCs w:val="18"/>
                <w:lang w:val="en-GB"/>
              </w:rPr>
              <w:t xml:space="preserve"> - causing or likely to cause relatively slow, but significant, declines</w:t>
            </w:r>
          </w:p>
        </w:tc>
        <w:tc>
          <w:tcPr>
            <w:tcW w:w="1985" w:type="dxa"/>
          </w:tcPr>
          <w:p w14:paraId="6EB58646"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Medium</w:t>
            </w:r>
          </w:p>
        </w:tc>
        <w:tc>
          <w:tcPr>
            <w:tcW w:w="5278" w:type="dxa"/>
          </w:tcPr>
          <w:p w14:paraId="44ED1C1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Medium</w:t>
            </w:r>
            <w:r w:rsidRPr="005D4262">
              <w:rPr>
                <w:rFonts w:ascii="Arial" w:hAnsi="Arial" w:cs="Arial"/>
                <w:sz w:val="18"/>
                <w:szCs w:val="18"/>
                <w:lang w:val="en-GB"/>
              </w:rPr>
              <w:t xml:space="preserve"> - to commence within the next 5 years</w:t>
            </w:r>
          </w:p>
        </w:tc>
      </w:tr>
      <w:tr w:rsidR="00C96521" w:rsidRPr="005D4262" w14:paraId="1864385A" w14:textId="77777777" w:rsidTr="00C96521">
        <w:tc>
          <w:tcPr>
            <w:tcW w:w="6912" w:type="dxa"/>
          </w:tcPr>
          <w:p w14:paraId="1A30C9B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Low</w:t>
            </w:r>
            <w:r w:rsidRPr="005D4262">
              <w:rPr>
                <w:rFonts w:ascii="Arial" w:hAnsi="Arial" w:cs="Arial"/>
                <w:sz w:val="18"/>
                <w:szCs w:val="18"/>
                <w:lang w:val="en-GB"/>
              </w:rPr>
              <w:t xml:space="preserve"> - causing or likely to cause fluctuations or minimal change</w:t>
            </w:r>
          </w:p>
        </w:tc>
        <w:tc>
          <w:tcPr>
            <w:tcW w:w="1985" w:type="dxa"/>
          </w:tcPr>
          <w:p w14:paraId="5CB6CBCA" w14:textId="77777777" w:rsidR="00C96521" w:rsidRPr="005D4262" w:rsidRDefault="00C96521" w:rsidP="00C96521">
            <w:pPr>
              <w:widowControl/>
              <w:autoSpaceDE/>
              <w:autoSpaceDN/>
              <w:adjustRightInd/>
              <w:rPr>
                <w:rFonts w:ascii="Arial" w:hAnsi="Arial" w:cs="Arial"/>
                <w:b/>
                <w:sz w:val="18"/>
                <w:szCs w:val="18"/>
                <w:lang w:val="en-GB"/>
              </w:rPr>
            </w:pPr>
            <w:r w:rsidRPr="005D4262">
              <w:rPr>
                <w:rFonts w:ascii="Arial" w:hAnsi="Arial" w:cs="Arial"/>
                <w:b/>
                <w:sz w:val="18"/>
                <w:szCs w:val="18"/>
                <w:lang w:val="en-GB"/>
              </w:rPr>
              <w:t>Low</w:t>
            </w:r>
          </w:p>
        </w:tc>
        <w:tc>
          <w:tcPr>
            <w:tcW w:w="5278" w:type="dxa"/>
          </w:tcPr>
          <w:p w14:paraId="6BB4F69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Long</w:t>
            </w:r>
            <w:r w:rsidRPr="005D4262">
              <w:rPr>
                <w:rFonts w:ascii="Arial" w:hAnsi="Arial" w:cs="Arial"/>
                <w:sz w:val="18"/>
                <w:szCs w:val="18"/>
                <w:lang w:val="en-GB"/>
              </w:rPr>
              <w:t xml:space="preserve"> - to commence within the next 10 years</w:t>
            </w:r>
          </w:p>
        </w:tc>
      </w:tr>
      <w:tr w:rsidR="00C96521" w:rsidRPr="005D4262" w14:paraId="57DCCC92" w14:textId="77777777" w:rsidTr="00C96521">
        <w:tc>
          <w:tcPr>
            <w:tcW w:w="6912" w:type="dxa"/>
          </w:tcPr>
          <w:p w14:paraId="57D28B2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Local</w:t>
            </w:r>
            <w:r w:rsidRPr="005D4262">
              <w:rPr>
                <w:rFonts w:ascii="Arial" w:hAnsi="Arial" w:cs="Arial"/>
                <w:sz w:val="18"/>
                <w:szCs w:val="18"/>
                <w:lang w:val="en-GB"/>
              </w:rPr>
              <w:t xml:space="preserve"> - causing or likely to cause negligible declines in small parts of the population</w:t>
            </w:r>
          </w:p>
        </w:tc>
        <w:tc>
          <w:tcPr>
            <w:tcW w:w="1985" w:type="dxa"/>
          </w:tcPr>
          <w:p w14:paraId="4331CC7C" w14:textId="77777777" w:rsidR="00C96521" w:rsidRPr="005D4262" w:rsidRDefault="00C96521" w:rsidP="00C96521">
            <w:pPr>
              <w:widowControl/>
              <w:autoSpaceDE/>
              <w:autoSpaceDN/>
              <w:adjustRightInd/>
              <w:rPr>
                <w:rFonts w:ascii="Arial" w:hAnsi="Arial" w:cs="Arial"/>
                <w:b/>
                <w:sz w:val="18"/>
                <w:szCs w:val="18"/>
                <w:lang w:val="en-GB"/>
              </w:rPr>
            </w:pPr>
          </w:p>
        </w:tc>
        <w:tc>
          <w:tcPr>
            <w:tcW w:w="5278" w:type="dxa"/>
          </w:tcPr>
          <w:p w14:paraId="687E7F0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Ongoing</w:t>
            </w:r>
            <w:r w:rsidRPr="005D4262">
              <w:rPr>
                <w:rFonts w:ascii="Arial" w:hAnsi="Arial" w:cs="Arial"/>
                <w:sz w:val="18"/>
                <w:szCs w:val="18"/>
                <w:lang w:val="en-GB"/>
              </w:rPr>
              <w:t xml:space="preserve"> - currently implemented and should continue</w:t>
            </w:r>
          </w:p>
        </w:tc>
      </w:tr>
      <w:tr w:rsidR="00C96521" w:rsidRPr="005D4262" w14:paraId="62ADF1F0" w14:textId="77777777" w:rsidTr="00C96521">
        <w:tc>
          <w:tcPr>
            <w:tcW w:w="6912" w:type="dxa"/>
          </w:tcPr>
          <w:p w14:paraId="4CA0D56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Unknown</w:t>
            </w:r>
            <w:r w:rsidRPr="005D4262">
              <w:rPr>
                <w:rFonts w:ascii="Arial" w:hAnsi="Arial" w:cs="Arial"/>
                <w:sz w:val="18"/>
                <w:szCs w:val="18"/>
                <w:lang w:val="en-GB"/>
              </w:rPr>
              <w:t xml:space="preserve"> - likely to affect the species, but extent unknown</w:t>
            </w:r>
          </w:p>
        </w:tc>
        <w:tc>
          <w:tcPr>
            <w:tcW w:w="1985" w:type="dxa"/>
          </w:tcPr>
          <w:p w14:paraId="5126C9FF" w14:textId="77777777" w:rsidR="00C96521" w:rsidRPr="005D4262" w:rsidRDefault="00C96521" w:rsidP="00C96521">
            <w:pPr>
              <w:widowControl/>
              <w:autoSpaceDE/>
              <w:autoSpaceDN/>
              <w:adjustRightInd/>
              <w:rPr>
                <w:rFonts w:ascii="Arial" w:hAnsi="Arial" w:cs="Arial"/>
                <w:b/>
                <w:sz w:val="18"/>
                <w:szCs w:val="18"/>
                <w:lang w:val="en-GB"/>
              </w:rPr>
            </w:pPr>
          </w:p>
        </w:tc>
        <w:tc>
          <w:tcPr>
            <w:tcW w:w="5278" w:type="dxa"/>
          </w:tcPr>
          <w:p w14:paraId="58201AB8"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b/>
                <w:sz w:val="18"/>
                <w:szCs w:val="18"/>
                <w:lang w:val="en-GB"/>
              </w:rPr>
              <w:t>Completed</w:t>
            </w:r>
            <w:r w:rsidRPr="005D4262">
              <w:rPr>
                <w:rFonts w:ascii="Arial" w:hAnsi="Arial" w:cs="Arial"/>
                <w:sz w:val="18"/>
                <w:szCs w:val="18"/>
                <w:lang w:val="en-GB"/>
              </w:rPr>
              <w:t xml:space="preserve"> - completed during preparation of the Action Plan</w:t>
            </w:r>
          </w:p>
        </w:tc>
      </w:tr>
    </w:tbl>
    <w:p w14:paraId="46277002"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607"/>
        <w:gridCol w:w="3880"/>
        <w:gridCol w:w="61"/>
        <w:gridCol w:w="1880"/>
        <w:gridCol w:w="1315"/>
        <w:gridCol w:w="2355"/>
        <w:gridCol w:w="2077"/>
      </w:tblGrid>
      <w:tr w:rsidR="00C96521" w:rsidRPr="006A313E" w14:paraId="61B7BA79" w14:textId="77777777" w:rsidTr="006A313E">
        <w:trPr>
          <w:tblHeader/>
        </w:trPr>
        <w:tc>
          <w:tcPr>
            <w:tcW w:w="14175" w:type="dxa"/>
            <w:gridSpan w:val="7"/>
            <w:shd w:val="clear" w:color="auto" w:fill="BFBFBF" w:themeFill="background1" w:themeFillShade="BF"/>
          </w:tcPr>
          <w:p w14:paraId="7200E52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Objective 1: Good quality habitats, with available and accessible water and food, are maintained and increased on the breeding grounds.</w:t>
            </w:r>
          </w:p>
          <w:p w14:paraId="2764D12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Threat - Lack of one or more of the three essential requirements during the breeding season: food, water, nesting locations (Critical)</w:t>
            </w:r>
          </w:p>
        </w:tc>
      </w:tr>
      <w:tr w:rsidR="00C96521" w:rsidRPr="006A313E" w14:paraId="61649F2E" w14:textId="77777777" w:rsidTr="00C96521">
        <w:trPr>
          <w:tblHeader/>
        </w:trPr>
        <w:tc>
          <w:tcPr>
            <w:tcW w:w="2607" w:type="dxa"/>
            <w:shd w:val="clear" w:color="auto" w:fill="D9D9D9"/>
          </w:tcPr>
          <w:p w14:paraId="6079ABD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Result</w:t>
            </w:r>
          </w:p>
        </w:tc>
        <w:tc>
          <w:tcPr>
            <w:tcW w:w="3941" w:type="dxa"/>
            <w:gridSpan w:val="2"/>
            <w:shd w:val="clear" w:color="auto" w:fill="D9D9D9"/>
          </w:tcPr>
          <w:p w14:paraId="36C248E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and scope</w:t>
            </w:r>
          </w:p>
        </w:tc>
        <w:tc>
          <w:tcPr>
            <w:tcW w:w="1880" w:type="dxa"/>
            <w:shd w:val="clear" w:color="auto" w:fill="D9D9D9"/>
          </w:tcPr>
          <w:p w14:paraId="56745C3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Priority</w:t>
            </w:r>
          </w:p>
        </w:tc>
        <w:tc>
          <w:tcPr>
            <w:tcW w:w="1315" w:type="dxa"/>
            <w:shd w:val="clear" w:color="auto" w:fill="D9D9D9"/>
          </w:tcPr>
          <w:p w14:paraId="490201E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Timescale</w:t>
            </w:r>
          </w:p>
        </w:tc>
        <w:tc>
          <w:tcPr>
            <w:tcW w:w="2355" w:type="dxa"/>
            <w:shd w:val="clear" w:color="auto" w:fill="D9D9D9"/>
          </w:tcPr>
          <w:p w14:paraId="6D0F8136" w14:textId="4F88234E"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Organi</w:t>
            </w:r>
            <w:r w:rsidR="004006B8" w:rsidRPr="006A313E">
              <w:rPr>
                <w:rFonts w:ascii="Arial" w:hAnsi="Arial" w:cs="Arial"/>
                <w:sz w:val="18"/>
                <w:szCs w:val="18"/>
                <w:lang w:val="en-GB"/>
              </w:rPr>
              <w:t>z</w:t>
            </w:r>
            <w:r w:rsidRPr="006A313E">
              <w:rPr>
                <w:rFonts w:ascii="Arial" w:hAnsi="Arial" w:cs="Arial"/>
                <w:sz w:val="18"/>
                <w:szCs w:val="18"/>
                <w:lang w:val="en-GB"/>
              </w:rPr>
              <w:t>ations responsible</w:t>
            </w:r>
          </w:p>
        </w:tc>
        <w:tc>
          <w:tcPr>
            <w:tcW w:w="2077" w:type="dxa"/>
            <w:shd w:val="clear" w:color="auto" w:fill="D9D9D9"/>
          </w:tcPr>
          <w:p w14:paraId="06DCD85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Inputs required</w:t>
            </w:r>
          </w:p>
        </w:tc>
      </w:tr>
      <w:tr w:rsidR="00C96521" w:rsidRPr="006A313E" w14:paraId="43F84428" w14:textId="77777777" w:rsidTr="00C96521">
        <w:tc>
          <w:tcPr>
            <w:tcW w:w="2607" w:type="dxa"/>
          </w:tcPr>
          <w:p w14:paraId="6C3B812C" w14:textId="6E88986E"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1.1 Emergency scheme deployed to provide feeding opportunities for </w:t>
            </w:r>
            <w:r w:rsidR="004006B8" w:rsidRPr="006A313E">
              <w:rPr>
                <w:rFonts w:ascii="Arial" w:hAnsi="Arial" w:cs="Arial"/>
                <w:sz w:val="18"/>
                <w:szCs w:val="18"/>
                <w:lang w:val="en-GB"/>
              </w:rPr>
              <w:t>T</w:t>
            </w:r>
            <w:r w:rsidRPr="006A313E">
              <w:rPr>
                <w:rFonts w:ascii="Arial" w:hAnsi="Arial" w:cs="Arial"/>
                <w:sz w:val="18"/>
                <w:szCs w:val="18"/>
                <w:lang w:val="en-GB"/>
              </w:rPr>
              <w:t>urtle</w:t>
            </w:r>
            <w:r w:rsidR="004006B8" w:rsidRPr="006A313E">
              <w:rPr>
                <w:rFonts w:ascii="Arial" w:hAnsi="Arial" w:cs="Arial"/>
                <w:sz w:val="18"/>
                <w:szCs w:val="18"/>
                <w:lang w:val="en-GB"/>
              </w:rPr>
              <w:t xml:space="preserve"> D</w:t>
            </w:r>
            <w:r w:rsidRPr="006A313E">
              <w:rPr>
                <w:rFonts w:ascii="Arial" w:hAnsi="Arial" w:cs="Arial"/>
                <w:sz w:val="18"/>
                <w:szCs w:val="18"/>
                <w:lang w:val="en-GB"/>
              </w:rPr>
              <w:t>oves by [</w:t>
            </w:r>
            <w:r w:rsidRPr="006A313E">
              <w:rPr>
                <w:rFonts w:ascii="Arial" w:hAnsi="Arial" w:cs="Arial"/>
                <w:i/>
                <w:sz w:val="18"/>
                <w:szCs w:val="18"/>
                <w:lang w:val="en-GB"/>
              </w:rPr>
              <w:t>2018</w:t>
            </w:r>
            <w:r w:rsidRPr="006A313E">
              <w:rPr>
                <w:rFonts w:ascii="Arial" w:hAnsi="Arial" w:cs="Arial"/>
                <w:sz w:val="18"/>
                <w:szCs w:val="18"/>
                <w:lang w:val="en-GB"/>
              </w:rPr>
              <w:t>].</w:t>
            </w:r>
          </w:p>
        </w:tc>
        <w:tc>
          <w:tcPr>
            <w:tcW w:w="3941" w:type="dxa"/>
            <w:gridSpan w:val="2"/>
          </w:tcPr>
          <w:p w14:paraId="41D7708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1.1.1</w:t>
            </w:r>
          </w:p>
          <w:p w14:paraId="01054C3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Using existing knowledge, implement emergency feeding schemes to provide a short-term solution to food availability.</w:t>
            </w:r>
          </w:p>
          <w:p w14:paraId="43493A36" w14:textId="77777777" w:rsidR="00C96521" w:rsidRPr="006A313E" w:rsidRDefault="00C96521" w:rsidP="00C96521">
            <w:pPr>
              <w:widowControl/>
              <w:autoSpaceDE/>
              <w:autoSpaceDN/>
              <w:adjustRightInd/>
              <w:rPr>
                <w:rFonts w:ascii="Arial" w:hAnsi="Arial" w:cs="Arial"/>
                <w:sz w:val="18"/>
                <w:szCs w:val="18"/>
                <w:lang w:val="en-GB"/>
              </w:rPr>
            </w:pPr>
          </w:p>
          <w:p w14:paraId="6B4B02D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w:t>
            </w:r>
            <w:r w:rsidRPr="006A313E">
              <w:rPr>
                <w:rFonts w:ascii="Arial" w:hAnsi="Arial" w:cs="Arial"/>
                <w:i/>
                <w:sz w:val="18"/>
                <w:szCs w:val="18"/>
                <w:lang w:val="en-GB"/>
              </w:rPr>
              <w:t>Proposals for specific measures are being developed through a consultancy and will be incorporated to the second draft</w:t>
            </w:r>
            <w:r w:rsidRPr="006A313E">
              <w:rPr>
                <w:rFonts w:ascii="Arial" w:hAnsi="Arial" w:cs="Arial"/>
                <w:sz w:val="18"/>
                <w:szCs w:val="18"/>
                <w:lang w:val="en-GB"/>
              </w:rPr>
              <w:t>.]</w:t>
            </w:r>
          </w:p>
          <w:p w14:paraId="37B97DAD" w14:textId="77777777" w:rsidR="00C96521" w:rsidRPr="006A313E" w:rsidRDefault="00C96521" w:rsidP="00C96521">
            <w:pPr>
              <w:widowControl/>
              <w:autoSpaceDE/>
              <w:autoSpaceDN/>
              <w:adjustRightInd/>
              <w:rPr>
                <w:rFonts w:ascii="Arial" w:hAnsi="Arial" w:cs="Arial"/>
                <w:sz w:val="18"/>
                <w:szCs w:val="18"/>
                <w:lang w:val="en-GB"/>
              </w:rPr>
            </w:pPr>
          </w:p>
          <w:p w14:paraId="621721E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Applicable to: all EU Member States.</w:t>
            </w:r>
          </w:p>
        </w:tc>
        <w:tc>
          <w:tcPr>
            <w:tcW w:w="1880" w:type="dxa"/>
          </w:tcPr>
          <w:p w14:paraId="2C7C5C6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315" w:type="dxa"/>
          </w:tcPr>
          <w:p w14:paraId="39F1D22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Immediate</w:t>
            </w:r>
          </w:p>
        </w:tc>
        <w:tc>
          <w:tcPr>
            <w:tcW w:w="2355" w:type="dxa"/>
          </w:tcPr>
          <w:p w14:paraId="0D1904B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European Commission, national farming agencies, conservation NGOs, academic institutions</w:t>
            </w:r>
          </w:p>
        </w:tc>
        <w:tc>
          <w:tcPr>
            <w:tcW w:w="2077" w:type="dxa"/>
          </w:tcPr>
          <w:p w14:paraId="13D7417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 existing scheme results.</w:t>
            </w:r>
          </w:p>
        </w:tc>
      </w:tr>
      <w:tr w:rsidR="00C96521" w:rsidRPr="006A313E" w14:paraId="725C0950" w14:textId="77777777" w:rsidTr="00C96521">
        <w:tc>
          <w:tcPr>
            <w:tcW w:w="2607" w:type="dxa"/>
            <w:vMerge w:val="restart"/>
          </w:tcPr>
          <w:p w14:paraId="265B940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1.2 Pillar I and Pillar II of the CAP provide mechanisms to cater for the ecological requirements of the turtle-dove by [</w:t>
            </w:r>
            <w:r w:rsidRPr="006A313E">
              <w:rPr>
                <w:rFonts w:ascii="Arial" w:hAnsi="Arial" w:cs="Arial"/>
                <w:i/>
                <w:sz w:val="18"/>
                <w:szCs w:val="18"/>
                <w:lang w:val="en-GB"/>
              </w:rPr>
              <w:t>2020</w:t>
            </w:r>
            <w:r w:rsidRPr="006A313E">
              <w:rPr>
                <w:rFonts w:ascii="Arial" w:hAnsi="Arial" w:cs="Arial"/>
                <w:sz w:val="18"/>
                <w:szCs w:val="18"/>
                <w:lang w:val="en-GB"/>
              </w:rPr>
              <w:t>].</w:t>
            </w:r>
          </w:p>
        </w:tc>
        <w:tc>
          <w:tcPr>
            <w:tcW w:w="3941" w:type="dxa"/>
            <w:gridSpan w:val="2"/>
          </w:tcPr>
          <w:p w14:paraId="224A1CF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1.2.1</w:t>
            </w:r>
          </w:p>
          <w:p w14:paraId="10471751" w14:textId="3C846C90"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Screen existing Pillar I (e</w:t>
            </w:r>
            <w:r w:rsidR="004006B8" w:rsidRPr="006A313E">
              <w:rPr>
                <w:rFonts w:ascii="Arial" w:hAnsi="Arial" w:cs="Arial"/>
                <w:sz w:val="18"/>
                <w:szCs w:val="18"/>
                <w:lang w:val="en-GB"/>
              </w:rPr>
              <w:t>.</w:t>
            </w:r>
            <w:r w:rsidRPr="006A313E">
              <w:rPr>
                <w:rFonts w:ascii="Arial" w:hAnsi="Arial" w:cs="Arial"/>
                <w:sz w:val="18"/>
                <w:szCs w:val="18"/>
                <w:lang w:val="en-GB"/>
              </w:rPr>
              <w:t>g greening measures) and Pillar II (e</w:t>
            </w:r>
            <w:r w:rsidR="004006B8" w:rsidRPr="006A313E">
              <w:rPr>
                <w:rFonts w:ascii="Arial" w:hAnsi="Arial" w:cs="Arial"/>
                <w:sz w:val="18"/>
                <w:szCs w:val="18"/>
                <w:lang w:val="en-GB"/>
              </w:rPr>
              <w:t>.</w:t>
            </w:r>
            <w:r w:rsidRPr="006A313E">
              <w:rPr>
                <w:rFonts w:ascii="Arial" w:hAnsi="Arial" w:cs="Arial"/>
                <w:sz w:val="18"/>
                <w:szCs w:val="18"/>
                <w:lang w:val="en-GB"/>
              </w:rPr>
              <w:t xml:space="preserve">g agri-environment packages) to assess which elements benefit </w:t>
            </w:r>
            <w:r w:rsidR="004006B8" w:rsidRPr="006A313E">
              <w:rPr>
                <w:rFonts w:ascii="Arial" w:hAnsi="Arial" w:cs="Arial"/>
                <w:sz w:val="18"/>
                <w:szCs w:val="18"/>
                <w:lang w:val="en-GB"/>
              </w:rPr>
              <w:t>T</w:t>
            </w:r>
            <w:r w:rsidRPr="006A313E">
              <w:rPr>
                <w:rFonts w:ascii="Arial" w:hAnsi="Arial" w:cs="Arial"/>
                <w:sz w:val="18"/>
                <w:szCs w:val="18"/>
                <w:lang w:val="en-GB"/>
              </w:rPr>
              <w:t xml:space="preserve">urtle </w:t>
            </w:r>
            <w:r w:rsidR="004006B8" w:rsidRPr="006A313E">
              <w:rPr>
                <w:rFonts w:ascii="Arial" w:hAnsi="Arial" w:cs="Arial"/>
                <w:sz w:val="18"/>
                <w:szCs w:val="18"/>
                <w:lang w:val="en-GB"/>
              </w:rPr>
              <w:t>D</w:t>
            </w:r>
            <w:r w:rsidRPr="006A313E">
              <w:rPr>
                <w:rFonts w:ascii="Arial" w:hAnsi="Arial" w:cs="Arial"/>
                <w:sz w:val="18"/>
                <w:szCs w:val="18"/>
                <w:lang w:val="en-GB"/>
              </w:rPr>
              <w:t>oves and other biodiversity (such as Ecological Focus Areas, late season cutting, low input traditional meadows, margins, providing subsidies to encourage low-intensity farming) and which elements are particularly detrimental.</w:t>
            </w:r>
          </w:p>
          <w:p w14:paraId="12562624" w14:textId="77777777" w:rsidR="00C96521" w:rsidRPr="006A313E" w:rsidRDefault="00C96521" w:rsidP="00C96521">
            <w:pPr>
              <w:widowControl/>
              <w:autoSpaceDE/>
              <w:autoSpaceDN/>
              <w:adjustRightInd/>
              <w:rPr>
                <w:rFonts w:ascii="Arial" w:hAnsi="Arial" w:cs="Arial"/>
                <w:sz w:val="18"/>
                <w:szCs w:val="18"/>
                <w:lang w:val="en-GB"/>
              </w:rPr>
            </w:pPr>
          </w:p>
          <w:p w14:paraId="0E01F0E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EU Member States.</w:t>
            </w:r>
          </w:p>
        </w:tc>
        <w:tc>
          <w:tcPr>
            <w:tcW w:w="1880" w:type="dxa"/>
          </w:tcPr>
          <w:p w14:paraId="7B83556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78707D4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0E82E86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European Commission, national farming agencies, national wildlife agencies, conservation NGOs, academic institutions</w:t>
            </w:r>
          </w:p>
        </w:tc>
        <w:tc>
          <w:tcPr>
            <w:tcW w:w="2077" w:type="dxa"/>
          </w:tcPr>
          <w:p w14:paraId="4F1BA37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LIFE funding; existing studies on diet, habitat requirements, and ecology; existing scheme results; previous Management Plan.</w:t>
            </w:r>
          </w:p>
        </w:tc>
      </w:tr>
      <w:tr w:rsidR="00C96521" w:rsidRPr="006A313E" w14:paraId="67E186A6" w14:textId="77777777" w:rsidTr="00C96521">
        <w:tc>
          <w:tcPr>
            <w:tcW w:w="2607" w:type="dxa"/>
            <w:vMerge/>
          </w:tcPr>
          <w:p w14:paraId="4FDE3B85"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1B9E481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22406DFA" w14:textId="58046A18"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Develop a National Spatial Conservation Strategy for Turtle</w:t>
            </w:r>
            <w:r w:rsidR="004006B8" w:rsidRPr="006A313E">
              <w:rPr>
                <w:rFonts w:ascii="Arial" w:hAnsi="Arial" w:cs="Arial"/>
                <w:sz w:val="18"/>
                <w:szCs w:val="18"/>
                <w:lang w:val="en-GB"/>
              </w:rPr>
              <w:t xml:space="preserve"> D</w:t>
            </w:r>
            <w:r w:rsidRPr="006A313E">
              <w:rPr>
                <w:rFonts w:ascii="Arial" w:hAnsi="Arial" w:cs="Arial"/>
                <w:sz w:val="18"/>
                <w:szCs w:val="18"/>
                <w:lang w:val="en-GB"/>
              </w:rPr>
              <w:t>ove that includes technical specification for agri-environment packages, based on availability and accessibility of food, water and breeding habitat, including a "bespoke seed package".  The specification required will vary between regions.</w:t>
            </w:r>
          </w:p>
          <w:p w14:paraId="1CC7DE93" w14:textId="77777777" w:rsidR="00C96521" w:rsidRPr="006A313E" w:rsidRDefault="00C96521" w:rsidP="00C96521">
            <w:pPr>
              <w:widowControl/>
              <w:autoSpaceDE/>
              <w:autoSpaceDN/>
              <w:adjustRightInd/>
              <w:rPr>
                <w:rFonts w:ascii="Arial" w:hAnsi="Arial" w:cs="Arial"/>
                <w:sz w:val="18"/>
                <w:szCs w:val="18"/>
                <w:lang w:val="en-GB"/>
              </w:rPr>
            </w:pPr>
          </w:p>
          <w:p w14:paraId="3AB25D3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EU Member States</w:t>
            </w:r>
          </w:p>
        </w:tc>
        <w:tc>
          <w:tcPr>
            <w:tcW w:w="1880" w:type="dxa"/>
          </w:tcPr>
          <w:p w14:paraId="67AE8FB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2ECD75E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1B308E1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national farming agencies, national wildlife agencies, conservation NGOs, academic institutions</w:t>
            </w:r>
          </w:p>
        </w:tc>
        <w:tc>
          <w:tcPr>
            <w:tcW w:w="2077" w:type="dxa"/>
          </w:tcPr>
          <w:p w14:paraId="30C6B44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1.2.1</w:t>
            </w:r>
          </w:p>
          <w:p w14:paraId="520012E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7.4.1</w:t>
            </w:r>
          </w:p>
        </w:tc>
      </w:tr>
      <w:tr w:rsidR="00C96521" w:rsidRPr="006A313E" w14:paraId="22A4EC51" w14:textId="77777777" w:rsidTr="00C96521">
        <w:tc>
          <w:tcPr>
            <w:tcW w:w="2607" w:type="dxa"/>
            <w:vMerge/>
          </w:tcPr>
          <w:p w14:paraId="51F775A1"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1D688DD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1.2.3</w:t>
            </w:r>
          </w:p>
          <w:p w14:paraId="4F16173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Promotion of the turtle-dove agri-environment packages and "bespoke seed package"</w:t>
            </w:r>
          </w:p>
          <w:p w14:paraId="1D8690D3" w14:textId="77777777" w:rsidR="00C96521" w:rsidRPr="006A313E" w:rsidRDefault="00C96521" w:rsidP="00C96521">
            <w:pPr>
              <w:widowControl/>
              <w:autoSpaceDE/>
              <w:autoSpaceDN/>
              <w:adjustRightInd/>
              <w:rPr>
                <w:rFonts w:ascii="Arial" w:hAnsi="Arial" w:cs="Arial"/>
                <w:sz w:val="18"/>
                <w:szCs w:val="18"/>
                <w:lang w:val="en-GB"/>
              </w:rPr>
            </w:pPr>
          </w:p>
          <w:p w14:paraId="4E6EA65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EU Member States</w:t>
            </w:r>
          </w:p>
        </w:tc>
        <w:tc>
          <w:tcPr>
            <w:tcW w:w="1880" w:type="dxa"/>
          </w:tcPr>
          <w:p w14:paraId="05EF966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536A5FA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32E4B99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European Commission</w:t>
            </w:r>
          </w:p>
        </w:tc>
        <w:tc>
          <w:tcPr>
            <w:tcW w:w="2077" w:type="dxa"/>
          </w:tcPr>
          <w:p w14:paraId="0BB10F4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17DF53BF" w14:textId="77777777" w:rsidTr="00C96521">
        <w:tc>
          <w:tcPr>
            <w:tcW w:w="2607" w:type="dxa"/>
            <w:vMerge/>
          </w:tcPr>
          <w:p w14:paraId="2C0AB61F"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31F97CC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1.2.4</w:t>
            </w:r>
          </w:p>
          <w:p w14:paraId="4B35D7D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Influence the CAP Reform process to reduce negative incentives/polices (such as conversion of extensive grassland management, promotion of intensive land-use practices) detrimental to turtle-dove.</w:t>
            </w:r>
          </w:p>
          <w:p w14:paraId="6BA6D169" w14:textId="77777777" w:rsidR="00C96521" w:rsidRPr="006A313E" w:rsidRDefault="00C96521" w:rsidP="00C96521">
            <w:pPr>
              <w:widowControl/>
              <w:autoSpaceDE/>
              <w:autoSpaceDN/>
              <w:adjustRightInd/>
              <w:rPr>
                <w:rFonts w:ascii="Arial" w:hAnsi="Arial" w:cs="Arial"/>
                <w:sz w:val="18"/>
                <w:szCs w:val="18"/>
                <w:lang w:val="en-GB"/>
              </w:rPr>
            </w:pPr>
          </w:p>
          <w:p w14:paraId="79BC95B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EU Member States.</w:t>
            </w:r>
          </w:p>
        </w:tc>
        <w:tc>
          <w:tcPr>
            <w:tcW w:w="1880" w:type="dxa"/>
          </w:tcPr>
          <w:p w14:paraId="52C86EF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6E55B95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69B446F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w:t>
            </w:r>
            <w:r w:rsidRPr="006A313E">
              <w:rPr>
                <w:rFonts w:ascii="Arial" w:hAnsi="Arial" w:cs="Arial"/>
                <w:sz w:val="18"/>
                <w:szCs w:val="18"/>
                <w:lang w:val="en-GB"/>
              </w:rPr>
              <w:t xml:space="preserve"> academic institutions</w:t>
            </w:r>
          </w:p>
        </w:tc>
        <w:tc>
          <w:tcPr>
            <w:tcW w:w="2077" w:type="dxa"/>
          </w:tcPr>
          <w:p w14:paraId="4413AEC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1.1.1</w:t>
            </w:r>
          </w:p>
          <w:p w14:paraId="4224C67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1.2.1-1.2.2</w:t>
            </w:r>
          </w:p>
        </w:tc>
      </w:tr>
      <w:tr w:rsidR="00C96521" w:rsidRPr="006A313E" w14:paraId="0F0FE2E7" w14:textId="77777777" w:rsidTr="00C96521">
        <w:tc>
          <w:tcPr>
            <w:tcW w:w="2607" w:type="dxa"/>
            <w:vMerge w:val="restart"/>
          </w:tcPr>
          <w:p w14:paraId="6D9C91E9" w14:textId="60433F60"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1.3 National agri-environment schemes cater for ecological requirements of the European Turtle</w:t>
            </w:r>
            <w:r w:rsidR="00FC6C34" w:rsidRPr="006A313E">
              <w:rPr>
                <w:rFonts w:ascii="Arial" w:hAnsi="Arial" w:cs="Arial"/>
                <w:sz w:val="18"/>
                <w:szCs w:val="18"/>
                <w:lang w:val="en-GB"/>
              </w:rPr>
              <w:t xml:space="preserve"> D</w:t>
            </w:r>
            <w:r w:rsidRPr="006A313E">
              <w:rPr>
                <w:rFonts w:ascii="Arial" w:hAnsi="Arial" w:cs="Arial"/>
                <w:sz w:val="18"/>
                <w:szCs w:val="18"/>
                <w:lang w:val="en-GB"/>
              </w:rPr>
              <w:t>ove by [</w:t>
            </w:r>
            <w:r w:rsidRPr="006A313E">
              <w:rPr>
                <w:rFonts w:ascii="Arial" w:hAnsi="Arial" w:cs="Arial"/>
                <w:i/>
                <w:sz w:val="18"/>
                <w:szCs w:val="18"/>
                <w:lang w:val="en-GB"/>
              </w:rPr>
              <w:t>2020</w:t>
            </w:r>
            <w:r w:rsidRPr="006A313E">
              <w:rPr>
                <w:rFonts w:ascii="Arial" w:hAnsi="Arial" w:cs="Arial"/>
                <w:sz w:val="18"/>
                <w:szCs w:val="18"/>
                <w:lang w:val="en-GB"/>
              </w:rPr>
              <w:t>].</w:t>
            </w:r>
          </w:p>
        </w:tc>
        <w:tc>
          <w:tcPr>
            <w:tcW w:w="3941" w:type="dxa"/>
            <w:gridSpan w:val="2"/>
          </w:tcPr>
          <w:p w14:paraId="2A969B7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1.3.1</w:t>
            </w:r>
          </w:p>
          <w:p w14:paraId="6ED62B5E" w14:textId="29AFA415"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turtle-doves (as part of national spatial conservation strategies for </w:t>
            </w:r>
            <w:r w:rsidR="00FC6C34" w:rsidRPr="006A313E">
              <w:rPr>
                <w:rFonts w:ascii="Arial" w:hAnsi="Arial" w:cs="Arial"/>
                <w:sz w:val="18"/>
                <w:szCs w:val="18"/>
                <w:lang w:val="en-GB"/>
              </w:rPr>
              <w:lastRenderedPageBreak/>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dove) by introducing or retaining </w:t>
            </w:r>
            <w:r w:rsidRPr="006A313E">
              <w:rPr>
                <w:rFonts w:ascii="Arial" w:hAnsi="Arial" w:cs="Arial"/>
                <w:sz w:val="18"/>
                <w:szCs w:val="18"/>
                <w:u w:val="single"/>
                <w:lang w:val="en-GB"/>
              </w:rPr>
              <w:t>fallow land</w:t>
            </w:r>
            <w:r w:rsidRPr="006A313E">
              <w:rPr>
                <w:rFonts w:ascii="Arial" w:hAnsi="Arial" w:cs="Arial"/>
                <w:sz w:val="18"/>
                <w:szCs w:val="18"/>
                <w:lang w:val="en-GB"/>
              </w:rPr>
              <w:t xml:space="preserve"> in the farmed landscape.</w:t>
            </w:r>
          </w:p>
          <w:p w14:paraId="294AB5E1" w14:textId="77777777" w:rsidR="00C96521" w:rsidRPr="006A313E" w:rsidRDefault="00C96521" w:rsidP="00C96521">
            <w:pPr>
              <w:widowControl/>
              <w:autoSpaceDE/>
              <w:autoSpaceDN/>
              <w:adjustRightInd/>
              <w:rPr>
                <w:rFonts w:ascii="Arial" w:hAnsi="Arial" w:cs="Arial"/>
                <w:sz w:val="18"/>
                <w:szCs w:val="18"/>
                <w:lang w:val="en-GB"/>
              </w:rPr>
            </w:pPr>
          </w:p>
          <w:p w14:paraId="32302E9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of [</w:t>
            </w:r>
            <w:r w:rsidRPr="006A313E">
              <w:rPr>
                <w:rFonts w:ascii="Arial" w:hAnsi="Arial" w:cs="Arial"/>
                <w:i/>
                <w:sz w:val="18"/>
                <w:szCs w:val="18"/>
                <w:lang w:val="en-GB"/>
              </w:rPr>
              <w:t>x</w:t>
            </w:r>
            <w:r w:rsidRPr="006A313E">
              <w:rPr>
                <w:rFonts w:ascii="Arial" w:hAnsi="Arial" w:cs="Arial"/>
                <w:sz w:val="18"/>
                <w:szCs w:val="18"/>
                <w:lang w:val="en-GB"/>
              </w:rPr>
              <w:t>] hectares of fallow land per 10,000 hectares of agricultural landscape.</w:t>
            </w:r>
          </w:p>
          <w:p w14:paraId="7D790783" w14:textId="77777777" w:rsidR="00C96521" w:rsidRPr="006A313E" w:rsidRDefault="00C96521" w:rsidP="00C96521">
            <w:pPr>
              <w:widowControl/>
              <w:autoSpaceDE/>
              <w:autoSpaceDN/>
              <w:adjustRightInd/>
              <w:rPr>
                <w:rFonts w:ascii="Arial" w:hAnsi="Arial" w:cs="Arial"/>
                <w:sz w:val="18"/>
                <w:szCs w:val="18"/>
                <w:lang w:val="en-GB"/>
              </w:rPr>
            </w:pPr>
          </w:p>
          <w:p w14:paraId="27221B8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 in north-western Europe.</w:t>
            </w:r>
          </w:p>
        </w:tc>
        <w:tc>
          <w:tcPr>
            <w:tcW w:w="1880" w:type="dxa"/>
          </w:tcPr>
          <w:p w14:paraId="6288173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315" w:type="dxa"/>
          </w:tcPr>
          <w:p w14:paraId="19F0544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33DE0ED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w:t>
            </w:r>
            <w:r w:rsidRPr="006A313E">
              <w:rPr>
                <w:rFonts w:ascii="Arial" w:hAnsi="Arial" w:cs="Arial"/>
                <w:sz w:val="18"/>
                <w:szCs w:val="18"/>
                <w:lang w:val="en-GB"/>
              </w:rPr>
              <w:lastRenderedPageBreak/>
              <w:t>institutions, national farming agencies, national wildlife agencies</w:t>
            </w:r>
          </w:p>
          <w:p w14:paraId="68EB5EC3" w14:textId="77777777" w:rsidR="00C96521" w:rsidRPr="006A313E" w:rsidRDefault="00C96521" w:rsidP="00C96521">
            <w:pPr>
              <w:widowControl/>
              <w:autoSpaceDE/>
              <w:autoSpaceDN/>
              <w:adjustRightInd/>
              <w:rPr>
                <w:rFonts w:ascii="Arial" w:hAnsi="Arial" w:cs="Arial"/>
                <w:sz w:val="18"/>
                <w:szCs w:val="18"/>
                <w:lang w:val="en-GB"/>
              </w:rPr>
            </w:pPr>
          </w:p>
          <w:p w14:paraId="289F3BD4"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7FC6F77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Action 1.2.2</w:t>
            </w:r>
          </w:p>
        </w:tc>
      </w:tr>
      <w:tr w:rsidR="00C96521" w:rsidRPr="006A313E" w14:paraId="0144BAA2" w14:textId="77777777" w:rsidTr="00C96521">
        <w:tc>
          <w:tcPr>
            <w:tcW w:w="2607" w:type="dxa"/>
            <w:vMerge/>
          </w:tcPr>
          <w:p w14:paraId="6F806F96"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2D45CC1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1.3.2</w:t>
            </w:r>
          </w:p>
          <w:p w14:paraId="69B49A33" w14:textId="5AE73196"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 xml:space="preserve">urtle </w:t>
            </w:r>
            <w:r w:rsidR="00FC6C34" w:rsidRPr="006A313E">
              <w:rPr>
                <w:rFonts w:ascii="Arial" w:hAnsi="Arial" w:cs="Arial"/>
                <w:sz w:val="18"/>
                <w:szCs w:val="18"/>
                <w:lang w:val="en-GB"/>
              </w:rPr>
              <w:t>D</w:t>
            </w:r>
            <w:r w:rsidRPr="006A313E">
              <w:rPr>
                <w:rFonts w:ascii="Arial" w:hAnsi="Arial" w:cs="Arial"/>
                <w:sz w:val="18"/>
                <w:szCs w:val="18"/>
                <w:lang w:val="en-GB"/>
              </w:rPr>
              <w:t xml:space="preserve">oves (as part of national spatial conservation strategies for turtle-dove) by </w:t>
            </w:r>
            <w:r w:rsidRPr="006A313E">
              <w:rPr>
                <w:rFonts w:ascii="Arial" w:hAnsi="Arial" w:cs="Arial"/>
                <w:sz w:val="18"/>
                <w:szCs w:val="18"/>
                <w:u w:val="single"/>
                <w:lang w:val="en-GB"/>
              </w:rPr>
              <w:t>managing stubbles</w:t>
            </w:r>
            <w:r w:rsidRPr="006A313E">
              <w:rPr>
                <w:rFonts w:ascii="Arial" w:hAnsi="Arial" w:cs="Arial"/>
                <w:sz w:val="18"/>
                <w:szCs w:val="18"/>
                <w:lang w:val="en-GB"/>
              </w:rPr>
              <w:t>.</w:t>
            </w:r>
          </w:p>
          <w:p w14:paraId="508C87AB" w14:textId="77777777" w:rsidR="00C96521" w:rsidRPr="006A313E" w:rsidRDefault="00C96521" w:rsidP="00C96521">
            <w:pPr>
              <w:widowControl/>
              <w:autoSpaceDE/>
              <w:autoSpaceDN/>
              <w:adjustRightInd/>
              <w:rPr>
                <w:rFonts w:ascii="Arial" w:hAnsi="Arial" w:cs="Arial"/>
                <w:sz w:val="18"/>
                <w:szCs w:val="18"/>
                <w:lang w:val="en-GB"/>
              </w:rPr>
            </w:pPr>
          </w:p>
          <w:p w14:paraId="3A3D8F9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no burning or ploughing between [</w:t>
            </w:r>
            <w:r w:rsidRPr="006A313E">
              <w:rPr>
                <w:rFonts w:ascii="Arial" w:hAnsi="Arial" w:cs="Arial"/>
                <w:i/>
                <w:sz w:val="18"/>
                <w:szCs w:val="18"/>
                <w:lang w:val="en-GB"/>
              </w:rPr>
              <w:t>month</w:t>
            </w:r>
            <w:r w:rsidRPr="006A313E">
              <w:rPr>
                <w:rFonts w:ascii="Arial" w:hAnsi="Arial" w:cs="Arial"/>
                <w:sz w:val="18"/>
                <w:szCs w:val="18"/>
                <w:lang w:val="en-GB"/>
              </w:rPr>
              <w:t>] and [</w:t>
            </w:r>
            <w:r w:rsidRPr="006A313E">
              <w:rPr>
                <w:rFonts w:ascii="Arial" w:hAnsi="Arial" w:cs="Arial"/>
                <w:i/>
                <w:sz w:val="18"/>
                <w:szCs w:val="18"/>
                <w:lang w:val="en-GB"/>
              </w:rPr>
              <w:t>month</w:t>
            </w:r>
            <w:r w:rsidRPr="006A313E">
              <w:rPr>
                <w:rFonts w:ascii="Arial" w:hAnsi="Arial" w:cs="Arial"/>
                <w:sz w:val="18"/>
                <w:szCs w:val="18"/>
                <w:lang w:val="en-GB"/>
              </w:rPr>
              <w:t>].</w:t>
            </w:r>
          </w:p>
          <w:p w14:paraId="66BAD0AC" w14:textId="77777777" w:rsidR="00C96521" w:rsidRPr="006A313E" w:rsidRDefault="00C96521" w:rsidP="00C96521">
            <w:pPr>
              <w:widowControl/>
              <w:autoSpaceDE/>
              <w:autoSpaceDN/>
              <w:adjustRightInd/>
              <w:rPr>
                <w:rFonts w:ascii="Arial" w:hAnsi="Arial" w:cs="Arial"/>
                <w:sz w:val="18"/>
                <w:szCs w:val="18"/>
                <w:lang w:val="en-GB"/>
              </w:rPr>
            </w:pPr>
          </w:p>
          <w:p w14:paraId="27E44C8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 in north-western Europe.</w:t>
            </w:r>
          </w:p>
        </w:tc>
        <w:tc>
          <w:tcPr>
            <w:tcW w:w="1880" w:type="dxa"/>
          </w:tcPr>
          <w:p w14:paraId="7C57813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44044BE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73E1D18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39305A13"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0EFC548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3C554407" w14:textId="77777777" w:rsidTr="00C96521">
        <w:tc>
          <w:tcPr>
            <w:tcW w:w="2607" w:type="dxa"/>
            <w:vMerge/>
          </w:tcPr>
          <w:p w14:paraId="44B893AC"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7805F78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1.3.3</w:t>
            </w:r>
          </w:p>
          <w:p w14:paraId="17F55394" w14:textId="4C3928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 xml:space="preserve">urtle </w:t>
            </w:r>
            <w:r w:rsidR="00FC6C34" w:rsidRPr="006A313E">
              <w:rPr>
                <w:rFonts w:ascii="Arial" w:hAnsi="Arial" w:cs="Arial"/>
                <w:sz w:val="18"/>
                <w:szCs w:val="18"/>
                <w:lang w:val="en-GB"/>
              </w:rPr>
              <w:t>D</w:t>
            </w:r>
            <w:r w:rsidRPr="006A313E">
              <w:rPr>
                <w:rFonts w:ascii="Arial" w:hAnsi="Arial" w:cs="Arial"/>
                <w:sz w:val="18"/>
                <w:szCs w:val="18"/>
                <w:lang w:val="en-GB"/>
              </w:rPr>
              <w:t xml:space="preserve">oves (as part of national spatial conservation strategies for turtle-dove) by </w:t>
            </w:r>
            <w:r w:rsidRPr="006A313E">
              <w:rPr>
                <w:rFonts w:ascii="Arial" w:hAnsi="Arial" w:cs="Arial"/>
                <w:sz w:val="18"/>
                <w:szCs w:val="18"/>
                <w:u w:val="single"/>
                <w:lang w:val="en-GB"/>
              </w:rPr>
              <w:t>introducing/retaining</w:t>
            </w:r>
            <w:r w:rsidRPr="006A313E">
              <w:rPr>
                <w:rFonts w:ascii="Arial" w:hAnsi="Arial" w:cs="Arial"/>
                <w:sz w:val="18"/>
                <w:szCs w:val="18"/>
                <w:lang w:val="en-GB"/>
              </w:rPr>
              <w:t xml:space="preserve"> </w:t>
            </w:r>
            <w:r w:rsidRPr="006A313E">
              <w:rPr>
                <w:rFonts w:ascii="Arial" w:hAnsi="Arial" w:cs="Arial"/>
                <w:sz w:val="18"/>
                <w:szCs w:val="18"/>
                <w:u w:val="single"/>
                <w:lang w:val="en-GB"/>
              </w:rPr>
              <w:t>late season cutting and low-input traditional species-rich meadows</w:t>
            </w:r>
            <w:r w:rsidRPr="006A313E">
              <w:rPr>
                <w:rFonts w:ascii="Arial" w:hAnsi="Arial" w:cs="Arial"/>
                <w:sz w:val="18"/>
                <w:szCs w:val="18"/>
                <w:lang w:val="en-GB"/>
              </w:rPr>
              <w:t>.</w:t>
            </w:r>
          </w:p>
          <w:p w14:paraId="39941953" w14:textId="77777777" w:rsidR="00C96521" w:rsidRPr="006A313E" w:rsidRDefault="00C96521" w:rsidP="00C96521">
            <w:pPr>
              <w:widowControl/>
              <w:autoSpaceDE/>
              <w:autoSpaceDN/>
              <w:adjustRightInd/>
              <w:rPr>
                <w:rFonts w:ascii="Arial" w:hAnsi="Arial" w:cs="Arial"/>
                <w:sz w:val="18"/>
                <w:szCs w:val="18"/>
                <w:lang w:val="en-GB"/>
              </w:rPr>
            </w:pPr>
          </w:p>
          <w:p w14:paraId="019C66B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of [</w:t>
            </w:r>
            <w:r w:rsidRPr="006A313E">
              <w:rPr>
                <w:rFonts w:ascii="Arial" w:hAnsi="Arial" w:cs="Arial"/>
                <w:i/>
                <w:sz w:val="18"/>
                <w:szCs w:val="18"/>
                <w:lang w:val="en-GB"/>
              </w:rPr>
              <w:t>x</w:t>
            </w:r>
            <w:r w:rsidRPr="006A313E">
              <w:rPr>
                <w:rFonts w:ascii="Arial" w:hAnsi="Arial" w:cs="Arial"/>
                <w:sz w:val="18"/>
                <w:szCs w:val="18"/>
                <w:lang w:val="en-GB"/>
              </w:rPr>
              <w:t>] hectares of late-season cutting per 10,000 hectares of agricultural landscape.  No loss of existing low-input traditional species-rich meadows.</w:t>
            </w:r>
          </w:p>
          <w:p w14:paraId="681D1A9F" w14:textId="77777777" w:rsidR="00C96521" w:rsidRPr="006A313E" w:rsidRDefault="00C96521" w:rsidP="00C96521">
            <w:pPr>
              <w:widowControl/>
              <w:autoSpaceDE/>
              <w:autoSpaceDN/>
              <w:adjustRightInd/>
              <w:rPr>
                <w:rFonts w:ascii="Arial" w:hAnsi="Arial" w:cs="Arial"/>
                <w:sz w:val="18"/>
                <w:szCs w:val="18"/>
                <w:lang w:val="en-GB"/>
              </w:rPr>
            </w:pPr>
          </w:p>
          <w:p w14:paraId="3F93430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 with specific reference to Range States in the Baltic and south-eastern Europe.</w:t>
            </w:r>
          </w:p>
        </w:tc>
        <w:tc>
          <w:tcPr>
            <w:tcW w:w="1880" w:type="dxa"/>
          </w:tcPr>
          <w:p w14:paraId="0F7FD6E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3664814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48C0A2C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2131EDFC"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1383A4C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6E585A38" w14:textId="77777777" w:rsidTr="00C96521">
        <w:tc>
          <w:tcPr>
            <w:tcW w:w="2607" w:type="dxa"/>
            <w:vMerge/>
          </w:tcPr>
          <w:p w14:paraId="2E1FA34D"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0EC883E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1.3.4</w:t>
            </w:r>
          </w:p>
          <w:p w14:paraId="3D7856CF" w14:textId="7EBA8663"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w:t>
            </w:r>
            <w:r w:rsidRPr="006A313E">
              <w:rPr>
                <w:rFonts w:ascii="Arial" w:hAnsi="Arial" w:cs="Arial"/>
                <w:sz w:val="18"/>
                <w:szCs w:val="18"/>
                <w:lang w:val="en-GB"/>
              </w:rPr>
              <w:lastRenderedPageBreak/>
              <w:t xml:space="preserve">turtle-dove) by </w:t>
            </w:r>
            <w:r w:rsidRPr="006A313E">
              <w:rPr>
                <w:rFonts w:ascii="Arial" w:hAnsi="Arial" w:cs="Arial"/>
                <w:sz w:val="18"/>
                <w:szCs w:val="18"/>
                <w:u w:val="single"/>
                <w:lang w:val="en-GB"/>
              </w:rPr>
              <w:t>protection of margins through traditional farming</w:t>
            </w:r>
            <w:r w:rsidRPr="006A313E">
              <w:rPr>
                <w:rFonts w:ascii="Arial" w:hAnsi="Arial" w:cs="Arial"/>
                <w:sz w:val="18"/>
                <w:szCs w:val="18"/>
                <w:lang w:val="en-GB"/>
              </w:rPr>
              <w:t>.</w:t>
            </w:r>
          </w:p>
          <w:p w14:paraId="4CA717A5" w14:textId="77777777" w:rsidR="00C96521" w:rsidRPr="006A313E" w:rsidRDefault="00C96521" w:rsidP="00C96521">
            <w:pPr>
              <w:widowControl/>
              <w:autoSpaceDE/>
              <w:autoSpaceDN/>
              <w:adjustRightInd/>
              <w:rPr>
                <w:rFonts w:ascii="Arial" w:hAnsi="Arial" w:cs="Arial"/>
                <w:sz w:val="18"/>
                <w:szCs w:val="18"/>
                <w:lang w:val="en-GB"/>
              </w:rPr>
            </w:pPr>
          </w:p>
          <w:p w14:paraId="4142E39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metres around field edges left unploughed and suitable for grazing.</w:t>
            </w:r>
          </w:p>
          <w:p w14:paraId="3E22F399" w14:textId="77777777" w:rsidR="00C96521" w:rsidRPr="006A313E" w:rsidRDefault="00C96521" w:rsidP="00C96521">
            <w:pPr>
              <w:widowControl/>
              <w:autoSpaceDE/>
              <w:autoSpaceDN/>
              <w:adjustRightInd/>
              <w:rPr>
                <w:rFonts w:ascii="Arial" w:hAnsi="Arial" w:cs="Arial"/>
                <w:sz w:val="18"/>
                <w:szCs w:val="18"/>
                <w:lang w:val="en-GB"/>
              </w:rPr>
            </w:pPr>
          </w:p>
          <w:p w14:paraId="5DE80E3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 with specific reference to Range States in the Baltic and south-eastern Europe.</w:t>
            </w:r>
          </w:p>
        </w:tc>
        <w:tc>
          <w:tcPr>
            <w:tcW w:w="1880" w:type="dxa"/>
          </w:tcPr>
          <w:p w14:paraId="2A75774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315" w:type="dxa"/>
          </w:tcPr>
          <w:p w14:paraId="776E5DF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6018F31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w:t>
            </w:r>
            <w:r w:rsidRPr="006A313E">
              <w:rPr>
                <w:rFonts w:ascii="Arial" w:hAnsi="Arial" w:cs="Arial"/>
                <w:sz w:val="18"/>
                <w:szCs w:val="18"/>
                <w:lang w:val="en-GB"/>
              </w:rPr>
              <w:lastRenderedPageBreak/>
              <w:t>farming agencies, national wildlife agencies</w:t>
            </w:r>
          </w:p>
          <w:p w14:paraId="383302D7"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1800B62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Action 1.2.2</w:t>
            </w:r>
          </w:p>
        </w:tc>
      </w:tr>
      <w:tr w:rsidR="00C96521" w:rsidRPr="006A313E" w14:paraId="77C173AA" w14:textId="77777777" w:rsidTr="00C96521">
        <w:tc>
          <w:tcPr>
            <w:tcW w:w="2607" w:type="dxa"/>
            <w:vMerge/>
          </w:tcPr>
          <w:p w14:paraId="4E89F9B3"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1E3D1C7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1.3.5</w:t>
            </w:r>
          </w:p>
          <w:p w14:paraId="297A1CA2" w14:textId="43E1CC30"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 xml:space="preserve">urtle </w:t>
            </w:r>
            <w:r w:rsidR="00FC6C34" w:rsidRPr="006A313E">
              <w:rPr>
                <w:rFonts w:ascii="Arial" w:hAnsi="Arial" w:cs="Arial"/>
                <w:sz w:val="18"/>
                <w:szCs w:val="18"/>
                <w:lang w:val="en-GB"/>
              </w:rPr>
              <w:t>D</w:t>
            </w:r>
            <w:r w:rsidRPr="006A313E">
              <w:rPr>
                <w:rFonts w:ascii="Arial" w:hAnsi="Arial" w:cs="Arial"/>
                <w:sz w:val="18"/>
                <w:szCs w:val="18"/>
                <w:lang w:val="en-GB"/>
              </w:rPr>
              <w:t xml:space="preserve">oves (as part of national spatial conservation strategies for turtle-dove) in </w:t>
            </w:r>
            <w:r w:rsidRPr="006A313E">
              <w:rPr>
                <w:rFonts w:ascii="Arial" w:hAnsi="Arial" w:cs="Arial"/>
                <w:sz w:val="18"/>
                <w:szCs w:val="18"/>
                <w:u w:val="single"/>
                <w:lang w:val="en-GB"/>
              </w:rPr>
              <w:t>deciduous forest, woodland and woodland edge habitats</w:t>
            </w:r>
            <w:r w:rsidRPr="006A313E">
              <w:rPr>
                <w:rFonts w:ascii="Arial" w:hAnsi="Arial" w:cs="Arial"/>
                <w:sz w:val="18"/>
                <w:szCs w:val="18"/>
                <w:lang w:val="en-GB"/>
              </w:rPr>
              <w:t>.</w:t>
            </w:r>
          </w:p>
          <w:p w14:paraId="4CA9420D" w14:textId="77777777" w:rsidR="00C96521" w:rsidRPr="006A313E" w:rsidRDefault="00C96521" w:rsidP="00C96521">
            <w:pPr>
              <w:widowControl/>
              <w:autoSpaceDE/>
              <w:autoSpaceDN/>
              <w:adjustRightInd/>
              <w:rPr>
                <w:rFonts w:ascii="Arial" w:hAnsi="Arial" w:cs="Arial"/>
                <w:sz w:val="18"/>
                <w:szCs w:val="18"/>
                <w:lang w:val="en-GB"/>
              </w:rPr>
            </w:pPr>
          </w:p>
          <w:p w14:paraId="1457C65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of open or herbaceous understory.</w:t>
            </w:r>
          </w:p>
          <w:p w14:paraId="0660B460" w14:textId="77777777" w:rsidR="00C96521" w:rsidRPr="006A313E" w:rsidRDefault="00C96521" w:rsidP="00C96521">
            <w:pPr>
              <w:widowControl/>
              <w:autoSpaceDE/>
              <w:autoSpaceDN/>
              <w:adjustRightInd/>
              <w:rPr>
                <w:rFonts w:ascii="Arial" w:hAnsi="Arial" w:cs="Arial"/>
                <w:sz w:val="18"/>
                <w:szCs w:val="18"/>
                <w:lang w:val="en-GB"/>
              </w:rPr>
            </w:pPr>
          </w:p>
          <w:p w14:paraId="46F4864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880" w:type="dxa"/>
          </w:tcPr>
          <w:p w14:paraId="2DCFABC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12FED42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551DBF9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714C2BD8"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123AE07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4FAB7F2A" w14:textId="77777777" w:rsidTr="00C96521">
        <w:tc>
          <w:tcPr>
            <w:tcW w:w="2607" w:type="dxa"/>
            <w:vMerge/>
          </w:tcPr>
          <w:p w14:paraId="537F436F"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544ACAC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1.3.6</w:t>
            </w:r>
          </w:p>
          <w:p w14:paraId="5451D26A" w14:textId="6DD0534D"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turtle-dove) in </w:t>
            </w:r>
            <w:r w:rsidRPr="006A313E">
              <w:rPr>
                <w:rFonts w:ascii="Arial" w:hAnsi="Arial" w:cs="Arial"/>
                <w:sz w:val="18"/>
                <w:szCs w:val="18"/>
                <w:u w:val="single"/>
                <w:lang w:val="en-GB"/>
              </w:rPr>
              <w:t>coniferous forest, woodland and woodland edge habitats</w:t>
            </w:r>
            <w:r w:rsidRPr="006A313E">
              <w:rPr>
                <w:rFonts w:ascii="Arial" w:hAnsi="Arial" w:cs="Arial"/>
                <w:sz w:val="18"/>
                <w:szCs w:val="18"/>
                <w:lang w:val="en-GB"/>
              </w:rPr>
              <w:t>.</w:t>
            </w:r>
          </w:p>
          <w:p w14:paraId="62020718" w14:textId="77777777" w:rsidR="00C96521" w:rsidRPr="006A313E" w:rsidRDefault="00C96521" w:rsidP="00C96521">
            <w:pPr>
              <w:widowControl/>
              <w:autoSpaceDE/>
              <w:autoSpaceDN/>
              <w:adjustRightInd/>
              <w:rPr>
                <w:rFonts w:ascii="Arial" w:hAnsi="Arial" w:cs="Arial"/>
                <w:sz w:val="18"/>
                <w:szCs w:val="18"/>
                <w:lang w:val="en-GB"/>
              </w:rPr>
            </w:pPr>
          </w:p>
          <w:p w14:paraId="02D714B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of open or herbaceous understory.</w:t>
            </w:r>
          </w:p>
          <w:p w14:paraId="104260AA" w14:textId="77777777" w:rsidR="00C96521" w:rsidRPr="006A313E" w:rsidRDefault="00C96521" w:rsidP="00C96521">
            <w:pPr>
              <w:widowControl/>
              <w:autoSpaceDE/>
              <w:autoSpaceDN/>
              <w:adjustRightInd/>
              <w:rPr>
                <w:rFonts w:ascii="Arial" w:hAnsi="Arial" w:cs="Arial"/>
                <w:sz w:val="18"/>
                <w:szCs w:val="18"/>
                <w:lang w:val="en-GB"/>
              </w:rPr>
            </w:pPr>
          </w:p>
          <w:p w14:paraId="5D83055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880" w:type="dxa"/>
          </w:tcPr>
          <w:p w14:paraId="0671CD0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56D446C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28AB74E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54B11930"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29201AA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2832AB21" w14:textId="77777777" w:rsidTr="00C96521">
        <w:tc>
          <w:tcPr>
            <w:tcW w:w="2607" w:type="dxa"/>
            <w:vMerge/>
          </w:tcPr>
          <w:p w14:paraId="013A49D3" w14:textId="77777777" w:rsidR="00C96521" w:rsidRPr="006A313E" w:rsidRDefault="00C96521" w:rsidP="00C96521">
            <w:pPr>
              <w:widowControl/>
              <w:autoSpaceDE/>
              <w:autoSpaceDN/>
              <w:adjustRightInd/>
              <w:rPr>
                <w:rFonts w:ascii="Arial" w:hAnsi="Arial" w:cs="Arial"/>
                <w:sz w:val="18"/>
                <w:szCs w:val="18"/>
                <w:lang w:val="en-GB"/>
              </w:rPr>
            </w:pPr>
          </w:p>
        </w:tc>
        <w:tc>
          <w:tcPr>
            <w:tcW w:w="3941" w:type="dxa"/>
            <w:gridSpan w:val="2"/>
          </w:tcPr>
          <w:p w14:paraId="342ED5C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1.3.7</w:t>
            </w:r>
          </w:p>
          <w:p w14:paraId="03CC20FE" w14:textId="50ED7ADC"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 in </w:t>
            </w:r>
            <w:r w:rsidRPr="006A313E">
              <w:rPr>
                <w:rFonts w:ascii="Arial" w:hAnsi="Arial" w:cs="Arial"/>
                <w:sz w:val="18"/>
                <w:szCs w:val="18"/>
                <w:u w:val="single"/>
                <w:lang w:val="en-GB"/>
              </w:rPr>
              <w:t>mixed forest, woodland and woodland edge habitats</w:t>
            </w:r>
            <w:r w:rsidRPr="006A313E">
              <w:rPr>
                <w:rFonts w:ascii="Arial" w:hAnsi="Arial" w:cs="Arial"/>
                <w:sz w:val="18"/>
                <w:szCs w:val="18"/>
                <w:lang w:val="en-GB"/>
              </w:rPr>
              <w:t>.</w:t>
            </w:r>
          </w:p>
          <w:p w14:paraId="491A6C41" w14:textId="77777777" w:rsidR="00C96521" w:rsidRPr="006A313E" w:rsidRDefault="00C96521" w:rsidP="00C96521">
            <w:pPr>
              <w:widowControl/>
              <w:autoSpaceDE/>
              <w:autoSpaceDN/>
              <w:adjustRightInd/>
              <w:rPr>
                <w:rFonts w:ascii="Arial" w:hAnsi="Arial" w:cs="Arial"/>
                <w:sz w:val="18"/>
                <w:szCs w:val="18"/>
                <w:lang w:val="en-GB"/>
              </w:rPr>
            </w:pPr>
          </w:p>
          <w:p w14:paraId="15B7CFB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of open or herbaceous understory.</w:t>
            </w:r>
          </w:p>
          <w:p w14:paraId="47A9912D" w14:textId="77777777" w:rsidR="00C96521" w:rsidRPr="006A313E" w:rsidRDefault="00C96521" w:rsidP="00C96521">
            <w:pPr>
              <w:widowControl/>
              <w:autoSpaceDE/>
              <w:autoSpaceDN/>
              <w:adjustRightInd/>
              <w:rPr>
                <w:rFonts w:ascii="Arial" w:hAnsi="Arial" w:cs="Arial"/>
                <w:sz w:val="18"/>
                <w:szCs w:val="18"/>
                <w:lang w:val="en-GB"/>
              </w:rPr>
            </w:pPr>
          </w:p>
          <w:p w14:paraId="4F334D6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880" w:type="dxa"/>
          </w:tcPr>
          <w:p w14:paraId="7E2E45E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315" w:type="dxa"/>
          </w:tcPr>
          <w:p w14:paraId="503BCF8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21958BE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0125855A"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17796C0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66FEDC70" w14:textId="77777777" w:rsidTr="00C96521">
        <w:tc>
          <w:tcPr>
            <w:tcW w:w="2607" w:type="dxa"/>
            <w:vMerge w:val="restart"/>
          </w:tcPr>
          <w:p w14:paraId="3ADBDAC1"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1F64046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1.3.8</w:t>
            </w:r>
          </w:p>
          <w:p w14:paraId="5B0AB7BE" w14:textId="72DA6B95"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turtle-dove) in </w:t>
            </w:r>
            <w:r w:rsidRPr="006A313E">
              <w:rPr>
                <w:rFonts w:ascii="Arial" w:hAnsi="Arial" w:cs="Arial"/>
                <w:sz w:val="18"/>
                <w:szCs w:val="18"/>
                <w:u w:val="single"/>
                <w:lang w:val="en-GB"/>
              </w:rPr>
              <w:t>forest plantations</w:t>
            </w:r>
            <w:r w:rsidRPr="006A313E">
              <w:rPr>
                <w:rFonts w:ascii="Arial" w:hAnsi="Arial" w:cs="Arial"/>
                <w:sz w:val="18"/>
                <w:szCs w:val="18"/>
                <w:lang w:val="en-GB"/>
              </w:rPr>
              <w:t>.</w:t>
            </w:r>
          </w:p>
          <w:p w14:paraId="4537CE50" w14:textId="77777777" w:rsidR="00C96521" w:rsidRPr="006A313E" w:rsidRDefault="00C96521" w:rsidP="00C96521">
            <w:pPr>
              <w:widowControl/>
              <w:autoSpaceDE/>
              <w:autoSpaceDN/>
              <w:adjustRightInd/>
              <w:rPr>
                <w:rFonts w:ascii="Arial" w:hAnsi="Arial" w:cs="Arial"/>
                <w:sz w:val="18"/>
                <w:szCs w:val="18"/>
                <w:lang w:val="en-GB"/>
              </w:rPr>
            </w:pPr>
          </w:p>
          <w:p w14:paraId="08F2A82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of open or herbaceous understory.</w:t>
            </w:r>
          </w:p>
          <w:p w14:paraId="602AD3BC" w14:textId="77777777" w:rsidR="00C96521" w:rsidRPr="006A313E" w:rsidRDefault="00C96521" w:rsidP="00C96521">
            <w:pPr>
              <w:widowControl/>
              <w:autoSpaceDE/>
              <w:autoSpaceDN/>
              <w:adjustRightInd/>
              <w:rPr>
                <w:rFonts w:ascii="Arial" w:hAnsi="Arial" w:cs="Arial"/>
                <w:sz w:val="18"/>
                <w:szCs w:val="18"/>
                <w:lang w:val="en-GB"/>
              </w:rPr>
            </w:pPr>
          </w:p>
          <w:p w14:paraId="6609CA2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941" w:type="dxa"/>
            <w:gridSpan w:val="2"/>
          </w:tcPr>
          <w:p w14:paraId="209C575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28CF680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37D733C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p w14:paraId="55E95113" w14:textId="77777777" w:rsidR="00C96521" w:rsidRPr="006A313E" w:rsidRDefault="00C96521" w:rsidP="00C96521">
            <w:pPr>
              <w:widowControl/>
              <w:autoSpaceDE/>
              <w:autoSpaceDN/>
              <w:adjustRightInd/>
              <w:rPr>
                <w:rFonts w:ascii="Arial" w:hAnsi="Arial" w:cs="Arial"/>
                <w:b/>
                <w:sz w:val="18"/>
                <w:szCs w:val="18"/>
                <w:lang w:val="en-GB"/>
              </w:rPr>
            </w:pPr>
          </w:p>
        </w:tc>
        <w:tc>
          <w:tcPr>
            <w:tcW w:w="2077" w:type="dxa"/>
          </w:tcPr>
          <w:p w14:paraId="72D8173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0830E018" w14:textId="77777777" w:rsidTr="00C96521">
        <w:tc>
          <w:tcPr>
            <w:tcW w:w="2607" w:type="dxa"/>
            <w:vMerge/>
          </w:tcPr>
          <w:p w14:paraId="5A5B9784"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06D0933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1.3.9</w:t>
            </w:r>
          </w:p>
          <w:p w14:paraId="0AABC2C1" w14:textId="1B5CB158" w:rsidR="00C96521" w:rsidRPr="006A313E" w:rsidRDefault="00C96521" w:rsidP="00C96521">
            <w:pPr>
              <w:widowControl/>
              <w:autoSpaceDE/>
              <w:autoSpaceDN/>
              <w:adjustRightInd/>
              <w:rPr>
                <w:rFonts w:ascii="Arial" w:hAnsi="Arial" w:cs="Arial"/>
                <w:sz w:val="18"/>
                <w:szCs w:val="18"/>
                <w:u w:val="single"/>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turtle-dove) in </w:t>
            </w:r>
            <w:r w:rsidRPr="006A313E">
              <w:rPr>
                <w:rFonts w:ascii="Arial" w:hAnsi="Arial" w:cs="Arial"/>
                <w:sz w:val="18"/>
                <w:szCs w:val="18"/>
                <w:u w:val="single"/>
                <w:lang w:val="en-GB"/>
              </w:rPr>
              <w:t>orchard habitats, including olive groves.</w:t>
            </w:r>
          </w:p>
          <w:p w14:paraId="7A5B1491" w14:textId="77777777" w:rsidR="00C96521" w:rsidRPr="006A313E" w:rsidRDefault="00C96521" w:rsidP="00C96521">
            <w:pPr>
              <w:widowControl/>
              <w:autoSpaceDE/>
              <w:autoSpaceDN/>
              <w:adjustRightInd/>
              <w:rPr>
                <w:rFonts w:ascii="Arial" w:hAnsi="Arial" w:cs="Arial"/>
                <w:sz w:val="18"/>
                <w:szCs w:val="18"/>
                <w:lang w:val="en-GB"/>
              </w:rPr>
            </w:pPr>
          </w:p>
          <w:p w14:paraId="1330F03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of open or herbaceous understory.</w:t>
            </w:r>
          </w:p>
          <w:p w14:paraId="577B68D5" w14:textId="77777777" w:rsidR="00C96521" w:rsidRPr="006A313E" w:rsidRDefault="00C96521" w:rsidP="00C96521">
            <w:pPr>
              <w:widowControl/>
              <w:autoSpaceDE/>
              <w:autoSpaceDN/>
              <w:adjustRightInd/>
              <w:rPr>
                <w:rFonts w:ascii="Arial" w:hAnsi="Arial" w:cs="Arial"/>
                <w:sz w:val="18"/>
                <w:szCs w:val="18"/>
                <w:lang w:val="en-GB"/>
              </w:rPr>
            </w:pPr>
          </w:p>
          <w:p w14:paraId="347195D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 with particular focus on Range States in the Mediterranean region</w:t>
            </w:r>
          </w:p>
        </w:tc>
        <w:tc>
          <w:tcPr>
            <w:tcW w:w="1941" w:type="dxa"/>
            <w:gridSpan w:val="2"/>
          </w:tcPr>
          <w:p w14:paraId="048E002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56A8574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1328C504"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tc>
        <w:tc>
          <w:tcPr>
            <w:tcW w:w="2077" w:type="dxa"/>
          </w:tcPr>
          <w:p w14:paraId="1E1AE0D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1F65A07F" w14:textId="77777777" w:rsidTr="00C96521">
        <w:tc>
          <w:tcPr>
            <w:tcW w:w="2607" w:type="dxa"/>
            <w:vMerge/>
          </w:tcPr>
          <w:p w14:paraId="5611A47A"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7DDFB92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1.3.10</w:t>
            </w:r>
          </w:p>
          <w:p w14:paraId="0ACF0F66" w14:textId="1F27D80B"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Implement national agri-environment packages to benefit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(as part of national spatial conservation strategies for turtle-dove) to </w:t>
            </w:r>
            <w:r w:rsidRPr="006A313E">
              <w:rPr>
                <w:rFonts w:ascii="Arial" w:hAnsi="Arial" w:cs="Arial"/>
                <w:sz w:val="18"/>
                <w:szCs w:val="18"/>
                <w:u w:val="single"/>
                <w:lang w:val="en-GB"/>
              </w:rPr>
              <w:t>maintain/restore woody linear habitats</w:t>
            </w:r>
            <w:r w:rsidRPr="006A313E">
              <w:rPr>
                <w:rFonts w:ascii="Arial" w:hAnsi="Arial" w:cs="Arial"/>
                <w:sz w:val="18"/>
                <w:szCs w:val="18"/>
                <w:lang w:val="en-GB"/>
              </w:rPr>
              <w:t>.</w:t>
            </w:r>
          </w:p>
          <w:p w14:paraId="448E63D7" w14:textId="77777777" w:rsidR="00C96521" w:rsidRPr="006A313E" w:rsidRDefault="00C96521" w:rsidP="00C96521">
            <w:pPr>
              <w:widowControl/>
              <w:autoSpaceDE/>
              <w:autoSpaceDN/>
              <w:adjustRightInd/>
              <w:rPr>
                <w:rFonts w:ascii="Arial" w:hAnsi="Arial" w:cs="Arial"/>
                <w:sz w:val="18"/>
                <w:szCs w:val="18"/>
                <w:lang w:val="en-GB"/>
              </w:rPr>
            </w:pPr>
          </w:p>
          <w:p w14:paraId="25991A4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Recommended minimum [</w:t>
            </w:r>
            <w:r w:rsidRPr="006A313E">
              <w:rPr>
                <w:rFonts w:ascii="Arial" w:hAnsi="Arial" w:cs="Arial"/>
                <w:i/>
                <w:sz w:val="18"/>
                <w:szCs w:val="18"/>
                <w:lang w:val="en-GB"/>
              </w:rPr>
              <w:t>x</w:t>
            </w:r>
            <w:r w:rsidRPr="006A313E">
              <w:rPr>
                <w:rFonts w:ascii="Arial" w:hAnsi="Arial" w:cs="Arial"/>
                <w:sz w:val="18"/>
                <w:szCs w:val="18"/>
                <w:lang w:val="en-GB"/>
              </w:rPr>
              <w:t>] hectares of tree lines, arboreal hedgerows or riparian galleries, as appropriate, per 10,000 hectares of agricultural landscape.</w:t>
            </w:r>
          </w:p>
          <w:p w14:paraId="7D90FFB5" w14:textId="77777777" w:rsidR="00C96521" w:rsidRPr="006A313E" w:rsidRDefault="00C96521" w:rsidP="00C96521">
            <w:pPr>
              <w:widowControl/>
              <w:autoSpaceDE/>
              <w:autoSpaceDN/>
              <w:adjustRightInd/>
              <w:rPr>
                <w:rFonts w:ascii="Arial" w:hAnsi="Arial" w:cs="Arial"/>
                <w:sz w:val="18"/>
                <w:szCs w:val="18"/>
                <w:lang w:val="en-GB"/>
              </w:rPr>
            </w:pPr>
          </w:p>
          <w:p w14:paraId="3EAEC9A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941" w:type="dxa"/>
            <w:gridSpan w:val="2"/>
          </w:tcPr>
          <w:p w14:paraId="5279D72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315" w:type="dxa"/>
          </w:tcPr>
          <w:p w14:paraId="2740508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695D546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conservation NGOs, FACE, academic institutions, national farming agencies, national wildlife agencies</w:t>
            </w:r>
          </w:p>
        </w:tc>
        <w:tc>
          <w:tcPr>
            <w:tcW w:w="2077" w:type="dxa"/>
          </w:tcPr>
          <w:p w14:paraId="3C7CEB8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tc>
      </w:tr>
      <w:tr w:rsidR="00C96521" w:rsidRPr="006A313E" w14:paraId="4F098D60" w14:textId="77777777" w:rsidTr="00C96521">
        <w:tc>
          <w:tcPr>
            <w:tcW w:w="2607" w:type="dxa"/>
            <w:vMerge/>
          </w:tcPr>
          <w:p w14:paraId="18CAEFEC"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3C62E4A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1.3.11</w:t>
            </w:r>
          </w:p>
          <w:p w14:paraId="38EAFC84" w14:textId="597501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Lobby national governments, farming organisations and agricultural agencies to </w:t>
            </w:r>
            <w:r w:rsidRPr="006A313E">
              <w:rPr>
                <w:rFonts w:ascii="Arial" w:hAnsi="Arial" w:cs="Arial"/>
                <w:sz w:val="18"/>
                <w:szCs w:val="18"/>
                <w:lang w:val="en-GB"/>
              </w:rPr>
              <w:lastRenderedPageBreak/>
              <w:t xml:space="preserve">promote the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dove agri-environment packages.</w:t>
            </w:r>
          </w:p>
          <w:p w14:paraId="29E6149E" w14:textId="77777777" w:rsidR="00C96521" w:rsidRPr="006A313E" w:rsidRDefault="00C96521" w:rsidP="00C96521">
            <w:pPr>
              <w:widowControl/>
              <w:autoSpaceDE/>
              <w:autoSpaceDN/>
              <w:adjustRightInd/>
              <w:rPr>
                <w:rFonts w:ascii="Arial" w:hAnsi="Arial" w:cs="Arial"/>
                <w:sz w:val="18"/>
                <w:szCs w:val="18"/>
                <w:lang w:val="en-GB"/>
              </w:rPr>
            </w:pPr>
          </w:p>
          <w:p w14:paraId="7AB1C1D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941" w:type="dxa"/>
            <w:gridSpan w:val="2"/>
          </w:tcPr>
          <w:p w14:paraId="1067650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315" w:type="dxa"/>
          </w:tcPr>
          <w:p w14:paraId="699A748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65749251"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CONSERVATION NGOs, FACE</w:t>
            </w:r>
          </w:p>
        </w:tc>
        <w:tc>
          <w:tcPr>
            <w:tcW w:w="2077" w:type="dxa"/>
          </w:tcPr>
          <w:p w14:paraId="441E074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1.3.1-1.3.10</w:t>
            </w:r>
          </w:p>
        </w:tc>
      </w:tr>
      <w:tr w:rsidR="00C96521" w:rsidRPr="006A313E" w14:paraId="569CA343" w14:textId="77777777" w:rsidTr="00C96521">
        <w:tc>
          <w:tcPr>
            <w:tcW w:w="2607" w:type="dxa"/>
            <w:vMerge w:val="restart"/>
          </w:tcPr>
          <w:p w14:paraId="3C81754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1.4 Turtle-dove breeding season requirements guidelines are available to key stakeholders by [</w:t>
            </w:r>
            <w:r w:rsidRPr="006A313E">
              <w:rPr>
                <w:rFonts w:ascii="Arial" w:hAnsi="Arial" w:cs="Arial"/>
                <w:i/>
                <w:sz w:val="18"/>
                <w:szCs w:val="18"/>
                <w:lang w:val="en-GB"/>
              </w:rPr>
              <w:t>2020</w:t>
            </w:r>
            <w:r w:rsidRPr="006A313E">
              <w:rPr>
                <w:rFonts w:ascii="Arial" w:hAnsi="Arial" w:cs="Arial"/>
                <w:sz w:val="18"/>
                <w:szCs w:val="18"/>
                <w:lang w:val="en-GB"/>
              </w:rPr>
              <w:t>], and incorporated into planning by [</w:t>
            </w:r>
            <w:r w:rsidRPr="006A313E">
              <w:rPr>
                <w:rFonts w:ascii="Arial" w:hAnsi="Arial" w:cs="Arial"/>
                <w:i/>
                <w:sz w:val="18"/>
                <w:szCs w:val="18"/>
                <w:lang w:val="en-GB"/>
              </w:rPr>
              <w:t>2025</w:t>
            </w:r>
            <w:r w:rsidRPr="006A313E">
              <w:rPr>
                <w:rFonts w:ascii="Arial" w:hAnsi="Arial" w:cs="Arial"/>
                <w:sz w:val="18"/>
                <w:szCs w:val="18"/>
                <w:lang w:val="en-GB"/>
              </w:rPr>
              <w:t>].</w:t>
            </w:r>
          </w:p>
        </w:tc>
        <w:tc>
          <w:tcPr>
            <w:tcW w:w="3880" w:type="dxa"/>
          </w:tcPr>
          <w:p w14:paraId="4D7C7FE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1.4.1</w:t>
            </w:r>
          </w:p>
          <w:p w14:paraId="3C44993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roll-out guidelines on suitable management of </w:t>
            </w:r>
            <w:r w:rsidRPr="006A313E">
              <w:rPr>
                <w:rFonts w:ascii="Arial" w:hAnsi="Arial" w:cs="Arial"/>
                <w:sz w:val="18"/>
                <w:szCs w:val="18"/>
                <w:u w:val="single"/>
                <w:lang w:val="en-GB"/>
              </w:rPr>
              <w:t>understory vegetation in Mediterranean zones</w:t>
            </w:r>
            <w:r w:rsidRPr="006A313E">
              <w:rPr>
                <w:rFonts w:ascii="Arial" w:hAnsi="Arial" w:cs="Arial"/>
                <w:sz w:val="18"/>
                <w:szCs w:val="18"/>
                <w:lang w:val="en-GB"/>
              </w:rPr>
              <w:t xml:space="preserve"> (Spain, Portugal and Greece) for turtle-doves. </w:t>
            </w:r>
          </w:p>
          <w:p w14:paraId="2EB69EF6" w14:textId="77777777" w:rsidR="00C96521" w:rsidRPr="006A313E" w:rsidRDefault="00C96521" w:rsidP="00C96521">
            <w:pPr>
              <w:widowControl/>
              <w:autoSpaceDE/>
              <w:autoSpaceDN/>
              <w:adjustRightInd/>
              <w:rPr>
                <w:rFonts w:ascii="Arial" w:hAnsi="Arial" w:cs="Arial"/>
                <w:sz w:val="18"/>
                <w:szCs w:val="18"/>
                <w:lang w:val="en-GB"/>
              </w:rPr>
            </w:pPr>
          </w:p>
          <w:p w14:paraId="2EFCFDE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forest and woodland managers; water/river managers; community and local authorities; national authorities; Protected Area managers (including Ecological Focus Areas and Natura 2000 sites); military land holding managers; hunting estates; quarry managers.</w:t>
            </w:r>
          </w:p>
        </w:tc>
        <w:tc>
          <w:tcPr>
            <w:tcW w:w="1941" w:type="dxa"/>
            <w:gridSpan w:val="2"/>
          </w:tcPr>
          <w:p w14:paraId="3AA4C1F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5DB2B63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2C0440E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farming agencies, national forestry agencies, national wildlife agencies</w:t>
            </w:r>
          </w:p>
          <w:p w14:paraId="3A39D1BA"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572FAC2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w:t>
            </w:r>
          </w:p>
          <w:p w14:paraId="5AED31D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589E93E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3AFE1862" w14:textId="77777777" w:rsidTr="00C96521">
        <w:tc>
          <w:tcPr>
            <w:tcW w:w="2607" w:type="dxa"/>
            <w:vMerge/>
          </w:tcPr>
          <w:p w14:paraId="523030D5"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1DCE400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1.4.2</w:t>
            </w:r>
          </w:p>
          <w:p w14:paraId="0C7A6465" w14:textId="5573C54B"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roll-out breeding season guidelines on suitable management of </w:t>
            </w:r>
            <w:r w:rsidRPr="006A313E">
              <w:rPr>
                <w:rFonts w:ascii="Arial" w:hAnsi="Arial" w:cs="Arial"/>
                <w:sz w:val="18"/>
                <w:szCs w:val="18"/>
                <w:u w:val="single"/>
                <w:lang w:val="en-GB"/>
              </w:rPr>
              <w:t>riparian forests</w:t>
            </w:r>
            <w:r w:rsidRPr="006A313E">
              <w:rPr>
                <w:rFonts w:ascii="Arial" w:hAnsi="Arial" w:cs="Arial"/>
                <w:sz w:val="18"/>
                <w:szCs w:val="18"/>
                <w:lang w:val="en-GB"/>
              </w:rPr>
              <w:t xml:space="preserve"> for </w:t>
            </w:r>
            <w:r w:rsidR="00FC6C34" w:rsidRPr="006A313E">
              <w:rPr>
                <w:rFonts w:ascii="Arial" w:hAnsi="Arial" w:cs="Arial"/>
                <w:sz w:val="18"/>
                <w:szCs w:val="18"/>
                <w:lang w:val="en-GB"/>
              </w:rPr>
              <w:t>T</w:t>
            </w:r>
            <w:r w:rsidRPr="006A313E">
              <w:rPr>
                <w:rFonts w:ascii="Arial" w:hAnsi="Arial" w:cs="Arial"/>
                <w:sz w:val="18"/>
                <w:szCs w:val="18"/>
                <w:lang w:val="en-GB"/>
              </w:rPr>
              <w:t>urtle</w:t>
            </w:r>
            <w:r w:rsidR="00FC6C34" w:rsidRPr="006A313E">
              <w:rPr>
                <w:rFonts w:ascii="Arial" w:hAnsi="Arial" w:cs="Arial"/>
                <w:sz w:val="18"/>
                <w:szCs w:val="18"/>
                <w:lang w:val="en-GB"/>
              </w:rPr>
              <w:t xml:space="preserve"> D</w:t>
            </w:r>
            <w:r w:rsidRPr="006A313E">
              <w:rPr>
                <w:rFonts w:ascii="Arial" w:hAnsi="Arial" w:cs="Arial"/>
                <w:sz w:val="18"/>
                <w:szCs w:val="18"/>
                <w:lang w:val="en-GB"/>
              </w:rPr>
              <w:t xml:space="preserve">oves. </w:t>
            </w:r>
          </w:p>
          <w:p w14:paraId="4E6A3E19" w14:textId="77777777" w:rsidR="00C96521" w:rsidRPr="006A313E" w:rsidRDefault="00C96521" w:rsidP="00C96521">
            <w:pPr>
              <w:widowControl/>
              <w:autoSpaceDE/>
              <w:autoSpaceDN/>
              <w:adjustRightInd/>
              <w:rPr>
                <w:rFonts w:ascii="Arial" w:hAnsi="Arial" w:cs="Arial"/>
                <w:sz w:val="18"/>
                <w:szCs w:val="18"/>
                <w:lang w:val="en-GB"/>
              </w:rPr>
            </w:pPr>
          </w:p>
          <w:p w14:paraId="5CDD22E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forest and woodland managers; water/river managers; community and local authorities; national authorities; Protected Area managers (including Ecological Focus Areas and Natura 2000 sites); military land holding managers; hunting estates; quarry managers.</w:t>
            </w:r>
          </w:p>
        </w:tc>
        <w:tc>
          <w:tcPr>
            <w:tcW w:w="1941" w:type="dxa"/>
            <w:gridSpan w:val="2"/>
          </w:tcPr>
          <w:p w14:paraId="2A906E8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01EDFC6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21F7D0F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river agencies, national forestry agencies, national wildlife agencies</w:t>
            </w:r>
          </w:p>
          <w:p w14:paraId="3B1817EE"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265AD68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w:t>
            </w:r>
          </w:p>
          <w:p w14:paraId="05E50DC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3F4E542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3A0E632C" w14:textId="77777777" w:rsidTr="00C96521">
        <w:tc>
          <w:tcPr>
            <w:tcW w:w="2607" w:type="dxa"/>
            <w:vMerge/>
          </w:tcPr>
          <w:p w14:paraId="40FA2964"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5812A73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1.4.3</w:t>
            </w:r>
          </w:p>
          <w:p w14:paraId="5EA694B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roll-out breeding season guidelines for turtle-doves in </w:t>
            </w:r>
            <w:r w:rsidRPr="006A313E">
              <w:rPr>
                <w:rFonts w:ascii="Arial" w:hAnsi="Arial" w:cs="Arial"/>
                <w:sz w:val="18"/>
                <w:szCs w:val="18"/>
                <w:u w:val="single"/>
                <w:lang w:val="en-GB"/>
              </w:rPr>
              <w:t>Protected Areas</w:t>
            </w:r>
            <w:r w:rsidRPr="006A313E">
              <w:rPr>
                <w:rFonts w:ascii="Arial" w:hAnsi="Arial" w:cs="Arial"/>
                <w:sz w:val="18"/>
                <w:szCs w:val="18"/>
                <w:lang w:val="en-GB"/>
              </w:rPr>
              <w:t xml:space="preserve"> (including Ecological Focus Areas and Natura 2000 sites). </w:t>
            </w:r>
          </w:p>
          <w:p w14:paraId="37A339B8" w14:textId="77777777" w:rsidR="00C96521" w:rsidRPr="006A313E" w:rsidRDefault="00C96521" w:rsidP="00C96521">
            <w:pPr>
              <w:widowControl/>
              <w:autoSpaceDE/>
              <w:autoSpaceDN/>
              <w:adjustRightInd/>
              <w:rPr>
                <w:rFonts w:ascii="Arial" w:hAnsi="Arial" w:cs="Arial"/>
                <w:sz w:val="18"/>
                <w:szCs w:val="18"/>
                <w:lang w:val="en-GB"/>
              </w:rPr>
            </w:pPr>
          </w:p>
          <w:p w14:paraId="0BEA258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Protected Area managers (including Ecological Focus Areas and Natura 2000 sites).</w:t>
            </w:r>
          </w:p>
        </w:tc>
        <w:tc>
          <w:tcPr>
            <w:tcW w:w="1941" w:type="dxa"/>
            <w:gridSpan w:val="2"/>
          </w:tcPr>
          <w:p w14:paraId="30ADA1A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101F4AB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1B81965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Protected Area agencies, national wildlife agencies</w:t>
            </w:r>
          </w:p>
          <w:p w14:paraId="55721F63"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162AFC3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w:t>
            </w:r>
          </w:p>
          <w:p w14:paraId="0A1BCA3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672964D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27803D12" w14:textId="77777777" w:rsidTr="00C96521">
        <w:tc>
          <w:tcPr>
            <w:tcW w:w="2607" w:type="dxa"/>
            <w:vMerge/>
          </w:tcPr>
          <w:p w14:paraId="54FF6B5F"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65C6F3E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1.4.4</w:t>
            </w:r>
          </w:p>
          <w:p w14:paraId="1C88B1D4" w14:textId="52A8CEFF"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 xml:space="preserve">Develop and roll-out breeding season guidelines on suitable management for </w:t>
            </w:r>
            <w:r w:rsidR="008807BF" w:rsidRPr="006A313E">
              <w:rPr>
                <w:rFonts w:ascii="Arial" w:hAnsi="Arial" w:cs="Arial"/>
                <w:sz w:val="18"/>
                <w:szCs w:val="18"/>
                <w:lang w:val="en-GB"/>
              </w:rPr>
              <w:t>Turtle Dove</w:t>
            </w:r>
            <w:r w:rsidRPr="006A313E">
              <w:rPr>
                <w:rFonts w:ascii="Arial" w:hAnsi="Arial" w:cs="Arial"/>
                <w:sz w:val="18"/>
                <w:szCs w:val="18"/>
                <w:lang w:val="en-GB"/>
              </w:rPr>
              <w:t xml:space="preserve">s on </w:t>
            </w:r>
            <w:r w:rsidRPr="006A313E">
              <w:rPr>
                <w:rFonts w:ascii="Arial" w:hAnsi="Arial" w:cs="Arial"/>
                <w:sz w:val="18"/>
                <w:szCs w:val="18"/>
                <w:u w:val="single"/>
                <w:lang w:val="en-GB"/>
              </w:rPr>
              <w:t>military land</w:t>
            </w:r>
            <w:r w:rsidRPr="006A313E">
              <w:rPr>
                <w:rFonts w:ascii="Arial" w:hAnsi="Arial" w:cs="Arial"/>
                <w:sz w:val="18"/>
                <w:szCs w:val="18"/>
                <w:lang w:val="en-GB"/>
              </w:rPr>
              <w:t xml:space="preserve">. </w:t>
            </w:r>
          </w:p>
          <w:p w14:paraId="431AC69E" w14:textId="77777777" w:rsidR="00C96521" w:rsidRPr="006A313E" w:rsidRDefault="00C96521" w:rsidP="00C96521">
            <w:pPr>
              <w:widowControl/>
              <w:autoSpaceDE/>
              <w:autoSpaceDN/>
              <w:adjustRightInd/>
              <w:rPr>
                <w:rFonts w:ascii="Arial" w:hAnsi="Arial" w:cs="Arial"/>
                <w:sz w:val="18"/>
                <w:szCs w:val="18"/>
                <w:lang w:val="en-GB"/>
              </w:rPr>
            </w:pPr>
          </w:p>
          <w:p w14:paraId="7542628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military land holding managers.</w:t>
            </w:r>
          </w:p>
        </w:tc>
        <w:tc>
          <w:tcPr>
            <w:tcW w:w="1941" w:type="dxa"/>
            <w:gridSpan w:val="2"/>
          </w:tcPr>
          <w:p w14:paraId="0EC9D72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High</w:t>
            </w:r>
          </w:p>
        </w:tc>
        <w:tc>
          <w:tcPr>
            <w:tcW w:w="1315" w:type="dxa"/>
          </w:tcPr>
          <w:p w14:paraId="70503A1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50D1DB1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 xml:space="preserve">CONSERVATION NGOs, FACE, ACADEMIC </w:t>
            </w:r>
            <w:r w:rsidRPr="006A313E">
              <w:rPr>
                <w:rFonts w:ascii="Arial" w:hAnsi="Arial" w:cs="Arial"/>
                <w:b/>
                <w:sz w:val="18"/>
                <w:szCs w:val="18"/>
                <w:lang w:val="en-GB"/>
              </w:rPr>
              <w:lastRenderedPageBreak/>
              <w:t>INSTITUTIONS,</w:t>
            </w:r>
            <w:r w:rsidRPr="006A313E">
              <w:rPr>
                <w:rFonts w:ascii="Arial" w:hAnsi="Arial" w:cs="Arial"/>
                <w:sz w:val="18"/>
                <w:szCs w:val="18"/>
                <w:lang w:val="en-GB"/>
              </w:rPr>
              <w:t xml:space="preserve"> national wildlife agencies, military</w:t>
            </w:r>
          </w:p>
          <w:p w14:paraId="1DCF3E67"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3299B39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 xml:space="preserve">Existing studies on diet, habitat </w:t>
            </w:r>
            <w:r w:rsidRPr="006A313E">
              <w:rPr>
                <w:rFonts w:ascii="Arial" w:hAnsi="Arial" w:cs="Arial"/>
                <w:sz w:val="18"/>
                <w:szCs w:val="18"/>
                <w:lang w:val="en-GB"/>
              </w:rPr>
              <w:lastRenderedPageBreak/>
              <w:t>requirements, and ecology.</w:t>
            </w:r>
          </w:p>
          <w:p w14:paraId="4D8C385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175B600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446AAF74" w14:textId="77777777" w:rsidTr="00C96521">
        <w:tc>
          <w:tcPr>
            <w:tcW w:w="2607" w:type="dxa"/>
            <w:vMerge/>
          </w:tcPr>
          <w:p w14:paraId="7DB3A26B"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6F6ADCA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1.4.5</w:t>
            </w:r>
          </w:p>
          <w:p w14:paraId="719EECC5" w14:textId="2C13DFC1"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roll-out breeding season guidelines for </w:t>
            </w:r>
            <w:r w:rsidR="00DC6B90" w:rsidRPr="006A313E">
              <w:rPr>
                <w:rFonts w:ascii="Arial" w:hAnsi="Arial" w:cs="Arial"/>
                <w:sz w:val="18"/>
                <w:szCs w:val="18"/>
                <w:lang w:val="en-GB"/>
              </w:rPr>
              <w:t>T</w:t>
            </w:r>
            <w:r w:rsidRPr="006A313E">
              <w:rPr>
                <w:rFonts w:ascii="Arial" w:hAnsi="Arial" w:cs="Arial"/>
                <w:sz w:val="18"/>
                <w:szCs w:val="18"/>
                <w:lang w:val="en-GB"/>
              </w:rPr>
              <w:t>urtle</w:t>
            </w:r>
            <w:r w:rsidR="00DC6B90" w:rsidRPr="006A313E">
              <w:rPr>
                <w:rFonts w:ascii="Arial" w:hAnsi="Arial" w:cs="Arial"/>
                <w:sz w:val="18"/>
                <w:szCs w:val="18"/>
                <w:lang w:val="en-GB"/>
              </w:rPr>
              <w:t xml:space="preserve"> D</w:t>
            </w:r>
            <w:r w:rsidRPr="006A313E">
              <w:rPr>
                <w:rFonts w:ascii="Arial" w:hAnsi="Arial" w:cs="Arial"/>
                <w:sz w:val="18"/>
                <w:szCs w:val="18"/>
                <w:lang w:val="en-GB"/>
              </w:rPr>
              <w:t xml:space="preserve">oves on </w:t>
            </w:r>
            <w:r w:rsidRPr="006A313E">
              <w:rPr>
                <w:rFonts w:ascii="Arial" w:hAnsi="Arial" w:cs="Arial"/>
                <w:sz w:val="18"/>
                <w:szCs w:val="18"/>
                <w:u w:val="single"/>
                <w:lang w:val="en-GB"/>
              </w:rPr>
              <w:t>hunting estates</w:t>
            </w:r>
            <w:r w:rsidRPr="006A313E">
              <w:rPr>
                <w:rFonts w:ascii="Arial" w:hAnsi="Arial" w:cs="Arial"/>
                <w:sz w:val="18"/>
                <w:szCs w:val="18"/>
                <w:lang w:val="en-GB"/>
              </w:rPr>
              <w:t xml:space="preserve">. </w:t>
            </w:r>
          </w:p>
          <w:p w14:paraId="78EE2B23" w14:textId="77777777" w:rsidR="00C96521" w:rsidRPr="006A313E" w:rsidRDefault="00C96521" w:rsidP="00C96521">
            <w:pPr>
              <w:widowControl/>
              <w:autoSpaceDE/>
              <w:autoSpaceDN/>
              <w:adjustRightInd/>
              <w:rPr>
                <w:rFonts w:ascii="Arial" w:hAnsi="Arial" w:cs="Arial"/>
                <w:sz w:val="18"/>
                <w:szCs w:val="18"/>
                <w:lang w:val="en-GB"/>
              </w:rPr>
            </w:pPr>
          </w:p>
          <w:p w14:paraId="63F9DB5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hunting estates.</w:t>
            </w:r>
          </w:p>
        </w:tc>
        <w:tc>
          <w:tcPr>
            <w:tcW w:w="1941" w:type="dxa"/>
            <w:gridSpan w:val="2"/>
          </w:tcPr>
          <w:p w14:paraId="0361968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51D818F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6A42EC2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FACE, CONSERVATION NGOs, ACADEMIC INSTITUTIONS,</w:t>
            </w:r>
            <w:r w:rsidRPr="006A313E">
              <w:rPr>
                <w:rFonts w:ascii="Arial" w:hAnsi="Arial" w:cs="Arial"/>
                <w:sz w:val="18"/>
                <w:szCs w:val="18"/>
                <w:lang w:val="en-GB"/>
              </w:rPr>
              <w:t xml:space="preserve"> national hunting agencies, national wildlife agencies</w:t>
            </w:r>
          </w:p>
        </w:tc>
        <w:tc>
          <w:tcPr>
            <w:tcW w:w="2077" w:type="dxa"/>
          </w:tcPr>
          <w:p w14:paraId="246BBE3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w:t>
            </w:r>
          </w:p>
          <w:p w14:paraId="546CF01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724461D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5676882B" w14:textId="77777777" w:rsidTr="00C96521">
        <w:tc>
          <w:tcPr>
            <w:tcW w:w="2607" w:type="dxa"/>
            <w:vMerge/>
          </w:tcPr>
          <w:p w14:paraId="4BD9C517"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7C6AD5E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1.4.6</w:t>
            </w:r>
          </w:p>
          <w:p w14:paraId="299DC562" w14:textId="6E125163"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roll-out breeding season guidelines for </w:t>
            </w:r>
            <w:r w:rsidR="00DC6B90" w:rsidRPr="006A313E">
              <w:rPr>
                <w:rFonts w:ascii="Arial" w:hAnsi="Arial" w:cs="Arial"/>
                <w:sz w:val="18"/>
                <w:szCs w:val="18"/>
                <w:lang w:val="en-GB"/>
              </w:rPr>
              <w:t>T</w:t>
            </w:r>
            <w:r w:rsidRPr="006A313E">
              <w:rPr>
                <w:rFonts w:ascii="Arial" w:hAnsi="Arial" w:cs="Arial"/>
                <w:sz w:val="18"/>
                <w:szCs w:val="18"/>
                <w:lang w:val="en-GB"/>
              </w:rPr>
              <w:t>urtle</w:t>
            </w:r>
            <w:r w:rsidR="00DC6B90" w:rsidRPr="006A313E">
              <w:rPr>
                <w:rFonts w:ascii="Arial" w:hAnsi="Arial" w:cs="Arial"/>
                <w:sz w:val="18"/>
                <w:szCs w:val="18"/>
                <w:lang w:val="en-GB"/>
              </w:rPr>
              <w:t xml:space="preserve"> D</w:t>
            </w:r>
            <w:r w:rsidRPr="006A313E">
              <w:rPr>
                <w:rFonts w:ascii="Arial" w:hAnsi="Arial" w:cs="Arial"/>
                <w:sz w:val="18"/>
                <w:szCs w:val="18"/>
                <w:lang w:val="en-GB"/>
              </w:rPr>
              <w:t xml:space="preserve">oves in </w:t>
            </w:r>
            <w:r w:rsidRPr="006A313E">
              <w:rPr>
                <w:rFonts w:ascii="Arial" w:hAnsi="Arial" w:cs="Arial"/>
                <w:sz w:val="18"/>
                <w:szCs w:val="18"/>
                <w:u w:val="single"/>
                <w:lang w:val="en-GB"/>
              </w:rPr>
              <w:t>quarries</w:t>
            </w:r>
            <w:r w:rsidRPr="006A313E">
              <w:rPr>
                <w:rFonts w:ascii="Arial" w:hAnsi="Arial" w:cs="Arial"/>
                <w:sz w:val="18"/>
                <w:szCs w:val="18"/>
                <w:lang w:val="en-GB"/>
              </w:rPr>
              <w:t xml:space="preserve">. </w:t>
            </w:r>
          </w:p>
          <w:p w14:paraId="24AA03D0" w14:textId="77777777" w:rsidR="00C96521" w:rsidRPr="006A313E" w:rsidRDefault="00C96521" w:rsidP="00C96521">
            <w:pPr>
              <w:widowControl/>
              <w:autoSpaceDE/>
              <w:autoSpaceDN/>
              <w:adjustRightInd/>
              <w:rPr>
                <w:rFonts w:ascii="Arial" w:hAnsi="Arial" w:cs="Arial"/>
                <w:sz w:val="18"/>
                <w:szCs w:val="18"/>
                <w:lang w:val="en-GB"/>
              </w:rPr>
            </w:pPr>
          </w:p>
          <w:p w14:paraId="296119C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quarry managers.</w:t>
            </w:r>
          </w:p>
        </w:tc>
        <w:tc>
          <w:tcPr>
            <w:tcW w:w="1941" w:type="dxa"/>
            <w:gridSpan w:val="2"/>
          </w:tcPr>
          <w:p w14:paraId="0D26D19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25446A9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4CB94A8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wildlife agencies, aggregate/quarry industry</w:t>
            </w:r>
          </w:p>
          <w:p w14:paraId="7B6C7DDF" w14:textId="77777777" w:rsidR="00C96521" w:rsidRPr="006A313E" w:rsidRDefault="00C96521" w:rsidP="00C96521">
            <w:pPr>
              <w:widowControl/>
              <w:autoSpaceDE/>
              <w:autoSpaceDN/>
              <w:adjustRightInd/>
              <w:rPr>
                <w:rFonts w:ascii="Arial" w:hAnsi="Arial" w:cs="Arial"/>
                <w:sz w:val="18"/>
                <w:szCs w:val="18"/>
                <w:lang w:val="en-GB"/>
              </w:rPr>
            </w:pPr>
          </w:p>
        </w:tc>
        <w:tc>
          <w:tcPr>
            <w:tcW w:w="2077" w:type="dxa"/>
          </w:tcPr>
          <w:p w14:paraId="0C25BEA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studies on diet, habitat requirements, and ecology.</w:t>
            </w:r>
          </w:p>
          <w:p w14:paraId="1F0F38F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2609866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tc>
      </w:tr>
      <w:tr w:rsidR="00C96521" w:rsidRPr="006A313E" w14:paraId="3EDADF10" w14:textId="77777777" w:rsidTr="00C96521">
        <w:tc>
          <w:tcPr>
            <w:tcW w:w="2607" w:type="dxa"/>
            <w:vMerge/>
          </w:tcPr>
          <w:p w14:paraId="1C52B689"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2C31623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1.4.7</w:t>
            </w:r>
          </w:p>
          <w:p w14:paraId="7D928809" w14:textId="772FAEA8"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Reassess existing Key Biodiversity Areas (KBAs) for </w:t>
            </w:r>
            <w:r w:rsidR="00DC6B90" w:rsidRPr="006A313E">
              <w:rPr>
                <w:rFonts w:ascii="Arial" w:hAnsi="Arial" w:cs="Arial"/>
                <w:sz w:val="18"/>
                <w:szCs w:val="18"/>
                <w:lang w:val="en-GB"/>
              </w:rPr>
              <w:t>T</w:t>
            </w:r>
            <w:r w:rsidRPr="006A313E">
              <w:rPr>
                <w:rFonts w:ascii="Arial" w:hAnsi="Arial" w:cs="Arial"/>
                <w:sz w:val="18"/>
                <w:szCs w:val="18"/>
                <w:lang w:val="en-GB"/>
              </w:rPr>
              <w:t>urtle</w:t>
            </w:r>
            <w:r w:rsidR="00DC6B90" w:rsidRPr="006A313E">
              <w:rPr>
                <w:rFonts w:ascii="Arial" w:hAnsi="Arial" w:cs="Arial"/>
                <w:sz w:val="18"/>
                <w:szCs w:val="18"/>
                <w:lang w:val="en-GB"/>
              </w:rPr>
              <w:t xml:space="preserve"> D</w:t>
            </w:r>
            <w:r w:rsidRPr="006A313E">
              <w:rPr>
                <w:rFonts w:ascii="Arial" w:hAnsi="Arial" w:cs="Arial"/>
                <w:sz w:val="18"/>
                <w:szCs w:val="18"/>
                <w:lang w:val="en-GB"/>
              </w:rPr>
              <w:t>ove, and ensure that turtle-dove is listed as a management requirement.</w:t>
            </w:r>
          </w:p>
          <w:p w14:paraId="7979C537" w14:textId="77777777" w:rsidR="00C96521" w:rsidRPr="006A313E" w:rsidRDefault="00C96521" w:rsidP="00C96521">
            <w:pPr>
              <w:widowControl/>
              <w:autoSpaceDE/>
              <w:autoSpaceDN/>
              <w:adjustRightInd/>
              <w:rPr>
                <w:rFonts w:ascii="Arial" w:hAnsi="Arial" w:cs="Arial"/>
                <w:sz w:val="18"/>
                <w:szCs w:val="18"/>
                <w:lang w:val="en-GB"/>
              </w:rPr>
            </w:pPr>
          </w:p>
          <w:p w14:paraId="4F8FCA3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941" w:type="dxa"/>
            <w:gridSpan w:val="2"/>
          </w:tcPr>
          <w:p w14:paraId="5A4E585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0AA07ED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4A2FBC0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wildlife agencies</w:t>
            </w:r>
          </w:p>
        </w:tc>
        <w:tc>
          <w:tcPr>
            <w:tcW w:w="2077" w:type="dxa"/>
          </w:tcPr>
          <w:p w14:paraId="244D26EC" w14:textId="7A314802"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KBA inventories, national </w:t>
            </w:r>
            <w:r w:rsidR="00DC6B90" w:rsidRPr="006A313E">
              <w:rPr>
                <w:rFonts w:ascii="Arial" w:hAnsi="Arial" w:cs="Arial"/>
                <w:sz w:val="18"/>
                <w:szCs w:val="18"/>
                <w:lang w:val="en-GB"/>
              </w:rPr>
              <w:t xml:space="preserve">Turtle Dove </w:t>
            </w:r>
            <w:r w:rsidRPr="006A313E">
              <w:rPr>
                <w:rFonts w:ascii="Arial" w:hAnsi="Arial" w:cs="Arial"/>
                <w:sz w:val="18"/>
                <w:szCs w:val="18"/>
                <w:lang w:val="en-GB"/>
              </w:rPr>
              <w:t>data</w:t>
            </w:r>
          </w:p>
        </w:tc>
      </w:tr>
      <w:tr w:rsidR="00C96521" w:rsidRPr="006A313E" w14:paraId="6E51C319" w14:textId="77777777" w:rsidTr="00C96521">
        <w:tc>
          <w:tcPr>
            <w:tcW w:w="2607" w:type="dxa"/>
            <w:vMerge/>
          </w:tcPr>
          <w:p w14:paraId="6DAC2C8C"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0135D87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1.4.8</w:t>
            </w:r>
          </w:p>
          <w:p w14:paraId="09BF2754" w14:textId="1539369F"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Reassess existing Special Protection Areas (SPAs) for </w:t>
            </w:r>
            <w:r w:rsidR="00DC6B90" w:rsidRPr="006A313E">
              <w:rPr>
                <w:rFonts w:ascii="Arial" w:hAnsi="Arial" w:cs="Arial"/>
                <w:sz w:val="18"/>
                <w:szCs w:val="18"/>
                <w:lang w:val="en-GB"/>
              </w:rPr>
              <w:t>Turtle Dove</w:t>
            </w:r>
            <w:r w:rsidRPr="006A313E">
              <w:rPr>
                <w:rFonts w:ascii="Arial" w:hAnsi="Arial" w:cs="Arial"/>
                <w:sz w:val="18"/>
                <w:szCs w:val="18"/>
                <w:lang w:val="en-GB"/>
              </w:rPr>
              <w:t xml:space="preserve">, and ensure that </w:t>
            </w:r>
            <w:r w:rsidR="00DC6B90" w:rsidRPr="006A313E">
              <w:rPr>
                <w:rFonts w:ascii="Arial" w:hAnsi="Arial" w:cs="Arial"/>
                <w:sz w:val="18"/>
                <w:szCs w:val="18"/>
                <w:lang w:val="en-GB"/>
              </w:rPr>
              <w:t xml:space="preserve">Turtle Dove </w:t>
            </w:r>
            <w:r w:rsidRPr="006A313E">
              <w:rPr>
                <w:rFonts w:ascii="Arial" w:hAnsi="Arial" w:cs="Arial"/>
                <w:sz w:val="18"/>
                <w:szCs w:val="18"/>
                <w:lang w:val="en-GB"/>
              </w:rPr>
              <w:t>is listed as a management requirement.</w:t>
            </w:r>
          </w:p>
          <w:p w14:paraId="055474EC" w14:textId="77777777" w:rsidR="00C96521" w:rsidRPr="006A313E" w:rsidRDefault="00C96521" w:rsidP="00C96521">
            <w:pPr>
              <w:widowControl/>
              <w:autoSpaceDE/>
              <w:autoSpaceDN/>
              <w:adjustRightInd/>
              <w:rPr>
                <w:rFonts w:ascii="Arial" w:hAnsi="Arial" w:cs="Arial"/>
                <w:sz w:val="18"/>
                <w:szCs w:val="18"/>
                <w:lang w:val="en-GB"/>
              </w:rPr>
            </w:pPr>
          </w:p>
          <w:p w14:paraId="1416319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EU Range States.</w:t>
            </w:r>
          </w:p>
        </w:tc>
        <w:tc>
          <w:tcPr>
            <w:tcW w:w="1941" w:type="dxa"/>
            <w:gridSpan w:val="2"/>
          </w:tcPr>
          <w:p w14:paraId="3278C09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High </w:t>
            </w:r>
          </w:p>
        </w:tc>
        <w:tc>
          <w:tcPr>
            <w:tcW w:w="1315" w:type="dxa"/>
          </w:tcPr>
          <w:p w14:paraId="5D80229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17BB43D3"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WILDLIFE AGENCIES</w:t>
            </w:r>
            <w:r w:rsidRPr="006A313E">
              <w:rPr>
                <w:rFonts w:ascii="Arial" w:hAnsi="Arial" w:cs="Arial"/>
                <w:sz w:val="18"/>
                <w:szCs w:val="18"/>
                <w:lang w:val="en-GB"/>
              </w:rPr>
              <w:t>, conservation NGOs, academic institutions</w:t>
            </w:r>
          </w:p>
        </w:tc>
        <w:tc>
          <w:tcPr>
            <w:tcW w:w="2077" w:type="dxa"/>
          </w:tcPr>
          <w:p w14:paraId="0625AC5B" w14:textId="7518A4F1"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KBA inventories, national </w:t>
            </w:r>
            <w:r w:rsidR="00DC6B90" w:rsidRPr="006A313E">
              <w:rPr>
                <w:rFonts w:ascii="Arial" w:hAnsi="Arial" w:cs="Arial"/>
                <w:sz w:val="18"/>
                <w:szCs w:val="18"/>
                <w:lang w:val="en-GB"/>
              </w:rPr>
              <w:t xml:space="preserve">Turtle Dove </w:t>
            </w:r>
            <w:r w:rsidRPr="006A313E">
              <w:rPr>
                <w:rFonts w:ascii="Arial" w:hAnsi="Arial" w:cs="Arial"/>
                <w:sz w:val="18"/>
                <w:szCs w:val="18"/>
                <w:lang w:val="en-GB"/>
              </w:rPr>
              <w:t>data</w:t>
            </w:r>
          </w:p>
        </w:tc>
      </w:tr>
      <w:tr w:rsidR="00C96521" w:rsidRPr="006A313E" w14:paraId="6C630C5D" w14:textId="77777777" w:rsidTr="00C96521">
        <w:tc>
          <w:tcPr>
            <w:tcW w:w="2607" w:type="dxa"/>
            <w:vMerge/>
          </w:tcPr>
          <w:p w14:paraId="51B67E15" w14:textId="77777777" w:rsidR="00C96521" w:rsidRPr="006A313E" w:rsidRDefault="00C96521" w:rsidP="00C96521">
            <w:pPr>
              <w:widowControl/>
              <w:autoSpaceDE/>
              <w:autoSpaceDN/>
              <w:adjustRightInd/>
              <w:rPr>
                <w:rFonts w:ascii="Arial" w:hAnsi="Arial" w:cs="Arial"/>
                <w:sz w:val="18"/>
                <w:szCs w:val="18"/>
                <w:lang w:val="en-GB"/>
              </w:rPr>
            </w:pPr>
          </w:p>
        </w:tc>
        <w:tc>
          <w:tcPr>
            <w:tcW w:w="3880" w:type="dxa"/>
          </w:tcPr>
          <w:p w14:paraId="610FC9F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1.4.9</w:t>
            </w:r>
          </w:p>
          <w:p w14:paraId="35C3D682" w14:textId="0971000B"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Promote at the national level the inclusion of </w:t>
            </w:r>
            <w:r w:rsidR="00DC6B90" w:rsidRPr="006A313E">
              <w:rPr>
                <w:rFonts w:ascii="Arial" w:hAnsi="Arial" w:cs="Arial"/>
                <w:sz w:val="18"/>
                <w:szCs w:val="18"/>
                <w:lang w:val="en-GB"/>
              </w:rPr>
              <w:t xml:space="preserve">Turtle Dove </w:t>
            </w:r>
            <w:r w:rsidRPr="006A313E">
              <w:rPr>
                <w:rFonts w:ascii="Arial" w:hAnsi="Arial" w:cs="Arial"/>
                <w:sz w:val="18"/>
                <w:szCs w:val="18"/>
                <w:lang w:val="en-GB"/>
              </w:rPr>
              <w:t>requirements into Site Management Plans.</w:t>
            </w:r>
          </w:p>
          <w:p w14:paraId="35090189" w14:textId="77777777" w:rsidR="00C96521" w:rsidRPr="006A313E" w:rsidRDefault="00C96521" w:rsidP="00C96521">
            <w:pPr>
              <w:widowControl/>
              <w:autoSpaceDE/>
              <w:autoSpaceDN/>
              <w:adjustRightInd/>
              <w:rPr>
                <w:rFonts w:ascii="Arial" w:hAnsi="Arial" w:cs="Arial"/>
                <w:sz w:val="18"/>
                <w:szCs w:val="18"/>
                <w:lang w:val="en-GB"/>
              </w:rPr>
            </w:pPr>
          </w:p>
          <w:p w14:paraId="358CA31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(in breeding Range States) all land managers.</w:t>
            </w:r>
          </w:p>
        </w:tc>
        <w:tc>
          <w:tcPr>
            <w:tcW w:w="1941" w:type="dxa"/>
            <w:gridSpan w:val="2"/>
          </w:tcPr>
          <w:p w14:paraId="6F5A47C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315" w:type="dxa"/>
          </w:tcPr>
          <w:p w14:paraId="7581937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0703DA6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wildlife agencies, all land managers</w:t>
            </w:r>
          </w:p>
        </w:tc>
        <w:tc>
          <w:tcPr>
            <w:tcW w:w="2077" w:type="dxa"/>
          </w:tcPr>
          <w:p w14:paraId="39DDAF7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1.2.2</w:t>
            </w:r>
          </w:p>
          <w:p w14:paraId="08A0C46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1.3.1-1.3.10</w:t>
            </w:r>
          </w:p>
          <w:p w14:paraId="1A9BF71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Actions 1.4.7-1.4.8</w:t>
            </w:r>
          </w:p>
        </w:tc>
      </w:tr>
      <w:tr w:rsidR="00C96521" w:rsidRPr="006A313E" w14:paraId="34A6445D" w14:textId="77777777" w:rsidTr="00C96521">
        <w:tc>
          <w:tcPr>
            <w:tcW w:w="2607" w:type="dxa"/>
          </w:tcPr>
          <w:p w14:paraId="2EDE31E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1.5 [</w:t>
            </w:r>
            <w:r w:rsidRPr="006A313E">
              <w:rPr>
                <w:rFonts w:ascii="Arial" w:hAnsi="Arial" w:cs="Arial"/>
                <w:i/>
                <w:sz w:val="18"/>
                <w:szCs w:val="18"/>
                <w:lang w:val="en-GB"/>
              </w:rPr>
              <w:t>n</w:t>
            </w:r>
            <w:r w:rsidRPr="006A313E">
              <w:rPr>
                <w:rFonts w:ascii="Arial" w:hAnsi="Arial" w:cs="Arial"/>
                <w:sz w:val="18"/>
                <w:szCs w:val="18"/>
                <w:lang w:val="en-GB"/>
              </w:rPr>
              <w:t>] locally supported small-scale projects are promoted across the breeding range by [</w:t>
            </w:r>
            <w:r w:rsidRPr="006A313E">
              <w:rPr>
                <w:rFonts w:ascii="Arial" w:hAnsi="Arial" w:cs="Arial"/>
                <w:i/>
                <w:sz w:val="18"/>
                <w:szCs w:val="18"/>
                <w:lang w:val="en-GB"/>
              </w:rPr>
              <w:t>2020</w:t>
            </w:r>
            <w:r w:rsidRPr="006A313E">
              <w:rPr>
                <w:rFonts w:ascii="Arial" w:hAnsi="Arial" w:cs="Arial"/>
                <w:sz w:val="18"/>
                <w:szCs w:val="18"/>
                <w:lang w:val="en-GB"/>
              </w:rPr>
              <w:t>].</w:t>
            </w:r>
          </w:p>
        </w:tc>
        <w:tc>
          <w:tcPr>
            <w:tcW w:w="3880" w:type="dxa"/>
          </w:tcPr>
          <w:p w14:paraId="1D2DA7A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1.5.1</w:t>
            </w:r>
          </w:p>
          <w:p w14:paraId="7B85ED6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Best practice and case study examples of small-scale local projects are promoted across the breeding range.</w:t>
            </w:r>
          </w:p>
          <w:p w14:paraId="5BF2C2DE" w14:textId="77777777" w:rsidR="00C96521" w:rsidRPr="006A313E" w:rsidRDefault="00C96521" w:rsidP="00C96521">
            <w:pPr>
              <w:widowControl/>
              <w:autoSpaceDE/>
              <w:autoSpaceDN/>
              <w:adjustRightInd/>
              <w:rPr>
                <w:rFonts w:ascii="Arial" w:hAnsi="Arial" w:cs="Arial"/>
                <w:sz w:val="18"/>
                <w:szCs w:val="18"/>
                <w:lang w:val="en-GB"/>
              </w:rPr>
            </w:pPr>
          </w:p>
          <w:p w14:paraId="0B2AAF1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941" w:type="dxa"/>
            <w:gridSpan w:val="2"/>
          </w:tcPr>
          <w:p w14:paraId="7F8CDE0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Low</w:t>
            </w:r>
          </w:p>
        </w:tc>
        <w:tc>
          <w:tcPr>
            <w:tcW w:w="1315" w:type="dxa"/>
          </w:tcPr>
          <w:p w14:paraId="5A2E7AF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2355" w:type="dxa"/>
          </w:tcPr>
          <w:p w14:paraId="44317B5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CONSERVATION NGOs, FACE, ACADEMIC INSTITUTIONS</w:t>
            </w:r>
          </w:p>
        </w:tc>
        <w:tc>
          <w:tcPr>
            <w:tcW w:w="2077" w:type="dxa"/>
          </w:tcPr>
          <w:p w14:paraId="3956090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1.4.1</w:t>
            </w:r>
          </w:p>
        </w:tc>
      </w:tr>
      <w:tr w:rsidR="00C96521" w:rsidRPr="006A313E" w14:paraId="46E9E910" w14:textId="77777777" w:rsidTr="00C96521">
        <w:tc>
          <w:tcPr>
            <w:tcW w:w="2607" w:type="dxa"/>
          </w:tcPr>
          <w:p w14:paraId="69997B4D" w14:textId="2B764A88"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1.6 Environmental Impact Assessments include a </w:t>
            </w:r>
            <w:r w:rsidR="008807BF" w:rsidRPr="006A313E">
              <w:rPr>
                <w:rFonts w:ascii="Arial" w:hAnsi="Arial" w:cs="Arial"/>
                <w:sz w:val="18"/>
                <w:szCs w:val="18"/>
                <w:lang w:val="en-GB"/>
              </w:rPr>
              <w:t>Turtle Dove</w:t>
            </w:r>
            <w:r w:rsidRPr="006A313E">
              <w:rPr>
                <w:rFonts w:ascii="Arial" w:hAnsi="Arial" w:cs="Arial"/>
                <w:sz w:val="18"/>
                <w:szCs w:val="18"/>
                <w:lang w:val="en-GB"/>
              </w:rPr>
              <w:t xml:space="preserve"> evaluation by [</w:t>
            </w:r>
            <w:r w:rsidRPr="006A313E">
              <w:rPr>
                <w:rFonts w:ascii="Arial" w:hAnsi="Arial" w:cs="Arial"/>
                <w:i/>
                <w:sz w:val="18"/>
                <w:szCs w:val="18"/>
                <w:lang w:val="en-GB"/>
              </w:rPr>
              <w:t>2020</w:t>
            </w:r>
            <w:r w:rsidRPr="006A313E">
              <w:rPr>
                <w:rFonts w:ascii="Arial" w:hAnsi="Arial" w:cs="Arial"/>
                <w:sz w:val="18"/>
                <w:szCs w:val="18"/>
                <w:lang w:val="en-GB"/>
              </w:rPr>
              <w:t>].</w:t>
            </w:r>
          </w:p>
        </w:tc>
        <w:tc>
          <w:tcPr>
            <w:tcW w:w="3880" w:type="dxa"/>
          </w:tcPr>
          <w:p w14:paraId="401C18C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1.6.1</w:t>
            </w:r>
          </w:p>
          <w:p w14:paraId="10F07CE4" w14:textId="28166112"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Influence legislation/guideline sat national level for inclusion of impact assessment on turtle-dove conservation in EIA processes (e</w:t>
            </w:r>
            <w:r w:rsidR="008807BF" w:rsidRPr="006A313E">
              <w:rPr>
                <w:rFonts w:ascii="Arial" w:hAnsi="Arial" w:cs="Arial"/>
                <w:sz w:val="18"/>
                <w:szCs w:val="18"/>
                <w:lang w:val="en-GB"/>
              </w:rPr>
              <w:t>.</w:t>
            </w:r>
            <w:r w:rsidRPr="006A313E">
              <w:rPr>
                <w:rFonts w:ascii="Arial" w:hAnsi="Arial" w:cs="Arial"/>
                <w:sz w:val="18"/>
                <w:szCs w:val="18"/>
                <w:lang w:val="en-GB"/>
              </w:rPr>
              <w:t>g</w:t>
            </w:r>
            <w:r w:rsidR="008807BF" w:rsidRPr="006A313E">
              <w:rPr>
                <w:rFonts w:ascii="Arial" w:hAnsi="Arial" w:cs="Arial"/>
                <w:sz w:val="18"/>
                <w:szCs w:val="18"/>
                <w:lang w:val="en-GB"/>
              </w:rPr>
              <w:t>.</w:t>
            </w:r>
            <w:r w:rsidRPr="006A313E">
              <w:rPr>
                <w:rFonts w:ascii="Arial" w:hAnsi="Arial" w:cs="Arial"/>
                <w:sz w:val="18"/>
                <w:szCs w:val="18"/>
                <w:lang w:val="en-GB"/>
              </w:rPr>
              <w:t xml:space="preserve"> for important roosts).</w:t>
            </w:r>
          </w:p>
          <w:p w14:paraId="74F3F970" w14:textId="77777777" w:rsidR="00C96521" w:rsidRPr="006A313E" w:rsidRDefault="00C96521" w:rsidP="00C96521">
            <w:pPr>
              <w:widowControl/>
              <w:autoSpaceDE/>
              <w:autoSpaceDN/>
              <w:adjustRightInd/>
              <w:rPr>
                <w:rFonts w:ascii="Arial" w:hAnsi="Arial" w:cs="Arial"/>
                <w:sz w:val="18"/>
                <w:szCs w:val="18"/>
                <w:lang w:val="en-GB"/>
              </w:rPr>
            </w:pPr>
          </w:p>
          <w:p w14:paraId="4EB529E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breeding Range States</w:t>
            </w:r>
          </w:p>
        </w:tc>
        <w:tc>
          <w:tcPr>
            <w:tcW w:w="1941" w:type="dxa"/>
            <w:gridSpan w:val="2"/>
          </w:tcPr>
          <w:p w14:paraId="1714A80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1315" w:type="dxa"/>
          </w:tcPr>
          <w:p w14:paraId="0E7F081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3A65EAEA"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CONSERVATION NGOs, FACE, ACADEMIC INSTITUTIONS,</w:t>
            </w:r>
            <w:r w:rsidRPr="006A313E">
              <w:rPr>
                <w:rFonts w:ascii="Arial" w:hAnsi="Arial" w:cs="Arial"/>
                <w:sz w:val="18"/>
                <w:szCs w:val="18"/>
                <w:lang w:val="en-GB"/>
              </w:rPr>
              <w:t xml:space="preserve"> national wildlife agencies</w:t>
            </w:r>
          </w:p>
        </w:tc>
        <w:tc>
          <w:tcPr>
            <w:tcW w:w="2077" w:type="dxa"/>
          </w:tcPr>
          <w:p w14:paraId="72F1F250" w14:textId="77777777" w:rsidR="00C96521" w:rsidRPr="006A313E" w:rsidRDefault="00C96521" w:rsidP="00C96521">
            <w:pPr>
              <w:widowControl/>
              <w:autoSpaceDE/>
              <w:autoSpaceDN/>
              <w:adjustRightInd/>
              <w:rPr>
                <w:rFonts w:ascii="Arial" w:hAnsi="Arial" w:cs="Arial"/>
                <w:sz w:val="18"/>
                <w:szCs w:val="18"/>
                <w:lang w:val="en-GB"/>
              </w:rPr>
            </w:pPr>
          </w:p>
        </w:tc>
      </w:tr>
      <w:tr w:rsidR="00C96521" w:rsidRPr="006A313E" w14:paraId="3624D65A" w14:textId="77777777" w:rsidTr="00C96521">
        <w:tc>
          <w:tcPr>
            <w:tcW w:w="2607" w:type="dxa"/>
          </w:tcPr>
          <w:p w14:paraId="169EEA5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1.7 Compliance with EU stubble burning regulations by [</w:t>
            </w:r>
            <w:r w:rsidRPr="006A313E">
              <w:rPr>
                <w:rFonts w:ascii="Arial" w:hAnsi="Arial" w:cs="Arial"/>
                <w:i/>
                <w:sz w:val="18"/>
                <w:szCs w:val="18"/>
                <w:lang w:val="en-GB"/>
              </w:rPr>
              <w:t>2020</w:t>
            </w:r>
            <w:r w:rsidRPr="006A313E">
              <w:rPr>
                <w:rFonts w:ascii="Arial" w:hAnsi="Arial" w:cs="Arial"/>
                <w:sz w:val="18"/>
                <w:szCs w:val="18"/>
                <w:lang w:val="en-GB"/>
              </w:rPr>
              <w:t>].</w:t>
            </w:r>
          </w:p>
        </w:tc>
        <w:tc>
          <w:tcPr>
            <w:tcW w:w="3880" w:type="dxa"/>
          </w:tcPr>
          <w:p w14:paraId="6991228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1.7.1</w:t>
            </w:r>
          </w:p>
          <w:p w14:paraId="7FE5CEA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Governments enforce existing legislation on the burning of stubbles.</w:t>
            </w:r>
          </w:p>
          <w:p w14:paraId="2E36FA46" w14:textId="77777777" w:rsidR="00C96521" w:rsidRPr="006A313E" w:rsidRDefault="00C96521" w:rsidP="00C96521">
            <w:pPr>
              <w:widowControl/>
              <w:autoSpaceDE/>
              <w:autoSpaceDN/>
              <w:adjustRightInd/>
              <w:rPr>
                <w:rFonts w:ascii="Arial" w:hAnsi="Arial" w:cs="Arial"/>
                <w:sz w:val="18"/>
                <w:szCs w:val="18"/>
                <w:lang w:val="en-GB"/>
              </w:rPr>
            </w:pPr>
          </w:p>
          <w:p w14:paraId="0E2C1C1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EU Member States.</w:t>
            </w:r>
          </w:p>
        </w:tc>
        <w:tc>
          <w:tcPr>
            <w:tcW w:w="1941" w:type="dxa"/>
            <w:gridSpan w:val="2"/>
          </w:tcPr>
          <w:p w14:paraId="4D3E248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1315" w:type="dxa"/>
          </w:tcPr>
          <w:p w14:paraId="640B184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355" w:type="dxa"/>
          </w:tcPr>
          <w:p w14:paraId="18AFCE4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national enforcement agencies</w:t>
            </w:r>
          </w:p>
        </w:tc>
        <w:tc>
          <w:tcPr>
            <w:tcW w:w="2077" w:type="dxa"/>
          </w:tcPr>
          <w:p w14:paraId="2B88B21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EU cross-compliance.</w:t>
            </w:r>
          </w:p>
        </w:tc>
      </w:tr>
      <w:tr w:rsidR="00C96521" w:rsidRPr="006A313E" w14:paraId="30A2BEBD" w14:textId="77777777" w:rsidTr="00C96521">
        <w:tc>
          <w:tcPr>
            <w:tcW w:w="2607" w:type="dxa"/>
          </w:tcPr>
          <w:p w14:paraId="3E4004CD" w14:textId="2913F676"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1.8 Chemical-free zones introduced in important </w:t>
            </w:r>
            <w:r w:rsidR="008807BF" w:rsidRPr="006A313E">
              <w:rPr>
                <w:rFonts w:ascii="Arial" w:hAnsi="Arial" w:cs="Arial"/>
                <w:sz w:val="18"/>
                <w:szCs w:val="18"/>
                <w:lang w:val="en-GB"/>
              </w:rPr>
              <w:t>Turtle Dove</w:t>
            </w:r>
            <w:r w:rsidRPr="006A313E">
              <w:rPr>
                <w:rFonts w:ascii="Arial" w:hAnsi="Arial" w:cs="Arial"/>
                <w:sz w:val="18"/>
                <w:szCs w:val="18"/>
                <w:lang w:val="en-GB"/>
              </w:rPr>
              <w:t xml:space="preserve"> areas by [</w:t>
            </w:r>
            <w:r w:rsidRPr="006A313E">
              <w:rPr>
                <w:rFonts w:ascii="Arial" w:hAnsi="Arial" w:cs="Arial"/>
                <w:i/>
                <w:sz w:val="18"/>
                <w:szCs w:val="18"/>
                <w:lang w:val="en-GB"/>
              </w:rPr>
              <w:t>2025</w:t>
            </w:r>
            <w:r w:rsidRPr="006A313E">
              <w:rPr>
                <w:rFonts w:ascii="Arial" w:hAnsi="Arial" w:cs="Arial"/>
                <w:sz w:val="18"/>
                <w:szCs w:val="18"/>
                <w:lang w:val="en-GB"/>
              </w:rPr>
              <w:t>].</w:t>
            </w:r>
          </w:p>
        </w:tc>
        <w:tc>
          <w:tcPr>
            <w:tcW w:w="3880" w:type="dxa"/>
          </w:tcPr>
          <w:p w14:paraId="3904F89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1.8.1</w:t>
            </w:r>
          </w:p>
          <w:p w14:paraId="0EC1F46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Chemical-free zones introduced in key turtle-dove breeding areas.</w:t>
            </w:r>
          </w:p>
          <w:p w14:paraId="41C9DFB2" w14:textId="77777777" w:rsidR="00C96521" w:rsidRPr="006A313E" w:rsidRDefault="00C96521" w:rsidP="00C96521">
            <w:pPr>
              <w:widowControl/>
              <w:autoSpaceDE/>
              <w:autoSpaceDN/>
              <w:adjustRightInd/>
              <w:rPr>
                <w:rFonts w:ascii="Arial" w:hAnsi="Arial" w:cs="Arial"/>
                <w:sz w:val="18"/>
                <w:szCs w:val="18"/>
                <w:lang w:val="en-GB"/>
              </w:rPr>
            </w:pPr>
          </w:p>
          <w:p w14:paraId="7897860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941" w:type="dxa"/>
            <w:gridSpan w:val="2"/>
          </w:tcPr>
          <w:p w14:paraId="67FEB17B" w14:textId="77777777" w:rsidR="00C96521" w:rsidRPr="006A313E" w:rsidDel="00AD2FBC"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1315" w:type="dxa"/>
          </w:tcPr>
          <w:p w14:paraId="30EBB931" w14:textId="77777777" w:rsidR="00C96521" w:rsidRPr="006A313E" w:rsidDel="00AD2FBC"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2355" w:type="dxa"/>
          </w:tcPr>
          <w:p w14:paraId="5E2C49CA"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GOVERNMENTS</w:t>
            </w:r>
          </w:p>
        </w:tc>
        <w:tc>
          <w:tcPr>
            <w:tcW w:w="2077" w:type="dxa"/>
          </w:tcPr>
          <w:p w14:paraId="6417C50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scientific literature on risk posed by pesticides</w:t>
            </w:r>
          </w:p>
          <w:p w14:paraId="7EEEF7B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7.11.1</w:t>
            </w:r>
          </w:p>
        </w:tc>
      </w:tr>
      <w:tr w:rsidR="00C96521" w:rsidRPr="006A313E" w14:paraId="4DFBFCEE" w14:textId="77777777" w:rsidTr="00C96521">
        <w:tc>
          <w:tcPr>
            <w:tcW w:w="2607" w:type="dxa"/>
          </w:tcPr>
          <w:p w14:paraId="6E7C319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1.9 Land-sharing promoted in important agricultural landscapes for turtle-dove by [</w:t>
            </w:r>
            <w:r w:rsidRPr="006A313E">
              <w:rPr>
                <w:rFonts w:ascii="Arial" w:hAnsi="Arial" w:cs="Arial"/>
                <w:i/>
                <w:sz w:val="18"/>
                <w:szCs w:val="18"/>
                <w:lang w:val="en-GB"/>
              </w:rPr>
              <w:t>2025</w:t>
            </w:r>
            <w:r w:rsidRPr="006A313E">
              <w:rPr>
                <w:rFonts w:ascii="Arial" w:hAnsi="Arial" w:cs="Arial"/>
                <w:sz w:val="18"/>
                <w:szCs w:val="18"/>
                <w:lang w:val="en-GB"/>
              </w:rPr>
              <w:t>]</w:t>
            </w:r>
          </w:p>
        </w:tc>
        <w:tc>
          <w:tcPr>
            <w:tcW w:w="3880" w:type="dxa"/>
          </w:tcPr>
          <w:p w14:paraId="2D87ABB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1.9.1</w:t>
            </w:r>
          </w:p>
          <w:p w14:paraId="48D3BCD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Land-sharing practices introduced to ensure nesting and feeding habitats in agricultural areas.</w:t>
            </w:r>
          </w:p>
          <w:p w14:paraId="7E003568" w14:textId="77777777" w:rsidR="00C96521" w:rsidRPr="006A313E" w:rsidRDefault="00C96521" w:rsidP="00C96521">
            <w:pPr>
              <w:widowControl/>
              <w:autoSpaceDE/>
              <w:autoSpaceDN/>
              <w:adjustRightInd/>
              <w:rPr>
                <w:rFonts w:ascii="Arial" w:hAnsi="Arial" w:cs="Arial"/>
                <w:sz w:val="18"/>
                <w:szCs w:val="18"/>
                <w:lang w:val="en-GB"/>
              </w:rPr>
            </w:pPr>
          </w:p>
          <w:p w14:paraId="690DC48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941" w:type="dxa"/>
            <w:gridSpan w:val="2"/>
          </w:tcPr>
          <w:p w14:paraId="503A331B" w14:textId="77777777" w:rsidR="00C96521" w:rsidRPr="006A313E" w:rsidDel="0099772C"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1315" w:type="dxa"/>
          </w:tcPr>
          <w:p w14:paraId="63C7838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Long</w:t>
            </w:r>
          </w:p>
        </w:tc>
        <w:tc>
          <w:tcPr>
            <w:tcW w:w="2355" w:type="dxa"/>
          </w:tcPr>
          <w:p w14:paraId="780CA687"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GOVERNMENTS</w:t>
            </w:r>
          </w:p>
        </w:tc>
        <w:tc>
          <w:tcPr>
            <w:tcW w:w="2077" w:type="dxa"/>
          </w:tcPr>
          <w:p w14:paraId="185D91D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scientific literature on land-sharing</w:t>
            </w:r>
          </w:p>
          <w:p w14:paraId="58B198D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7.4.1</w:t>
            </w:r>
          </w:p>
          <w:p w14:paraId="30412382" w14:textId="77777777" w:rsidR="00C96521" w:rsidRPr="006A313E" w:rsidRDefault="00C96521" w:rsidP="00C96521">
            <w:pPr>
              <w:widowControl/>
              <w:autoSpaceDE/>
              <w:autoSpaceDN/>
              <w:adjustRightInd/>
              <w:rPr>
                <w:rFonts w:ascii="Arial" w:hAnsi="Arial" w:cs="Arial"/>
                <w:sz w:val="18"/>
                <w:szCs w:val="18"/>
                <w:lang w:val="en-GB"/>
              </w:rPr>
            </w:pPr>
          </w:p>
        </w:tc>
      </w:tr>
    </w:tbl>
    <w:p w14:paraId="572313F8"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77C2054E"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278"/>
        <w:gridCol w:w="4411"/>
        <w:gridCol w:w="1262"/>
        <w:gridCol w:w="1229"/>
        <w:gridCol w:w="2620"/>
        <w:gridCol w:w="2375"/>
      </w:tblGrid>
      <w:tr w:rsidR="00C96521" w:rsidRPr="006A313E" w14:paraId="0C729163" w14:textId="77777777" w:rsidTr="006A313E">
        <w:trPr>
          <w:tblHeader/>
        </w:trPr>
        <w:tc>
          <w:tcPr>
            <w:tcW w:w="14175" w:type="dxa"/>
            <w:gridSpan w:val="6"/>
            <w:shd w:val="clear" w:color="auto" w:fill="BFBFBF" w:themeFill="background1" w:themeFillShade="BF"/>
          </w:tcPr>
          <w:p w14:paraId="695276F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Objective 2: Eradicate illegal killing in the European Union and reduce elsewhere.</w:t>
            </w:r>
          </w:p>
          <w:p w14:paraId="1BAB0F3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Threat - Illegal killing (Critical)</w:t>
            </w:r>
          </w:p>
        </w:tc>
      </w:tr>
      <w:tr w:rsidR="00C96521" w:rsidRPr="006A313E" w14:paraId="7B69B19E" w14:textId="77777777" w:rsidTr="00C96521">
        <w:trPr>
          <w:tblHeader/>
        </w:trPr>
        <w:tc>
          <w:tcPr>
            <w:tcW w:w="2278" w:type="dxa"/>
            <w:shd w:val="clear" w:color="auto" w:fill="D9D9D9"/>
          </w:tcPr>
          <w:p w14:paraId="22403A7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Result</w:t>
            </w:r>
          </w:p>
        </w:tc>
        <w:tc>
          <w:tcPr>
            <w:tcW w:w="4411" w:type="dxa"/>
            <w:shd w:val="clear" w:color="auto" w:fill="D9D9D9"/>
          </w:tcPr>
          <w:p w14:paraId="151097B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and scope</w:t>
            </w:r>
          </w:p>
        </w:tc>
        <w:tc>
          <w:tcPr>
            <w:tcW w:w="1262" w:type="dxa"/>
            <w:shd w:val="clear" w:color="auto" w:fill="D9D9D9"/>
          </w:tcPr>
          <w:p w14:paraId="389A0EB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Priority</w:t>
            </w:r>
          </w:p>
        </w:tc>
        <w:tc>
          <w:tcPr>
            <w:tcW w:w="1229" w:type="dxa"/>
            <w:shd w:val="clear" w:color="auto" w:fill="D9D9D9"/>
          </w:tcPr>
          <w:p w14:paraId="09327EC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Timescale</w:t>
            </w:r>
          </w:p>
        </w:tc>
        <w:tc>
          <w:tcPr>
            <w:tcW w:w="2620" w:type="dxa"/>
            <w:shd w:val="clear" w:color="auto" w:fill="D9D9D9"/>
          </w:tcPr>
          <w:p w14:paraId="7135A5E0" w14:textId="3109E412"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Organi</w:t>
            </w:r>
            <w:r w:rsidR="008807BF" w:rsidRPr="006A313E">
              <w:rPr>
                <w:rFonts w:ascii="Arial" w:hAnsi="Arial" w:cs="Arial"/>
                <w:sz w:val="18"/>
                <w:szCs w:val="18"/>
                <w:lang w:val="en-GB"/>
              </w:rPr>
              <w:t>z</w:t>
            </w:r>
            <w:r w:rsidRPr="006A313E">
              <w:rPr>
                <w:rFonts w:ascii="Arial" w:hAnsi="Arial" w:cs="Arial"/>
                <w:sz w:val="18"/>
                <w:szCs w:val="18"/>
                <w:lang w:val="en-GB"/>
              </w:rPr>
              <w:t>ations responsible</w:t>
            </w:r>
          </w:p>
        </w:tc>
        <w:tc>
          <w:tcPr>
            <w:tcW w:w="2375" w:type="dxa"/>
            <w:shd w:val="clear" w:color="auto" w:fill="D9D9D9"/>
          </w:tcPr>
          <w:p w14:paraId="3229749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Inputs required</w:t>
            </w:r>
          </w:p>
        </w:tc>
      </w:tr>
      <w:tr w:rsidR="00C96521" w:rsidRPr="006A313E" w14:paraId="01CA5CFA" w14:textId="77777777" w:rsidTr="00C96521">
        <w:tc>
          <w:tcPr>
            <w:tcW w:w="2278" w:type="dxa"/>
            <w:vMerge w:val="restart"/>
          </w:tcPr>
          <w:p w14:paraId="20CFFD8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2.1 Evaluation of the scale of illegal killing by [</w:t>
            </w:r>
            <w:r w:rsidRPr="006A313E">
              <w:rPr>
                <w:rFonts w:ascii="Arial" w:hAnsi="Arial" w:cs="Arial"/>
                <w:i/>
                <w:sz w:val="18"/>
                <w:szCs w:val="18"/>
                <w:lang w:val="en-GB"/>
              </w:rPr>
              <w:t>mid-2018</w:t>
            </w:r>
            <w:r w:rsidRPr="006A313E">
              <w:rPr>
                <w:rFonts w:ascii="Arial" w:hAnsi="Arial" w:cs="Arial"/>
                <w:sz w:val="18"/>
                <w:szCs w:val="18"/>
                <w:lang w:val="en-GB"/>
              </w:rPr>
              <w:t>].</w:t>
            </w:r>
          </w:p>
        </w:tc>
        <w:tc>
          <w:tcPr>
            <w:tcW w:w="4411" w:type="dxa"/>
          </w:tcPr>
          <w:p w14:paraId="663DD2B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2.1.1</w:t>
            </w:r>
          </w:p>
          <w:p w14:paraId="6CC9E34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Assess and report on the scale of illegal killing across the range of the turtle-dove. </w:t>
            </w:r>
          </w:p>
          <w:p w14:paraId="18207C4D" w14:textId="77777777" w:rsidR="00C96521" w:rsidRPr="006A313E" w:rsidRDefault="00C96521" w:rsidP="00C96521">
            <w:pPr>
              <w:widowControl/>
              <w:autoSpaceDE/>
              <w:autoSpaceDN/>
              <w:adjustRightInd/>
              <w:rPr>
                <w:rFonts w:ascii="Arial" w:hAnsi="Arial" w:cs="Arial"/>
                <w:sz w:val="18"/>
                <w:szCs w:val="18"/>
                <w:lang w:val="en-GB"/>
              </w:rPr>
            </w:pPr>
          </w:p>
          <w:p w14:paraId="314D4C4C" w14:textId="77777777" w:rsidR="00C96521" w:rsidRPr="006A313E" w:rsidRDefault="00C96521" w:rsidP="00C96521">
            <w:pPr>
              <w:widowControl/>
              <w:autoSpaceDE/>
              <w:autoSpaceDN/>
              <w:adjustRightInd/>
              <w:rPr>
                <w:rFonts w:ascii="Arial" w:hAnsi="Arial" w:cs="Arial"/>
                <w:sz w:val="18"/>
                <w:szCs w:val="18"/>
                <w:lang w:val="en-GB"/>
              </w:rPr>
            </w:pPr>
          </w:p>
          <w:p w14:paraId="7D74CD88" w14:textId="77777777" w:rsidR="00C96521" w:rsidRPr="006A313E" w:rsidRDefault="00C96521" w:rsidP="00C96521">
            <w:pPr>
              <w:widowControl/>
              <w:autoSpaceDE/>
              <w:autoSpaceDN/>
              <w:adjustRightInd/>
              <w:rPr>
                <w:rFonts w:ascii="Arial" w:hAnsi="Arial" w:cs="Arial"/>
                <w:sz w:val="18"/>
                <w:szCs w:val="18"/>
                <w:lang w:val="en-GB"/>
              </w:rPr>
            </w:pPr>
          </w:p>
          <w:p w14:paraId="04FDD704" w14:textId="77777777" w:rsidR="00C96521" w:rsidRPr="006A313E" w:rsidRDefault="00C96521" w:rsidP="00C96521">
            <w:pPr>
              <w:widowControl/>
              <w:autoSpaceDE/>
              <w:autoSpaceDN/>
              <w:adjustRightInd/>
              <w:rPr>
                <w:rFonts w:ascii="Arial" w:hAnsi="Arial" w:cs="Arial"/>
                <w:sz w:val="18"/>
                <w:szCs w:val="18"/>
                <w:lang w:val="en-GB"/>
              </w:rPr>
            </w:pPr>
          </w:p>
          <w:p w14:paraId="192E6AA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Applicable to: all Range States, with focus on areas of current poor information, such as the Middle East and Africa, and some Mediterranean islands. </w:t>
            </w:r>
          </w:p>
        </w:tc>
        <w:tc>
          <w:tcPr>
            <w:tcW w:w="1262" w:type="dxa"/>
          </w:tcPr>
          <w:p w14:paraId="24BD627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Essential</w:t>
            </w:r>
          </w:p>
        </w:tc>
        <w:tc>
          <w:tcPr>
            <w:tcW w:w="1229" w:type="dxa"/>
          </w:tcPr>
          <w:p w14:paraId="1077C0C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Immediate</w:t>
            </w:r>
          </w:p>
        </w:tc>
        <w:tc>
          <w:tcPr>
            <w:tcW w:w="2620" w:type="dxa"/>
          </w:tcPr>
          <w:p w14:paraId="5D2C7A8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conservation NGOs, FACE, national hunting federations, academic institutions</w:t>
            </w:r>
          </w:p>
        </w:tc>
        <w:tc>
          <w:tcPr>
            <w:tcW w:w="2375" w:type="dxa"/>
          </w:tcPr>
          <w:p w14:paraId="0E66334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National reports to the Berne Convention, EU Road-Map, CMS MIKT, IMPEL, National Action Plans, tagging projects and research, reports and </w:t>
            </w:r>
            <w:r w:rsidRPr="006A313E">
              <w:rPr>
                <w:rFonts w:ascii="Arial" w:hAnsi="Arial" w:cs="Arial"/>
                <w:sz w:val="18"/>
                <w:szCs w:val="18"/>
                <w:lang w:val="en-GB"/>
              </w:rPr>
              <w:lastRenderedPageBreak/>
              <w:t xml:space="preserve">data from NGOs and national authorities. Mediterranean region data (Brochet </w:t>
            </w:r>
            <w:r w:rsidRPr="006A313E">
              <w:rPr>
                <w:rFonts w:ascii="Arial" w:hAnsi="Arial" w:cs="Arial"/>
                <w:i/>
                <w:sz w:val="18"/>
                <w:szCs w:val="18"/>
                <w:lang w:val="en-GB"/>
              </w:rPr>
              <w:t>et al</w:t>
            </w:r>
            <w:r w:rsidRPr="006A313E">
              <w:rPr>
                <w:rFonts w:ascii="Arial" w:hAnsi="Arial" w:cs="Arial"/>
                <w:sz w:val="18"/>
                <w:szCs w:val="18"/>
                <w:lang w:val="en-GB"/>
              </w:rPr>
              <w:t xml:space="preserve"> 2016).</w:t>
            </w:r>
          </w:p>
        </w:tc>
      </w:tr>
      <w:tr w:rsidR="00C96521" w:rsidRPr="006A313E" w14:paraId="3CEC2ADC" w14:textId="77777777" w:rsidTr="00C96521">
        <w:tc>
          <w:tcPr>
            <w:tcW w:w="2278" w:type="dxa"/>
            <w:vMerge/>
          </w:tcPr>
          <w:p w14:paraId="4B5D940C" w14:textId="77777777" w:rsidR="00C96521" w:rsidRPr="006A313E" w:rsidRDefault="00C96521" w:rsidP="00C96521">
            <w:pPr>
              <w:widowControl/>
              <w:autoSpaceDE/>
              <w:autoSpaceDN/>
              <w:adjustRightInd/>
              <w:rPr>
                <w:rFonts w:ascii="Arial" w:hAnsi="Arial" w:cs="Arial"/>
                <w:sz w:val="18"/>
                <w:szCs w:val="18"/>
                <w:lang w:val="en-GB"/>
              </w:rPr>
            </w:pPr>
          </w:p>
        </w:tc>
        <w:tc>
          <w:tcPr>
            <w:tcW w:w="4411" w:type="dxa"/>
          </w:tcPr>
          <w:p w14:paraId="6005772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2.1.2</w:t>
            </w:r>
          </w:p>
          <w:p w14:paraId="4CB958D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Identify and police of illegal killing hot-spots. </w:t>
            </w:r>
          </w:p>
          <w:p w14:paraId="7D919D4C" w14:textId="77777777" w:rsidR="00C96521" w:rsidRPr="006A313E" w:rsidRDefault="00C96521" w:rsidP="00C96521">
            <w:pPr>
              <w:widowControl/>
              <w:autoSpaceDE/>
              <w:autoSpaceDN/>
              <w:adjustRightInd/>
              <w:rPr>
                <w:rFonts w:ascii="Arial" w:hAnsi="Arial" w:cs="Arial"/>
                <w:sz w:val="18"/>
                <w:szCs w:val="18"/>
                <w:lang w:val="en-GB"/>
              </w:rPr>
            </w:pPr>
          </w:p>
          <w:p w14:paraId="564C561B" w14:textId="77777777" w:rsidR="00C96521" w:rsidRPr="006A313E" w:rsidRDefault="00C96521" w:rsidP="00C96521">
            <w:pPr>
              <w:widowControl/>
              <w:autoSpaceDE/>
              <w:autoSpaceDN/>
              <w:adjustRightInd/>
              <w:rPr>
                <w:rFonts w:ascii="Arial" w:hAnsi="Arial" w:cs="Arial"/>
                <w:sz w:val="18"/>
                <w:szCs w:val="18"/>
                <w:lang w:val="en-GB"/>
              </w:rPr>
            </w:pPr>
          </w:p>
          <w:p w14:paraId="4990406B" w14:textId="77777777" w:rsidR="00C96521" w:rsidRPr="006A313E" w:rsidRDefault="00C96521" w:rsidP="00C96521">
            <w:pPr>
              <w:widowControl/>
              <w:autoSpaceDE/>
              <w:autoSpaceDN/>
              <w:adjustRightInd/>
              <w:rPr>
                <w:rFonts w:ascii="Arial" w:hAnsi="Arial" w:cs="Arial"/>
                <w:sz w:val="18"/>
                <w:szCs w:val="18"/>
                <w:lang w:val="en-GB"/>
              </w:rPr>
            </w:pPr>
          </w:p>
          <w:p w14:paraId="3E043751" w14:textId="77777777" w:rsidR="00C96521" w:rsidRPr="006A313E" w:rsidRDefault="00C96521" w:rsidP="00C96521">
            <w:pPr>
              <w:widowControl/>
              <w:autoSpaceDE/>
              <w:autoSpaceDN/>
              <w:adjustRightInd/>
              <w:rPr>
                <w:rFonts w:ascii="Arial" w:hAnsi="Arial" w:cs="Arial"/>
                <w:sz w:val="18"/>
                <w:szCs w:val="18"/>
                <w:lang w:val="en-GB"/>
              </w:rPr>
            </w:pPr>
          </w:p>
          <w:p w14:paraId="42CAEE39" w14:textId="77777777" w:rsidR="00C96521" w:rsidRPr="006A313E" w:rsidRDefault="00C96521" w:rsidP="00C96521">
            <w:pPr>
              <w:widowControl/>
              <w:autoSpaceDE/>
              <w:autoSpaceDN/>
              <w:adjustRightInd/>
              <w:rPr>
                <w:rFonts w:ascii="Arial" w:hAnsi="Arial" w:cs="Arial"/>
                <w:sz w:val="18"/>
                <w:szCs w:val="18"/>
                <w:lang w:val="en-GB"/>
              </w:rPr>
            </w:pPr>
          </w:p>
          <w:p w14:paraId="7E21EBB3" w14:textId="77777777" w:rsidR="00C96521" w:rsidRPr="006A313E" w:rsidRDefault="00C96521" w:rsidP="00C96521">
            <w:pPr>
              <w:widowControl/>
              <w:autoSpaceDE/>
              <w:autoSpaceDN/>
              <w:adjustRightInd/>
              <w:rPr>
                <w:rFonts w:ascii="Arial" w:hAnsi="Arial" w:cs="Arial"/>
                <w:sz w:val="18"/>
                <w:szCs w:val="18"/>
                <w:lang w:val="en-GB"/>
              </w:rPr>
            </w:pPr>
          </w:p>
          <w:p w14:paraId="765C40E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eastern Mediterranean, Middle Eastern and African Range States.</w:t>
            </w:r>
          </w:p>
        </w:tc>
        <w:tc>
          <w:tcPr>
            <w:tcW w:w="1262" w:type="dxa"/>
          </w:tcPr>
          <w:p w14:paraId="4C3339D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229" w:type="dxa"/>
          </w:tcPr>
          <w:p w14:paraId="643E7EB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20" w:type="dxa"/>
          </w:tcPr>
          <w:p w14:paraId="4C90004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conservation NGOs, FACE, national hunting federations, academic institutions</w:t>
            </w:r>
          </w:p>
        </w:tc>
        <w:tc>
          <w:tcPr>
            <w:tcW w:w="2375" w:type="dxa"/>
          </w:tcPr>
          <w:p w14:paraId="4B66AC4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National reports to the Berne Convention, EU Road-Map, CMS MIKT, IMPEL, National Action Plans, tagging projects and research, reports and data from NGOs and national authorities. Mediterranean region data (Brochet </w:t>
            </w:r>
            <w:r w:rsidRPr="006A313E">
              <w:rPr>
                <w:rFonts w:ascii="Arial" w:hAnsi="Arial" w:cs="Arial"/>
                <w:i/>
                <w:sz w:val="18"/>
                <w:szCs w:val="18"/>
                <w:lang w:val="en-GB"/>
              </w:rPr>
              <w:t>et al</w:t>
            </w:r>
            <w:r w:rsidRPr="006A313E">
              <w:rPr>
                <w:rFonts w:ascii="Arial" w:hAnsi="Arial" w:cs="Arial"/>
                <w:sz w:val="18"/>
                <w:szCs w:val="18"/>
                <w:lang w:val="en-GB"/>
              </w:rPr>
              <w:t xml:space="preserve"> 2016).</w:t>
            </w:r>
          </w:p>
        </w:tc>
      </w:tr>
      <w:tr w:rsidR="00C96521" w:rsidRPr="006A313E" w14:paraId="405ED50C" w14:textId="77777777" w:rsidTr="00C96521">
        <w:tc>
          <w:tcPr>
            <w:tcW w:w="2278" w:type="dxa"/>
          </w:tcPr>
          <w:p w14:paraId="4B35188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2.2 Guidance on effective mechanisms for enforcing hunting regulations by [</w:t>
            </w:r>
            <w:r w:rsidRPr="006A313E">
              <w:rPr>
                <w:rFonts w:ascii="Arial" w:hAnsi="Arial" w:cs="Arial"/>
                <w:i/>
                <w:sz w:val="18"/>
                <w:szCs w:val="18"/>
                <w:lang w:val="en-GB"/>
              </w:rPr>
              <w:t>2018</w:t>
            </w:r>
            <w:r w:rsidRPr="006A313E">
              <w:rPr>
                <w:rFonts w:ascii="Arial" w:hAnsi="Arial" w:cs="Arial"/>
                <w:sz w:val="18"/>
                <w:szCs w:val="18"/>
                <w:lang w:val="en-GB"/>
              </w:rPr>
              <w:t>].</w:t>
            </w:r>
          </w:p>
        </w:tc>
        <w:tc>
          <w:tcPr>
            <w:tcW w:w="4411" w:type="dxa"/>
          </w:tcPr>
          <w:p w14:paraId="4EFBE93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2.2.1</w:t>
            </w:r>
          </w:p>
          <w:p w14:paraId="312F80FC" w14:textId="0601C8A8"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guidance on effective voluntary and </w:t>
            </w:r>
            <w:r w:rsidR="008807BF" w:rsidRPr="006A313E">
              <w:rPr>
                <w:rFonts w:ascii="Arial" w:hAnsi="Arial" w:cs="Arial"/>
                <w:sz w:val="18"/>
                <w:szCs w:val="18"/>
                <w:lang w:val="en-GB"/>
              </w:rPr>
              <w:t>S</w:t>
            </w:r>
            <w:r w:rsidRPr="006A313E">
              <w:rPr>
                <w:rFonts w:ascii="Arial" w:hAnsi="Arial" w:cs="Arial"/>
                <w:sz w:val="18"/>
                <w:szCs w:val="18"/>
                <w:lang w:val="en-GB"/>
              </w:rPr>
              <w:t>tate mechanisms for enforcing hunting regulations.</w:t>
            </w:r>
          </w:p>
          <w:p w14:paraId="06740364" w14:textId="77777777" w:rsidR="00C96521" w:rsidRPr="006A313E" w:rsidRDefault="00C96521" w:rsidP="00C96521">
            <w:pPr>
              <w:widowControl/>
              <w:autoSpaceDE/>
              <w:autoSpaceDN/>
              <w:adjustRightInd/>
              <w:rPr>
                <w:rFonts w:ascii="Arial" w:hAnsi="Arial" w:cs="Arial"/>
                <w:sz w:val="18"/>
                <w:szCs w:val="18"/>
                <w:lang w:val="en-GB"/>
              </w:rPr>
            </w:pPr>
          </w:p>
          <w:p w14:paraId="2BB2BD84" w14:textId="77777777" w:rsidR="00C96521" w:rsidRPr="006A313E" w:rsidRDefault="00C96521" w:rsidP="00C96521">
            <w:pPr>
              <w:widowControl/>
              <w:autoSpaceDE/>
              <w:autoSpaceDN/>
              <w:adjustRightInd/>
              <w:rPr>
                <w:rFonts w:ascii="Arial" w:hAnsi="Arial" w:cs="Arial"/>
                <w:sz w:val="18"/>
                <w:szCs w:val="18"/>
                <w:lang w:val="en-GB"/>
              </w:rPr>
            </w:pPr>
          </w:p>
          <w:p w14:paraId="031D2E8C" w14:textId="77777777" w:rsidR="00C96521" w:rsidRPr="006A313E" w:rsidRDefault="00C96521" w:rsidP="00C96521">
            <w:pPr>
              <w:widowControl/>
              <w:autoSpaceDE/>
              <w:autoSpaceDN/>
              <w:adjustRightInd/>
              <w:rPr>
                <w:rFonts w:ascii="Arial" w:hAnsi="Arial" w:cs="Arial"/>
                <w:sz w:val="18"/>
                <w:szCs w:val="18"/>
                <w:lang w:val="en-GB"/>
              </w:rPr>
            </w:pPr>
          </w:p>
          <w:p w14:paraId="118F702D" w14:textId="77777777" w:rsidR="00C96521" w:rsidRPr="006A313E" w:rsidRDefault="00C96521" w:rsidP="00C96521">
            <w:pPr>
              <w:widowControl/>
              <w:autoSpaceDE/>
              <w:autoSpaceDN/>
              <w:adjustRightInd/>
              <w:rPr>
                <w:rFonts w:ascii="Arial" w:hAnsi="Arial" w:cs="Arial"/>
                <w:sz w:val="18"/>
                <w:szCs w:val="18"/>
                <w:lang w:val="en-GB"/>
              </w:rPr>
            </w:pPr>
          </w:p>
          <w:p w14:paraId="46CF347C" w14:textId="77777777" w:rsidR="00C96521" w:rsidRPr="006A313E" w:rsidRDefault="00C96521" w:rsidP="00C96521">
            <w:pPr>
              <w:widowControl/>
              <w:autoSpaceDE/>
              <w:autoSpaceDN/>
              <w:adjustRightInd/>
              <w:rPr>
                <w:rFonts w:ascii="Arial" w:hAnsi="Arial" w:cs="Arial"/>
                <w:sz w:val="18"/>
                <w:szCs w:val="18"/>
                <w:lang w:val="en-GB"/>
              </w:rPr>
            </w:pPr>
          </w:p>
          <w:p w14:paraId="161D4421" w14:textId="77777777" w:rsidR="00C96521" w:rsidRPr="006A313E" w:rsidRDefault="00C96521" w:rsidP="00C96521">
            <w:pPr>
              <w:widowControl/>
              <w:autoSpaceDE/>
              <w:autoSpaceDN/>
              <w:adjustRightInd/>
              <w:rPr>
                <w:rFonts w:ascii="Arial" w:hAnsi="Arial" w:cs="Arial"/>
                <w:sz w:val="18"/>
                <w:szCs w:val="18"/>
                <w:lang w:val="en-GB"/>
              </w:rPr>
            </w:pPr>
          </w:p>
          <w:p w14:paraId="7BCB599C" w14:textId="77777777" w:rsidR="00C96521" w:rsidRPr="006A313E" w:rsidRDefault="00C96521" w:rsidP="00C96521">
            <w:pPr>
              <w:widowControl/>
              <w:autoSpaceDE/>
              <w:autoSpaceDN/>
              <w:adjustRightInd/>
              <w:rPr>
                <w:rFonts w:ascii="Arial" w:hAnsi="Arial" w:cs="Arial"/>
                <w:sz w:val="18"/>
                <w:szCs w:val="18"/>
                <w:lang w:val="en-GB"/>
              </w:rPr>
            </w:pPr>
          </w:p>
          <w:p w14:paraId="4339BBA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262" w:type="dxa"/>
          </w:tcPr>
          <w:p w14:paraId="18E07A1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229" w:type="dxa"/>
          </w:tcPr>
          <w:p w14:paraId="76B8935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Immediate</w:t>
            </w:r>
          </w:p>
        </w:tc>
        <w:tc>
          <w:tcPr>
            <w:tcW w:w="2620" w:type="dxa"/>
          </w:tcPr>
          <w:p w14:paraId="21F8E89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w:t>
            </w:r>
            <w:r w:rsidRPr="006A313E">
              <w:rPr>
                <w:rFonts w:ascii="Arial" w:hAnsi="Arial" w:cs="Arial"/>
                <w:b/>
                <w:sz w:val="18"/>
                <w:szCs w:val="18"/>
                <w:lang w:val="en-GB"/>
              </w:rPr>
              <w:t>ENFORCEMENT AGENCIES</w:t>
            </w:r>
            <w:r w:rsidRPr="006A313E">
              <w:rPr>
                <w:rFonts w:ascii="Arial" w:hAnsi="Arial" w:cs="Arial"/>
                <w:sz w:val="18"/>
                <w:szCs w:val="18"/>
                <w:lang w:val="en-GB"/>
              </w:rPr>
              <w:t>, conservation NGOs, FACE, national hunting federations, academic institutions</w:t>
            </w:r>
          </w:p>
        </w:tc>
        <w:tc>
          <w:tcPr>
            <w:tcW w:w="2375" w:type="dxa"/>
          </w:tcPr>
          <w:p w14:paraId="64FFB20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Guidance already developed by the Government of Malta. National reports to the Berne Convention, EU Road-Map, CMS MIKT, IMPEL, National Action Plans, tagging projects and research, reports and data from NGOs and national authorities.</w:t>
            </w:r>
          </w:p>
        </w:tc>
      </w:tr>
      <w:tr w:rsidR="00C96521" w:rsidRPr="006A313E" w14:paraId="63A55455" w14:textId="77777777" w:rsidTr="00C96521">
        <w:tc>
          <w:tcPr>
            <w:tcW w:w="2278" w:type="dxa"/>
            <w:vMerge w:val="restart"/>
          </w:tcPr>
          <w:p w14:paraId="112000E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2.3 Enhanced enforcement in EU hot-spots by [</w:t>
            </w:r>
            <w:r w:rsidRPr="006A313E">
              <w:rPr>
                <w:rFonts w:ascii="Arial" w:hAnsi="Arial" w:cs="Arial"/>
                <w:i/>
                <w:sz w:val="18"/>
                <w:szCs w:val="18"/>
                <w:lang w:val="en-GB"/>
              </w:rPr>
              <w:t>2020</w:t>
            </w:r>
            <w:r w:rsidRPr="006A313E">
              <w:rPr>
                <w:rFonts w:ascii="Arial" w:hAnsi="Arial" w:cs="Arial"/>
                <w:sz w:val="18"/>
                <w:szCs w:val="18"/>
                <w:lang w:val="en-GB"/>
              </w:rPr>
              <w:t>] and non-EU hot-spots by [</w:t>
            </w:r>
            <w:r w:rsidRPr="006A313E">
              <w:rPr>
                <w:rFonts w:ascii="Arial" w:hAnsi="Arial" w:cs="Arial"/>
                <w:i/>
                <w:sz w:val="18"/>
                <w:szCs w:val="18"/>
                <w:lang w:val="en-GB"/>
              </w:rPr>
              <w:t>2025</w:t>
            </w:r>
            <w:r w:rsidRPr="006A313E">
              <w:rPr>
                <w:rFonts w:ascii="Arial" w:hAnsi="Arial" w:cs="Arial"/>
                <w:sz w:val="18"/>
                <w:szCs w:val="18"/>
                <w:lang w:val="en-GB"/>
              </w:rPr>
              <w:t>].</w:t>
            </w:r>
          </w:p>
        </w:tc>
        <w:tc>
          <w:tcPr>
            <w:tcW w:w="4411" w:type="dxa"/>
          </w:tcPr>
          <w:p w14:paraId="13CF8C1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2.3.1</w:t>
            </w:r>
          </w:p>
          <w:p w14:paraId="1C3D1C1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deploy training to enhance enforcement of hunting laws in hot-spot areas, both for local enforcement officers and the judiciary. </w:t>
            </w:r>
          </w:p>
          <w:p w14:paraId="6F6BE690" w14:textId="77777777" w:rsidR="00C96521" w:rsidRPr="006A313E" w:rsidRDefault="00C96521" w:rsidP="00C96521">
            <w:pPr>
              <w:widowControl/>
              <w:autoSpaceDE/>
              <w:autoSpaceDN/>
              <w:adjustRightInd/>
              <w:rPr>
                <w:rFonts w:ascii="Arial" w:hAnsi="Arial" w:cs="Arial"/>
                <w:sz w:val="18"/>
                <w:szCs w:val="18"/>
                <w:lang w:val="en-GB"/>
              </w:rPr>
            </w:pPr>
          </w:p>
          <w:p w14:paraId="19790957" w14:textId="77777777" w:rsidR="00C96521" w:rsidRPr="006A313E" w:rsidRDefault="00C96521" w:rsidP="00C96521">
            <w:pPr>
              <w:widowControl/>
              <w:autoSpaceDE/>
              <w:autoSpaceDN/>
              <w:adjustRightInd/>
              <w:rPr>
                <w:rFonts w:ascii="Arial" w:hAnsi="Arial" w:cs="Arial"/>
                <w:sz w:val="18"/>
                <w:szCs w:val="18"/>
                <w:lang w:val="en-GB"/>
              </w:rPr>
            </w:pPr>
          </w:p>
          <w:p w14:paraId="53681F2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262" w:type="dxa"/>
          </w:tcPr>
          <w:p w14:paraId="5C7FFF1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229" w:type="dxa"/>
          </w:tcPr>
          <w:p w14:paraId="356B2DF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20" w:type="dxa"/>
          </w:tcPr>
          <w:p w14:paraId="6BCE3CA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xml:space="preserve">, </w:t>
            </w:r>
            <w:r w:rsidRPr="006A313E">
              <w:rPr>
                <w:rFonts w:ascii="Arial" w:hAnsi="Arial" w:cs="Arial"/>
                <w:b/>
                <w:sz w:val="18"/>
                <w:szCs w:val="18"/>
                <w:lang w:val="en-GB"/>
              </w:rPr>
              <w:t>ENFORCEMENT AGENCIES</w:t>
            </w:r>
          </w:p>
        </w:tc>
        <w:tc>
          <w:tcPr>
            <w:tcW w:w="2375" w:type="dxa"/>
          </w:tcPr>
          <w:p w14:paraId="61FAE00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Existing Programme of Work of the CMS Task Force on the Illegal Killing of Birds in the Mediterranean</w:t>
            </w:r>
          </w:p>
          <w:p w14:paraId="7070B63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2.1.1-2.1.2</w:t>
            </w:r>
          </w:p>
          <w:p w14:paraId="2F0B681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2.2.1</w:t>
            </w:r>
          </w:p>
        </w:tc>
      </w:tr>
      <w:tr w:rsidR="00C96521" w:rsidRPr="006A313E" w14:paraId="3CE5A6C1" w14:textId="77777777" w:rsidTr="00C96521">
        <w:tc>
          <w:tcPr>
            <w:tcW w:w="2278" w:type="dxa"/>
            <w:vMerge/>
          </w:tcPr>
          <w:p w14:paraId="58A12522" w14:textId="77777777" w:rsidR="00C96521" w:rsidRPr="006A313E" w:rsidRDefault="00C96521" w:rsidP="00C96521">
            <w:pPr>
              <w:widowControl/>
              <w:autoSpaceDE/>
              <w:autoSpaceDN/>
              <w:adjustRightInd/>
              <w:rPr>
                <w:rFonts w:ascii="Arial" w:hAnsi="Arial" w:cs="Arial"/>
                <w:sz w:val="18"/>
                <w:szCs w:val="18"/>
                <w:lang w:val="en-GB"/>
              </w:rPr>
            </w:pPr>
          </w:p>
        </w:tc>
        <w:tc>
          <w:tcPr>
            <w:tcW w:w="4411" w:type="dxa"/>
          </w:tcPr>
          <w:p w14:paraId="391A648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2.3.2</w:t>
            </w:r>
          </w:p>
          <w:p w14:paraId="448FDE2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Increase investment in enforcement.</w:t>
            </w:r>
          </w:p>
          <w:p w14:paraId="5E4A0D60" w14:textId="77777777" w:rsidR="00C96521" w:rsidRPr="006A313E" w:rsidRDefault="00C96521" w:rsidP="00C96521">
            <w:pPr>
              <w:widowControl/>
              <w:autoSpaceDE/>
              <w:autoSpaceDN/>
              <w:adjustRightInd/>
              <w:rPr>
                <w:rFonts w:ascii="Arial" w:hAnsi="Arial" w:cs="Arial"/>
                <w:sz w:val="18"/>
                <w:szCs w:val="18"/>
                <w:lang w:val="en-GB"/>
              </w:rPr>
            </w:pPr>
          </w:p>
          <w:p w14:paraId="59F0173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262" w:type="dxa"/>
          </w:tcPr>
          <w:p w14:paraId="6AB7255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229" w:type="dxa"/>
          </w:tcPr>
          <w:p w14:paraId="0F2079B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20" w:type="dxa"/>
          </w:tcPr>
          <w:p w14:paraId="6BE90ACF"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GOVERNMENTS</w:t>
            </w:r>
          </w:p>
        </w:tc>
        <w:tc>
          <w:tcPr>
            <w:tcW w:w="2375" w:type="dxa"/>
          </w:tcPr>
          <w:p w14:paraId="6650980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2.3.1</w:t>
            </w:r>
          </w:p>
        </w:tc>
      </w:tr>
    </w:tbl>
    <w:p w14:paraId="513AFBE6"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5EDE92D3"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326"/>
        <w:gridCol w:w="4516"/>
        <w:gridCol w:w="1126"/>
        <w:gridCol w:w="1131"/>
        <w:gridCol w:w="2657"/>
        <w:gridCol w:w="2419"/>
      </w:tblGrid>
      <w:tr w:rsidR="00C96521" w:rsidRPr="006A313E" w14:paraId="3F68B774" w14:textId="77777777" w:rsidTr="006A313E">
        <w:trPr>
          <w:tblHeader/>
        </w:trPr>
        <w:tc>
          <w:tcPr>
            <w:tcW w:w="14175" w:type="dxa"/>
            <w:gridSpan w:val="6"/>
            <w:shd w:val="clear" w:color="auto" w:fill="BFBFBF" w:themeFill="background1" w:themeFillShade="BF"/>
          </w:tcPr>
          <w:p w14:paraId="1BB3948D" w14:textId="2FE6CC9E"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Objective 3: Hunting across the range of the European Turtle</w:t>
            </w:r>
            <w:r w:rsidR="008807BF" w:rsidRPr="006A313E">
              <w:rPr>
                <w:rFonts w:ascii="Arial" w:hAnsi="Arial" w:cs="Arial"/>
                <w:sz w:val="18"/>
                <w:szCs w:val="18"/>
                <w:lang w:val="en-GB"/>
              </w:rPr>
              <w:t xml:space="preserve"> D</w:t>
            </w:r>
            <w:r w:rsidRPr="006A313E">
              <w:rPr>
                <w:rFonts w:ascii="Arial" w:hAnsi="Arial" w:cs="Arial"/>
                <w:sz w:val="18"/>
                <w:szCs w:val="18"/>
                <w:lang w:val="en-GB"/>
              </w:rPr>
              <w:t>ove is carried out at locally and internationally sustainable levels.</w:t>
            </w:r>
          </w:p>
          <w:p w14:paraId="5356AE4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Threat - Unsustainable hunting (High/Critical)</w:t>
            </w:r>
          </w:p>
        </w:tc>
      </w:tr>
      <w:tr w:rsidR="00C96521" w:rsidRPr="006A313E" w14:paraId="14155AC7" w14:textId="77777777" w:rsidTr="00C96521">
        <w:trPr>
          <w:tblHeader/>
        </w:trPr>
        <w:tc>
          <w:tcPr>
            <w:tcW w:w="2326" w:type="dxa"/>
            <w:shd w:val="clear" w:color="auto" w:fill="D9D9D9"/>
          </w:tcPr>
          <w:p w14:paraId="2F52B8E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Result</w:t>
            </w:r>
          </w:p>
        </w:tc>
        <w:tc>
          <w:tcPr>
            <w:tcW w:w="4516" w:type="dxa"/>
            <w:shd w:val="clear" w:color="auto" w:fill="D9D9D9"/>
          </w:tcPr>
          <w:p w14:paraId="138D497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and scope</w:t>
            </w:r>
          </w:p>
        </w:tc>
        <w:tc>
          <w:tcPr>
            <w:tcW w:w="1126" w:type="dxa"/>
            <w:shd w:val="clear" w:color="auto" w:fill="D9D9D9"/>
          </w:tcPr>
          <w:p w14:paraId="2E49481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Priority</w:t>
            </w:r>
          </w:p>
        </w:tc>
        <w:tc>
          <w:tcPr>
            <w:tcW w:w="1131" w:type="dxa"/>
            <w:shd w:val="clear" w:color="auto" w:fill="D9D9D9"/>
          </w:tcPr>
          <w:p w14:paraId="4C600BC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Timescale</w:t>
            </w:r>
          </w:p>
        </w:tc>
        <w:tc>
          <w:tcPr>
            <w:tcW w:w="2657" w:type="dxa"/>
            <w:shd w:val="clear" w:color="auto" w:fill="D9D9D9"/>
          </w:tcPr>
          <w:p w14:paraId="1BB08E36" w14:textId="55E99DDA"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Organi</w:t>
            </w:r>
            <w:r w:rsidR="008807BF" w:rsidRPr="006A313E">
              <w:rPr>
                <w:rFonts w:ascii="Arial" w:hAnsi="Arial" w:cs="Arial"/>
                <w:sz w:val="18"/>
                <w:szCs w:val="18"/>
                <w:lang w:val="en-GB"/>
              </w:rPr>
              <w:t>z</w:t>
            </w:r>
            <w:r w:rsidRPr="006A313E">
              <w:rPr>
                <w:rFonts w:ascii="Arial" w:hAnsi="Arial" w:cs="Arial"/>
                <w:sz w:val="18"/>
                <w:szCs w:val="18"/>
                <w:lang w:val="en-GB"/>
              </w:rPr>
              <w:t>ations responsible</w:t>
            </w:r>
          </w:p>
        </w:tc>
        <w:tc>
          <w:tcPr>
            <w:tcW w:w="2419" w:type="dxa"/>
            <w:shd w:val="clear" w:color="auto" w:fill="D9D9D9"/>
          </w:tcPr>
          <w:p w14:paraId="5F4C7AF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Inputs required</w:t>
            </w:r>
          </w:p>
        </w:tc>
      </w:tr>
      <w:tr w:rsidR="00C96521" w:rsidRPr="006A313E" w14:paraId="355F23C8" w14:textId="77777777" w:rsidTr="00C96521">
        <w:tc>
          <w:tcPr>
            <w:tcW w:w="2326" w:type="dxa"/>
            <w:vMerge w:val="restart"/>
          </w:tcPr>
          <w:p w14:paraId="1248350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3.1 Interim measures to ensure that hunting is at sustainable levels implemented by end [</w:t>
            </w:r>
            <w:r w:rsidRPr="006A313E">
              <w:rPr>
                <w:rFonts w:ascii="Arial" w:hAnsi="Arial" w:cs="Arial"/>
                <w:i/>
                <w:sz w:val="18"/>
                <w:szCs w:val="18"/>
                <w:lang w:val="en-GB"/>
              </w:rPr>
              <w:t>2017</w:t>
            </w:r>
            <w:r w:rsidRPr="006A313E">
              <w:rPr>
                <w:rFonts w:ascii="Arial" w:hAnsi="Arial" w:cs="Arial"/>
                <w:sz w:val="18"/>
                <w:szCs w:val="18"/>
                <w:lang w:val="en-GB"/>
              </w:rPr>
              <w:t>].</w:t>
            </w:r>
          </w:p>
        </w:tc>
        <w:tc>
          <w:tcPr>
            <w:tcW w:w="4516" w:type="dxa"/>
          </w:tcPr>
          <w:p w14:paraId="7725F70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3.1.1</w:t>
            </w:r>
          </w:p>
          <w:p w14:paraId="0682799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Develop initial harvest model for the western flyway to assess sustainability of current levels of hunting and propose management measures required until an adaptive sustainable harvest modelling framework is financed and implemented</w:t>
            </w:r>
          </w:p>
          <w:p w14:paraId="567FA2F2" w14:textId="77777777" w:rsidR="00C96521" w:rsidRPr="006A313E" w:rsidRDefault="00C96521" w:rsidP="00C96521">
            <w:pPr>
              <w:widowControl/>
              <w:autoSpaceDE/>
              <w:autoSpaceDN/>
              <w:adjustRightInd/>
              <w:rPr>
                <w:rFonts w:ascii="Arial" w:hAnsi="Arial" w:cs="Arial"/>
                <w:sz w:val="18"/>
                <w:szCs w:val="18"/>
                <w:lang w:val="en-GB"/>
              </w:rPr>
            </w:pPr>
          </w:p>
          <w:p w14:paraId="799AF8E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 with hunting.</w:t>
            </w:r>
          </w:p>
        </w:tc>
        <w:tc>
          <w:tcPr>
            <w:tcW w:w="1126" w:type="dxa"/>
          </w:tcPr>
          <w:p w14:paraId="494A96D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131" w:type="dxa"/>
          </w:tcPr>
          <w:p w14:paraId="4D89C4D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Ongoing</w:t>
            </w:r>
          </w:p>
        </w:tc>
        <w:tc>
          <w:tcPr>
            <w:tcW w:w="2657" w:type="dxa"/>
          </w:tcPr>
          <w:p w14:paraId="39516D4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FACE, CONSERVATION NGOs, ACADEMIC INSTITUTIONS, NATIONAL HUNTING FEDERATIONS</w:t>
            </w:r>
            <w:r w:rsidRPr="006A313E">
              <w:rPr>
                <w:rFonts w:ascii="Arial" w:hAnsi="Arial" w:cs="Arial"/>
                <w:sz w:val="18"/>
                <w:szCs w:val="18"/>
                <w:lang w:val="en-GB"/>
              </w:rPr>
              <w:t>, national governments, national wildlife agencies</w:t>
            </w:r>
          </w:p>
        </w:tc>
        <w:tc>
          <w:tcPr>
            <w:tcW w:w="2419" w:type="dxa"/>
          </w:tcPr>
          <w:p w14:paraId="03DA42B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Existing population, trend and hunting data; demographic data (including survival, productivity), </w:t>
            </w:r>
          </w:p>
          <w:p w14:paraId="673D4A7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7.2.2</w:t>
            </w:r>
          </w:p>
        </w:tc>
      </w:tr>
      <w:tr w:rsidR="00C96521" w:rsidRPr="006A313E" w14:paraId="1252A271" w14:textId="77777777" w:rsidTr="00C96521">
        <w:tc>
          <w:tcPr>
            <w:tcW w:w="2326" w:type="dxa"/>
            <w:vMerge/>
          </w:tcPr>
          <w:p w14:paraId="1DEC73FE"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132AA3E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3.1.2</w:t>
            </w:r>
          </w:p>
          <w:p w14:paraId="65DF8DF7" w14:textId="681FF39C"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Based on recommendations emerging from Action 3.1.1, adopt hunting management measures to reduce impact in the short</w:t>
            </w:r>
            <w:r w:rsidR="008807BF" w:rsidRPr="006A313E">
              <w:rPr>
                <w:rFonts w:ascii="Arial" w:hAnsi="Arial" w:cs="Arial"/>
                <w:sz w:val="18"/>
                <w:szCs w:val="18"/>
                <w:lang w:val="en-GB"/>
              </w:rPr>
              <w:t xml:space="preserve"> </w:t>
            </w:r>
            <w:r w:rsidRPr="006A313E">
              <w:rPr>
                <w:rFonts w:ascii="Arial" w:hAnsi="Arial" w:cs="Arial"/>
                <w:sz w:val="18"/>
                <w:szCs w:val="18"/>
                <w:lang w:val="en-GB"/>
              </w:rPr>
              <w:t>term, and assess impact.</w:t>
            </w:r>
          </w:p>
          <w:p w14:paraId="4C5638E3" w14:textId="77777777" w:rsidR="00C96521" w:rsidRPr="006A313E" w:rsidRDefault="00C96521" w:rsidP="00C96521">
            <w:pPr>
              <w:widowControl/>
              <w:autoSpaceDE/>
              <w:autoSpaceDN/>
              <w:adjustRightInd/>
              <w:rPr>
                <w:rFonts w:ascii="Arial" w:hAnsi="Arial" w:cs="Arial"/>
                <w:sz w:val="18"/>
                <w:szCs w:val="18"/>
                <w:lang w:val="en-GB"/>
              </w:rPr>
            </w:pPr>
          </w:p>
          <w:p w14:paraId="22D1357B" w14:textId="7A913035"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Reduce hunting pressure in [</w:t>
            </w:r>
            <w:r w:rsidRPr="006A313E">
              <w:rPr>
                <w:rFonts w:ascii="Arial" w:hAnsi="Arial" w:cs="Arial"/>
                <w:i/>
                <w:sz w:val="18"/>
                <w:szCs w:val="18"/>
                <w:lang w:val="en-GB"/>
              </w:rPr>
              <w:t>Member States</w:t>
            </w:r>
            <w:r w:rsidRPr="006A313E">
              <w:rPr>
                <w:rFonts w:ascii="Arial" w:hAnsi="Arial" w:cs="Arial"/>
                <w:sz w:val="18"/>
                <w:szCs w:val="18"/>
                <w:lang w:val="en-GB"/>
              </w:rPr>
              <w:t>] by [</w:t>
            </w:r>
            <w:r w:rsidRPr="006A313E">
              <w:rPr>
                <w:rFonts w:ascii="Arial" w:hAnsi="Arial" w:cs="Arial"/>
                <w:i/>
                <w:sz w:val="18"/>
                <w:szCs w:val="18"/>
                <w:lang w:val="en-GB"/>
              </w:rPr>
              <w:t>% reduction</w:t>
            </w:r>
            <w:r w:rsidRPr="006A313E">
              <w:rPr>
                <w:rFonts w:ascii="Arial" w:hAnsi="Arial" w:cs="Arial"/>
                <w:sz w:val="18"/>
                <w:szCs w:val="18"/>
                <w:lang w:val="en-GB"/>
              </w:rPr>
              <w:t>] through [</w:t>
            </w:r>
            <w:r w:rsidRPr="006A313E">
              <w:rPr>
                <w:rFonts w:ascii="Arial" w:hAnsi="Arial" w:cs="Arial"/>
                <w:i/>
                <w:sz w:val="18"/>
                <w:szCs w:val="18"/>
                <w:lang w:val="en-GB"/>
              </w:rPr>
              <w:t>measures to be determined from e</w:t>
            </w:r>
            <w:r w:rsidR="008807BF" w:rsidRPr="006A313E">
              <w:rPr>
                <w:rFonts w:ascii="Arial" w:hAnsi="Arial" w:cs="Arial"/>
                <w:i/>
                <w:sz w:val="18"/>
                <w:szCs w:val="18"/>
                <w:lang w:val="en-GB"/>
              </w:rPr>
              <w:t>.</w:t>
            </w:r>
            <w:r w:rsidRPr="006A313E">
              <w:rPr>
                <w:rFonts w:ascii="Arial" w:hAnsi="Arial" w:cs="Arial"/>
                <w:i/>
                <w:sz w:val="18"/>
                <w:szCs w:val="18"/>
                <w:lang w:val="en-GB"/>
              </w:rPr>
              <w:t>g</w:t>
            </w:r>
            <w:r w:rsidR="008807BF" w:rsidRPr="006A313E">
              <w:rPr>
                <w:rFonts w:ascii="Arial" w:hAnsi="Arial" w:cs="Arial"/>
                <w:i/>
                <w:sz w:val="18"/>
                <w:szCs w:val="18"/>
                <w:lang w:val="en-GB"/>
              </w:rPr>
              <w:t>.</w:t>
            </w:r>
            <w:r w:rsidRPr="006A313E">
              <w:rPr>
                <w:rFonts w:ascii="Arial" w:hAnsi="Arial" w:cs="Arial"/>
                <w:i/>
                <w:sz w:val="18"/>
                <w:szCs w:val="18"/>
                <w:lang w:val="en-GB"/>
              </w:rPr>
              <w:t xml:space="preserve"> bag limits/quotas, hunting bag data collection systems, hunting season length/timing, possible temporary hunting moratoriums, spatial planning (% area huntable), setting quotas for hunting tourism</w:t>
            </w:r>
            <w:r w:rsidRPr="006A313E">
              <w:rPr>
                <w:rFonts w:ascii="Arial" w:hAnsi="Arial" w:cs="Arial"/>
                <w:sz w:val="18"/>
                <w:szCs w:val="18"/>
                <w:lang w:val="en-GB"/>
              </w:rPr>
              <w:t>]</w:t>
            </w:r>
            <w:r w:rsidRPr="006A313E">
              <w:rPr>
                <w:rFonts w:ascii="Arial" w:hAnsi="Arial" w:cs="Arial"/>
                <w:i/>
                <w:sz w:val="18"/>
                <w:szCs w:val="18"/>
                <w:lang w:val="en-GB"/>
              </w:rPr>
              <w:t>.</w:t>
            </w:r>
          </w:p>
          <w:p w14:paraId="4EFD816E" w14:textId="77777777" w:rsidR="00C96521" w:rsidRPr="006A313E" w:rsidRDefault="00C96521" w:rsidP="00C96521">
            <w:pPr>
              <w:widowControl/>
              <w:autoSpaceDE/>
              <w:autoSpaceDN/>
              <w:adjustRightInd/>
              <w:rPr>
                <w:rFonts w:ascii="Arial" w:hAnsi="Arial" w:cs="Arial"/>
                <w:sz w:val="18"/>
                <w:szCs w:val="18"/>
                <w:lang w:val="en-GB"/>
              </w:rPr>
            </w:pPr>
          </w:p>
          <w:p w14:paraId="6E5B395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 with hunting.</w:t>
            </w:r>
          </w:p>
        </w:tc>
        <w:tc>
          <w:tcPr>
            <w:tcW w:w="1126" w:type="dxa"/>
          </w:tcPr>
          <w:p w14:paraId="3CB2C8E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131" w:type="dxa"/>
          </w:tcPr>
          <w:p w14:paraId="31D1C56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Immediate</w:t>
            </w:r>
          </w:p>
        </w:tc>
        <w:tc>
          <w:tcPr>
            <w:tcW w:w="2657" w:type="dxa"/>
          </w:tcPr>
          <w:p w14:paraId="578E831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FACE, conservation NGOs, academic institutions, national hunting federations, national wildlife agencies.</w:t>
            </w:r>
          </w:p>
          <w:p w14:paraId="1148DE0F" w14:textId="77777777" w:rsidR="00C96521" w:rsidRPr="006A313E" w:rsidRDefault="00C96521" w:rsidP="00C96521">
            <w:pPr>
              <w:widowControl/>
              <w:autoSpaceDE/>
              <w:autoSpaceDN/>
              <w:adjustRightInd/>
              <w:rPr>
                <w:rFonts w:ascii="Arial" w:hAnsi="Arial" w:cs="Arial"/>
                <w:sz w:val="18"/>
                <w:szCs w:val="18"/>
                <w:lang w:val="en-GB"/>
              </w:rPr>
            </w:pPr>
          </w:p>
        </w:tc>
        <w:tc>
          <w:tcPr>
            <w:tcW w:w="2419" w:type="dxa"/>
          </w:tcPr>
          <w:p w14:paraId="337B95D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3.1.1</w:t>
            </w:r>
          </w:p>
          <w:p w14:paraId="2730B31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7.2.2</w:t>
            </w:r>
          </w:p>
        </w:tc>
      </w:tr>
      <w:tr w:rsidR="00C96521" w:rsidRPr="006A313E" w14:paraId="3171EE89" w14:textId="77777777" w:rsidTr="00C96521">
        <w:tc>
          <w:tcPr>
            <w:tcW w:w="2326" w:type="dxa"/>
            <w:vMerge w:val="restart"/>
          </w:tcPr>
          <w:p w14:paraId="072E87EB"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3.2 Ensure that hunting bags are informed by an adaptive harvesting modelling framework by [</w:t>
            </w:r>
            <w:r w:rsidRPr="006A313E">
              <w:rPr>
                <w:rFonts w:ascii="Arial" w:hAnsi="Arial" w:cs="Arial"/>
                <w:i/>
                <w:sz w:val="18"/>
                <w:szCs w:val="18"/>
                <w:lang w:val="en-GB"/>
              </w:rPr>
              <w:t>2020</w:t>
            </w:r>
            <w:r w:rsidRPr="006A313E">
              <w:rPr>
                <w:rFonts w:ascii="Arial" w:hAnsi="Arial" w:cs="Arial"/>
                <w:sz w:val="18"/>
                <w:szCs w:val="18"/>
                <w:lang w:val="en-GB"/>
              </w:rPr>
              <w:t>].</w:t>
            </w:r>
          </w:p>
        </w:tc>
        <w:tc>
          <w:tcPr>
            <w:tcW w:w="4516" w:type="dxa"/>
          </w:tcPr>
          <w:p w14:paraId="1F21050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3.2.1</w:t>
            </w:r>
          </w:p>
          <w:p w14:paraId="50CBDD40" w14:textId="04459F9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and implement a robust adaptive harvest modelling framework for the hunting of </w:t>
            </w:r>
            <w:r w:rsidR="008807BF" w:rsidRPr="006A313E">
              <w:rPr>
                <w:rFonts w:ascii="Arial" w:hAnsi="Arial" w:cs="Arial"/>
                <w:sz w:val="18"/>
                <w:szCs w:val="18"/>
                <w:lang w:val="en-GB"/>
              </w:rPr>
              <w:t>T</w:t>
            </w:r>
            <w:r w:rsidRPr="006A313E">
              <w:rPr>
                <w:rFonts w:ascii="Arial" w:hAnsi="Arial" w:cs="Arial"/>
                <w:sz w:val="18"/>
                <w:szCs w:val="18"/>
                <w:lang w:val="en-GB"/>
              </w:rPr>
              <w:t xml:space="preserve">urtle </w:t>
            </w:r>
            <w:r w:rsidR="008807BF" w:rsidRPr="006A313E">
              <w:rPr>
                <w:rFonts w:ascii="Arial" w:hAnsi="Arial" w:cs="Arial"/>
                <w:sz w:val="18"/>
                <w:szCs w:val="18"/>
                <w:lang w:val="en-GB"/>
              </w:rPr>
              <w:t>D</w:t>
            </w:r>
            <w:r w:rsidRPr="006A313E">
              <w:rPr>
                <w:rFonts w:ascii="Arial" w:hAnsi="Arial" w:cs="Arial"/>
                <w:sz w:val="18"/>
                <w:szCs w:val="18"/>
                <w:lang w:val="en-GB"/>
              </w:rPr>
              <w:t>ove for each flyway, based on demographic and hunting data, with yearly planning and assessment of national and local hunting quotas and seasons, coordinated by an International Turtle Dove Sustainable Harvest Working Group.</w:t>
            </w:r>
          </w:p>
          <w:p w14:paraId="37F3C10F" w14:textId="77777777" w:rsidR="00C96521" w:rsidRPr="006A313E" w:rsidRDefault="00C96521" w:rsidP="00C96521">
            <w:pPr>
              <w:widowControl/>
              <w:autoSpaceDE/>
              <w:autoSpaceDN/>
              <w:adjustRightInd/>
              <w:rPr>
                <w:rFonts w:ascii="Arial" w:hAnsi="Arial" w:cs="Arial"/>
                <w:sz w:val="18"/>
                <w:szCs w:val="18"/>
                <w:lang w:val="en-GB"/>
              </w:rPr>
            </w:pPr>
          </w:p>
          <w:p w14:paraId="1D422A01" w14:textId="77777777" w:rsidR="00C96521" w:rsidRPr="006A313E" w:rsidRDefault="00C96521" w:rsidP="00C96521">
            <w:pPr>
              <w:widowControl/>
              <w:autoSpaceDE/>
              <w:autoSpaceDN/>
              <w:adjustRightInd/>
              <w:rPr>
                <w:rFonts w:ascii="Arial" w:hAnsi="Arial" w:cs="Arial"/>
                <w:sz w:val="18"/>
                <w:szCs w:val="18"/>
                <w:lang w:val="en-GB"/>
              </w:rPr>
            </w:pPr>
          </w:p>
          <w:p w14:paraId="0E521BC4" w14:textId="77777777" w:rsidR="00C96521" w:rsidRPr="006A313E" w:rsidRDefault="00C96521" w:rsidP="00C96521">
            <w:pPr>
              <w:widowControl/>
              <w:autoSpaceDE/>
              <w:autoSpaceDN/>
              <w:adjustRightInd/>
              <w:rPr>
                <w:rFonts w:ascii="Arial" w:hAnsi="Arial" w:cs="Arial"/>
                <w:sz w:val="18"/>
                <w:szCs w:val="18"/>
                <w:lang w:val="en-GB"/>
              </w:rPr>
            </w:pPr>
          </w:p>
          <w:p w14:paraId="7EFFF8E7" w14:textId="77777777" w:rsidR="00C96521" w:rsidRPr="006A313E" w:rsidRDefault="00C96521" w:rsidP="00C96521">
            <w:pPr>
              <w:widowControl/>
              <w:autoSpaceDE/>
              <w:autoSpaceDN/>
              <w:adjustRightInd/>
              <w:rPr>
                <w:rFonts w:ascii="Arial" w:hAnsi="Arial" w:cs="Arial"/>
                <w:sz w:val="18"/>
                <w:szCs w:val="18"/>
                <w:lang w:val="en-GB"/>
              </w:rPr>
            </w:pPr>
          </w:p>
          <w:p w14:paraId="3CFCB9CB" w14:textId="77777777" w:rsidR="00C96521" w:rsidRPr="006A313E" w:rsidRDefault="00C96521" w:rsidP="00C96521">
            <w:pPr>
              <w:widowControl/>
              <w:autoSpaceDE/>
              <w:autoSpaceDN/>
              <w:adjustRightInd/>
              <w:rPr>
                <w:rFonts w:ascii="Arial" w:hAnsi="Arial" w:cs="Arial"/>
                <w:sz w:val="18"/>
                <w:szCs w:val="18"/>
                <w:lang w:val="en-GB"/>
              </w:rPr>
            </w:pPr>
          </w:p>
          <w:p w14:paraId="46706E99" w14:textId="77777777" w:rsidR="00C96521" w:rsidRPr="006A313E" w:rsidRDefault="00C96521" w:rsidP="00C96521">
            <w:pPr>
              <w:widowControl/>
              <w:autoSpaceDE/>
              <w:autoSpaceDN/>
              <w:adjustRightInd/>
              <w:rPr>
                <w:rFonts w:ascii="Arial" w:hAnsi="Arial" w:cs="Arial"/>
                <w:sz w:val="18"/>
                <w:szCs w:val="18"/>
                <w:lang w:val="en-GB"/>
              </w:rPr>
            </w:pPr>
          </w:p>
          <w:p w14:paraId="624FB2DB" w14:textId="77777777" w:rsidR="00C96521" w:rsidRPr="006A313E" w:rsidRDefault="00C96521" w:rsidP="00C96521">
            <w:pPr>
              <w:widowControl/>
              <w:autoSpaceDE/>
              <w:autoSpaceDN/>
              <w:adjustRightInd/>
              <w:rPr>
                <w:rFonts w:ascii="Arial" w:hAnsi="Arial" w:cs="Arial"/>
                <w:sz w:val="18"/>
                <w:szCs w:val="18"/>
                <w:lang w:val="en-GB"/>
              </w:rPr>
            </w:pPr>
          </w:p>
          <w:p w14:paraId="268D5C25" w14:textId="77777777" w:rsidR="00C96521" w:rsidRPr="006A313E" w:rsidRDefault="00C96521" w:rsidP="00C96521">
            <w:pPr>
              <w:widowControl/>
              <w:autoSpaceDE/>
              <w:autoSpaceDN/>
              <w:adjustRightInd/>
              <w:rPr>
                <w:rFonts w:ascii="Arial" w:hAnsi="Arial" w:cs="Arial"/>
                <w:sz w:val="18"/>
                <w:szCs w:val="18"/>
                <w:lang w:val="en-GB"/>
              </w:rPr>
            </w:pPr>
          </w:p>
          <w:p w14:paraId="1814B01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 with hunting.</w:t>
            </w:r>
          </w:p>
        </w:tc>
        <w:tc>
          <w:tcPr>
            <w:tcW w:w="1126" w:type="dxa"/>
          </w:tcPr>
          <w:p w14:paraId="6CB4221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131" w:type="dxa"/>
          </w:tcPr>
          <w:p w14:paraId="558DC8D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3B5EC85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INTERNATINAL TURTLE DOVE SUSTAINABLE HARVEST WORKING GROUP</w:t>
            </w:r>
            <w:r w:rsidRPr="006A313E">
              <w:rPr>
                <w:rFonts w:ascii="Arial" w:hAnsi="Arial" w:cs="Arial"/>
                <w:sz w:val="18"/>
                <w:szCs w:val="18"/>
                <w:lang w:val="en-GB"/>
              </w:rPr>
              <w:t xml:space="preserve"> (consisting of EU Member States, conservation NGOs, FACE, academic institutions).</w:t>
            </w:r>
          </w:p>
        </w:tc>
        <w:tc>
          <w:tcPr>
            <w:tcW w:w="2419" w:type="dxa"/>
          </w:tcPr>
          <w:p w14:paraId="3E3831C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Nature Directives Fitness Check Guide; EU Sustainable Hunting Guide; data from new studies commissioned under objective 8. AEWA Guidelines on Sustainable Harvest of Migratory Waterbirds. Existing European approaches using adaptive harvest management under AEWA. </w:t>
            </w:r>
          </w:p>
          <w:p w14:paraId="0CD9A0E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3.1.1</w:t>
            </w:r>
          </w:p>
          <w:p w14:paraId="13FE1443"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3.1.2</w:t>
            </w:r>
          </w:p>
          <w:p w14:paraId="155C021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7.2.2</w:t>
            </w:r>
          </w:p>
          <w:p w14:paraId="05CA001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7.7.1</w:t>
            </w:r>
          </w:p>
        </w:tc>
      </w:tr>
      <w:tr w:rsidR="00C96521" w:rsidRPr="006A313E" w14:paraId="4C4FFE9A" w14:textId="77777777" w:rsidTr="00C96521">
        <w:tc>
          <w:tcPr>
            <w:tcW w:w="2326" w:type="dxa"/>
            <w:vMerge/>
          </w:tcPr>
          <w:p w14:paraId="7AD8CD7D"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6A503EC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3.2.2</w:t>
            </w:r>
          </w:p>
          <w:p w14:paraId="23862B3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Collect robust and accurate hunting bag data using compatible standardised protocols, including on-the-</w:t>
            </w:r>
            <w:r w:rsidRPr="006A313E">
              <w:rPr>
                <w:rFonts w:ascii="Arial" w:hAnsi="Arial" w:cs="Arial"/>
                <w:sz w:val="18"/>
                <w:szCs w:val="18"/>
                <w:lang w:val="en-GB"/>
              </w:rPr>
              <w:lastRenderedPageBreak/>
              <w:t>spot reporting of bagged birds. For EU Member States, reporting of hunting bag data is introduced to the 2013-2018 Article 12 reporting format (Birds Directive).</w:t>
            </w:r>
          </w:p>
          <w:p w14:paraId="6D33E624" w14:textId="77777777" w:rsidR="00C96521" w:rsidRPr="006A313E" w:rsidRDefault="00C96521" w:rsidP="00C96521">
            <w:pPr>
              <w:widowControl/>
              <w:autoSpaceDE/>
              <w:autoSpaceDN/>
              <w:adjustRightInd/>
              <w:rPr>
                <w:rFonts w:ascii="Arial" w:hAnsi="Arial" w:cs="Arial"/>
                <w:sz w:val="18"/>
                <w:szCs w:val="18"/>
                <w:lang w:val="en-GB"/>
              </w:rPr>
            </w:pPr>
          </w:p>
          <w:p w14:paraId="7B10F02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Report hunting bag statistics annually to the Turtle Dove Harvest Working Group. Calculate a yearly hunting bag statistic for each Range State, based on annual collections of hunting bag data.</w:t>
            </w:r>
          </w:p>
          <w:p w14:paraId="53D92855" w14:textId="77777777" w:rsidR="00C96521" w:rsidRPr="006A313E" w:rsidRDefault="00C96521" w:rsidP="00C96521">
            <w:pPr>
              <w:widowControl/>
              <w:autoSpaceDE/>
              <w:autoSpaceDN/>
              <w:adjustRightInd/>
              <w:rPr>
                <w:rFonts w:ascii="Arial" w:hAnsi="Arial" w:cs="Arial"/>
                <w:sz w:val="18"/>
                <w:szCs w:val="18"/>
                <w:lang w:val="en-GB"/>
              </w:rPr>
            </w:pPr>
          </w:p>
          <w:p w14:paraId="4CED38F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126" w:type="dxa"/>
          </w:tcPr>
          <w:p w14:paraId="43AE5D4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High</w:t>
            </w:r>
          </w:p>
        </w:tc>
        <w:tc>
          <w:tcPr>
            <w:tcW w:w="1131" w:type="dxa"/>
          </w:tcPr>
          <w:p w14:paraId="133C491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0ACC3C2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FACE, national hunting federations</w:t>
            </w:r>
          </w:p>
        </w:tc>
        <w:tc>
          <w:tcPr>
            <w:tcW w:w="2419" w:type="dxa"/>
          </w:tcPr>
          <w:p w14:paraId="582CDE10"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7.7.1</w:t>
            </w:r>
          </w:p>
        </w:tc>
      </w:tr>
      <w:tr w:rsidR="00C96521" w:rsidRPr="006A313E" w14:paraId="3A58C861" w14:textId="77777777" w:rsidTr="00C96521">
        <w:tc>
          <w:tcPr>
            <w:tcW w:w="2326" w:type="dxa"/>
            <w:vMerge w:val="restart"/>
          </w:tcPr>
          <w:p w14:paraId="33E73E46" w14:textId="6E5EE095"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3.3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specific Sustainable Hunting Initiative promoted to hunters/hunting organisations by [</w:t>
            </w:r>
            <w:r w:rsidRPr="006A313E">
              <w:rPr>
                <w:rFonts w:ascii="Arial" w:hAnsi="Arial" w:cs="Arial"/>
                <w:i/>
                <w:sz w:val="18"/>
                <w:szCs w:val="18"/>
                <w:lang w:val="en-GB"/>
              </w:rPr>
              <w:t>2019</w:t>
            </w:r>
            <w:r w:rsidRPr="006A313E">
              <w:rPr>
                <w:rFonts w:ascii="Arial" w:hAnsi="Arial" w:cs="Arial"/>
                <w:sz w:val="18"/>
                <w:szCs w:val="18"/>
                <w:lang w:val="en-GB"/>
              </w:rPr>
              <w:t>].</w:t>
            </w:r>
          </w:p>
        </w:tc>
        <w:tc>
          <w:tcPr>
            <w:tcW w:w="4516" w:type="dxa"/>
          </w:tcPr>
          <w:p w14:paraId="494CE59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3.3.1</w:t>
            </w:r>
          </w:p>
          <w:p w14:paraId="26108363" w14:textId="22B03DA4"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Develop a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 xml:space="preserve">specific Sustainable Hunting Initiative, to include good hunting practice, especially at bottle-necks and concentrations. </w:t>
            </w:r>
          </w:p>
          <w:p w14:paraId="628D22E9" w14:textId="77777777" w:rsidR="00C96521" w:rsidRPr="006A313E" w:rsidRDefault="00C96521" w:rsidP="00C96521">
            <w:pPr>
              <w:widowControl/>
              <w:autoSpaceDE/>
              <w:autoSpaceDN/>
              <w:adjustRightInd/>
              <w:rPr>
                <w:rFonts w:ascii="Arial" w:hAnsi="Arial" w:cs="Arial"/>
                <w:sz w:val="18"/>
                <w:szCs w:val="18"/>
                <w:lang w:val="en-GB"/>
              </w:rPr>
            </w:pPr>
          </w:p>
          <w:p w14:paraId="5B813C74" w14:textId="37BA1B28"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Applicable to: all Range States with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hunting.</w:t>
            </w:r>
          </w:p>
        </w:tc>
        <w:tc>
          <w:tcPr>
            <w:tcW w:w="1126" w:type="dxa"/>
          </w:tcPr>
          <w:p w14:paraId="07F918F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Essential</w:t>
            </w:r>
          </w:p>
        </w:tc>
        <w:tc>
          <w:tcPr>
            <w:tcW w:w="1131" w:type="dxa"/>
          </w:tcPr>
          <w:p w14:paraId="7A407C7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Immediate</w:t>
            </w:r>
          </w:p>
        </w:tc>
        <w:tc>
          <w:tcPr>
            <w:tcW w:w="2657" w:type="dxa"/>
          </w:tcPr>
          <w:p w14:paraId="16F5052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FACE, NATIONAL HUNTING FEDERATIONS</w:t>
            </w:r>
            <w:r w:rsidRPr="006A313E">
              <w:rPr>
                <w:rFonts w:ascii="Arial" w:hAnsi="Arial" w:cs="Arial"/>
                <w:sz w:val="18"/>
                <w:szCs w:val="18"/>
                <w:lang w:val="en-GB"/>
              </w:rPr>
              <w:t>.</w:t>
            </w:r>
          </w:p>
        </w:tc>
        <w:tc>
          <w:tcPr>
            <w:tcW w:w="2419" w:type="dxa"/>
          </w:tcPr>
          <w:p w14:paraId="50D2998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2.2.1 and input from Conservation NGOs.</w:t>
            </w:r>
          </w:p>
        </w:tc>
      </w:tr>
      <w:tr w:rsidR="00C96521" w:rsidRPr="006A313E" w14:paraId="2BD1F07E" w14:textId="77777777" w:rsidTr="00C96521">
        <w:tc>
          <w:tcPr>
            <w:tcW w:w="2326" w:type="dxa"/>
            <w:vMerge/>
          </w:tcPr>
          <w:p w14:paraId="7B0C0022"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166E22D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3.3.2</w:t>
            </w:r>
          </w:p>
          <w:p w14:paraId="1A3A9F8B" w14:textId="59E72CD0"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The International Council for Game and Wildlife Conservation promotes good practice hunting tourism of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outside Europe.</w:t>
            </w:r>
          </w:p>
          <w:p w14:paraId="56075563" w14:textId="77777777" w:rsidR="00C96521" w:rsidRPr="006A313E" w:rsidRDefault="00C96521" w:rsidP="00C96521">
            <w:pPr>
              <w:widowControl/>
              <w:autoSpaceDE/>
              <w:autoSpaceDN/>
              <w:adjustRightInd/>
              <w:rPr>
                <w:rFonts w:ascii="Arial" w:hAnsi="Arial" w:cs="Arial"/>
                <w:sz w:val="18"/>
                <w:szCs w:val="18"/>
                <w:lang w:val="en-GB"/>
              </w:rPr>
            </w:pPr>
          </w:p>
          <w:p w14:paraId="7263922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Range States where hunting tourism occurs.</w:t>
            </w:r>
          </w:p>
        </w:tc>
        <w:tc>
          <w:tcPr>
            <w:tcW w:w="1126" w:type="dxa"/>
          </w:tcPr>
          <w:p w14:paraId="70EABE2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Medium</w:t>
            </w:r>
          </w:p>
        </w:tc>
        <w:tc>
          <w:tcPr>
            <w:tcW w:w="1131" w:type="dxa"/>
          </w:tcPr>
          <w:p w14:paraId="788EC6A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1867A35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FACE, NATIONAL HUNTING FEDERATIONS</w:t>
            </w:r>
            <w:r w:rsidRPr="006A313E">
              <w:rPr>
                <w:rFonts w:ascii="Arial" w:hAnsi="Arial" w:cs="Arial"/>
                <w:sz w:val="18"/>
                <w:szCs w:val="18"/>
                <w:lang w:val="en-GB"/>
              </w:rPr>
              <w:t>.</w:t>
            </w:r>
          </w:p>
        </w:tc>
        <w:tc>
          <w:tcPr>
            <w:tcW w:w="2419" w:type="dxa"/>
          </w:tcPr>
          <w:p w14:paraId="5AF26D7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3.4.1</w:t>
            </w:r>
          </w:p>
          <w:p w14:paraId="215E49CC"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3.4.2</w:t>
            </w:r>
          </w:p>
          <w:p w14:paraId="3941C93D" w14:textId="77777777" w:rsidR="00C96521" w:rsidRPr="006A313E" w:rsidRDefault="00C96521" w:rsidP="00C96521">
            <w:pPr>
              <w:widowControl/>
              <w:autoSpaceDE/>
              <w:autoSpaceDN/>
              <w:adjustRightInd/>
              <w:rPr>
                <w:rFonts w:ascii="Arial" w:hAnsi="Arial" w:cs="Arial"/>
                <w:sz w:val="18"/>
                <w:szCs w:val="18"/>
                <w:lang w:val="en-GB"/>
              </w:rPr>
            </w:pPr>
          </w:p>
        </w:tc>
      </w:tr>
      <w:tr w:rsidR="00C96521" w:rsidRPr="006A313E" w14:paraId="5A5A035A" w14:textId="77777777" w:rsidTr="00C96521">
        <w:tc>
          <w:tcPr>
            <w:tcW w:w="2326" w:type="dxa"/>
            <w:vMerge w:val="restart"/>
          </w:tcPr>
          <w:p w14:paraId="3003E89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3.4 Consistent turtle-dove hunting legislation across the flyway by [</w:t>
            </w:r>
            <w:r w:rsidRPr="006A313E">
              <w:rPr>
                <w:rFonts w:ascii="Arial" w:hAnsi="Arial" w:cs="Arial"/>
                <w:i/>
                <w:sz w:val="18"/>
                <w:szCs w:val="18"/>
                <w:lang w:val="en-GB"/>
              </w:rPr>
              <w:t>2020</w:t>
            </w:r>
            <w:r w:rsidRPr="006A313E">
              <w:rPr>
                <w:rFonts w:ascii="Arial" w:hAnsi="Arial" w:cs="Arial"/>
                <w:sz w:val="18"/>
                <w:szCs w:val="18"/>
                <w:lang w:val="en-GB"/>
              </w:rPr>
              <w:t>].</w:t>
            </w:r>
          </w:p>
        </w:tc>
        <w:tc>
          <w:tcPr>
            <w:tcW w:w="4516" w:type="dxa"/>
          </w:tcPr>
          <w:p w14:paraId="20FFBCE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3.4.1</w:t>
            </w:r>
          </w:p>
          <w:p w14:paraId="0DFDE88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Carry out a survey of national legislation across the flyway legislation.</w:t>
            </w:r>
          </w:p>
          <w:p w14:paraId="60CDF58E" w14:textId="77777777" w:rsidR="00C96521" w:rsidRPr="006A313E" w:rsidRDefault="00C96521" w:rsidP="00C96521">
            <w:pPr>
              <w:widowControl/>
              <w:autoSpaceDE/>
              <w:autoSpaceDN/>
              <w:adjustRightInd/>
              <w:rPr>
                <w:rFonts w:ascii="Arial" w:hAnsi="Arial" w:cs="Arial"/>
                <w:sz w:val="18"/>
                <w:szCs w:val="18"/>
                <w:lang w:val="en-GB"/>
              </w:rPr>
            </w:pPr>
          </w:p>
          <w:p w14:paraId="58522E1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126" w:type="dxa"/>
          </w:tcPr>
          <w:p w14:paraId="63BFED1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131" w:type="dxa"/>
          </w:tcPr>
          <w:p w14:paraId="54F7946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3904EF5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FACE</w:t>
            </w:r>
            <w:r w:rsidRPr="006A313E">
              <w:rPr>
                <w:rFonts w:ascii="Arial" w:hAnsi="Arial" w:cs="Arial"/>
                <w:sz w:val="18"/>
                <w:szCs w:val="18"/>
                <w:lang w:val="en-GB"/>
              </w:rPr>
              <w:t>, conservation NGOs, national hunting federations, national wildlife agencies</w:t>
            </w:r>
          </w:p>
        </w:tc>
        <w:tc>
          <w:tcPr>
            <w:tcW w:w="2419" w:type="dxa"/>
          </w:tcPr>
          <w:p w14:paraId="0D5F824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EU Sustainable Hunting Guide, national legislation.</w:t>
            </w:r>
          </w:p>
          <w:p w14:paraId="2414A55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Birds Directive</w:t>
            </w:r>
          </w:p>
          <w:p w14:paraId="47170CFC" w14:textId="77777777" w:rsidR="00C96521" w:rsidRPr="006A313E" w:rsidRDefault="00C96521" w:rsidP="00C96521">
            <w:pPr>
              <w:widowControl/>
              <w:autoSpaceDE/>
              <w:autoSpaceDN/>
              <w:adjustRightInd/>
              <w:rPr>
                <w:rFonts w:ascii="Arial" w:hAnsi="Arial" w:cs="Arial"/>
                <w:color w:val="FF0000"/>
                <w:sz w:val="18"/>
                <w:szCs w:val="18"/>
                <w:lang w:val="en-GB"/>
              </w:rPr>
            </w:pPr>
          </w:p>
        </w:tc>
      </w:tr>
      <w:tr w:rsidR="00C96521" w:rsidRPr="006A313E" w14:paraId="605A5F31" w14:textId="77777777" w:rsidTr="00C96521">
        <w:tc>
          <w:tcPr>
            <w:tcW w:w="2326" w:type="dxa"/>
            <w:vMerge/>
          </w:tcPr>
          <w:p w14:paraId="4A3F6B70"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7E09760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3.4.2</w:t>
            </w:r>
          </w:p>
          <w:p w14:paraId="4C031D80" w14:textId="5B01EAD9"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Ensure National Threat Status is up</w:t>
            </w:r>
            <w:r w:rsidR="008807BF" w:rsidRPr="006A313E">
              <w:rPr>
                <w:rFonts w:ascii="Arial" w:hAnsi="Arial" w:cs="Arial"/>
                <w:sz w:val="18"/>
                <w:szCs w:val="18"/>
                <w:lang w:val="en-GB"/>
              </w:rPr>
              <w:t xml:space="preserve"> </w:t>
            </w:r>
            <w:r w:rsidRPr="006A313E">
              <w:rPr>
                <w:rFonts w:ascii="Arial" w:hAnsi="Arial" w:cs="Arial"/>
                <w:sz w:val="18"/>
                <w:szCs w:val="18"/>
                <w:lang w:val="en-GB"/>
              </w:rPr>
              <w:t>to</w:t>
            </w:r>
            <w:r w:rsidR="008807BF" w:rsidRPr="006A313E">
              <w:rPr>
                <w:rFonts w:ascii="Arial" w:hAnsi="Arial" w:cs="Arial"/>
                <w:sz w:val="18"/>
                <w:szCs w:val="18"/>
                <w:lang w:val="en-GB"/>
              </w:rPr>
              <w:t xml:space="preserve"> </w:t>
            </w:r>
            <w:r w:rsidRPr="006A313E">
              <w:rPr>
                <w:rFonts w:ascii="Arial" w:hAnsi="Arial" w:cs="Arial"/>
                <w:sz w:val="18"/>
                <w:szCs w:val="18"/>
                <w:lang w:val="en-GB"/>
              </w:rPr>
              <w:t>date in relation to latest available information.</w:t>
            </w:r>
          </w:p>
          <w:p w14:paraId="2E8FA1AD" w14:textId="77777777" w:rsidR="00C96521" w:rsidRPr="006A313E" w:rsidRDefault="00C96521" w:rsidP="00C96521">
            <w:pPr>
              <w:widowControl/>
              <w:autoSpaceDE/>
              <w:autoSpaceDN/>
              <w:adjustRightInd/>
              <w:rPr>
                <w:rFonts w:ascii="Arial" w:hAnsi="Arial" w:cs="Arial"/>
                <w:sz w:val="18"/>
                <w:szCs w:val="18"/>
                <w:lang w:val="en-GB"/>
              </w:rPr>
            </w:pPr>
          </w:p>
          <w:p w14:paraId="573A2C15"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126" w:type="dxa"/>
          </w:tcPr>
          <w:p w14:paraId="6DBA1158"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131" w:type="dxa"/>
          </w:tcPr>
          <w:p w14:paraId="1638568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0A5B5E52"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b/>
                <w:sz w:val="18"/>
                <w:szCs w:val="18"/>
                <w:lang w:val="en-GB"/>
              </w:rPr>
              <w:t>NATIONAL GOVERNMENTS</w:t>
            </w:r>
            <w:r w:rsidRPr="006A313E">
              <w:rPr>
                <w:rFonts w:ascii="Arial" w:hAnsi="Arial" w:cs="Arial"/>
                <w:sz w:val="18"/>
                <w:szCs w:val="18"/>
                <w:lang w:val="en-GB"/>
              </w:rPr>
              <w:t>, conservation NGOs, FACE</w:t>
            </w:r>
          </w:p>
        </w:tc>
        <w:tc>
          <w:tcPr>
            <w:tcW w:w="2419" w:type="dxa"/>
          </w:tcPr>
          <w:p w14:paraId="6E3E1FE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3.4.1</w:t>
            </w:r>
          </w:p>
        </w:tc>
      </w:tr>
      <w:tr w:rsidR="00C96521" w:rsidRPr="006A313E" w14:paraId="013EA692" w14:textId="77777777" w:rsidTr="00C96521">
        <w:tc>
          <w:tcPr>
            <w:tcW w:w="2326" w:type="dxa"/>
            <w:vMerge/>
          </w:tcPr>
          <w:p w14:paraId="0602D443"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3595D2AD"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3.4.3</w:t>
            </w:r>
          </w:p>
          <w:p w14:paraId="4FC00380" w14:textId="09D87A42"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Lobby to ensure that national legislation is appropriate to ensure hunting of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is consistent with harvest management measures and enforcement carried out.</w:t>
            </w:r>
          </w:p>
          <w:p w14:paraId="14531860" w14:textId="77777777" w:rsidR="00C96521" w:rsidRPr="006A313E" w:rsidRDefault="00C96521" w:rsidP="00C96521">
            <w:pPr>
              <w:widowControl/>
              <w:autoSpaceDE/>
              <w:autoSpaceDN/>
              <w:adjustRightInd/>
              <w:rPr>
                <w:rFonts w:ascii="Arial" w:hAnsi="Arial" w:cs="Arial"/>
                <w:sz w:val="18"/>
                <w:szCs w:val="18"/>
                <w:lang w:val="en-GB"/>
              </w:rPr>
            </w:pPr>
          </w:p>
          <w:p w14:paraId="52DACA4E"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Applicable to: all Range States where there is hunting.</w:t>
            </w:r>
          </w:p>
        </w:tc>
        <w:tc>
          <w:tcPr>
            <w:tcW w:w="1126" w:type="dxa"/>
          </w:tcPr>
          <w:p w14:paraId="2E8FEB5A"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lastRenderedPageBreak/>
              <w:t>High</w:t>
            </w:r>
          </w:p>
        </w:tc>
        <w:tc>
          <w:tcPr>
            <w:tcW w:w="1131" w:type="dxa"/>
          </w:tcPr>
          <w:p w14:paraId="6244AD71"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7FBEA868"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CONSERVATION NGOs</w:t>
            </w:r>
          </w:p>
        </w:tc>
        <w:tc>
          <w:tcPr>
            <w:tcW w:w="2419" w:type="dxa"/>
          </w:tcPr>
          <w:p w14:paraId="504F8E3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3.4.1</w:t>
            </w:r>
          </w:p>
          <w:p w14:paraId="1710F97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3.4.2</w:t>
            </w:r>
          </w:p>
        </w:tc>
      </w:tr>
      <w:tr w:rsidR="00C96521" w:rsidRPr="006A313E" w14:paraId="76DD282A" w14:textId="77777777" w:rsidTr="00C96521">
        <w:tc>
          <w:tcPr>
            <w:tcW w:w="2326" w:type="dxa"/>
            <w:vMerge/>
          </w:tcPr>
          <w:p w14:paraId="5B88D0D5" w14:textId="77777777" w:rsidR="00C96521" w:rsidRPr="006A313E" w:rsidRDefault="00C96521" w:rsidP="00C96521">
            <w:pPr>
              <w:widowControl/>
              <w:autoSpaceDE/>
              <w:autoSpaceDN/>
              <w:adjustRightInd/>
              <w:rPr>
                <w:rFonts w:ascii="Arial" w:hAnsi="Arial" w:cs="Arial"/>
                <w:sz w:val="18"/>
                <w:szCs w:val="18"/>
                <w:lang w:val="en-GB"/>
              </w:rPr>
            </w:pPr>
          </w:p>
        </w:tc>
        <w:tc>
          <w:tcPr>
            <w:tcW w:w="4516" w:type="dxa"/>
          </w:tcPr>
          <w:p w14:paraId="2AC05226"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Action 3.4.4</w:t>
            </w:r>
          </w:p>
          <w:p w14:paraId="2F1C47C9" w14:textId="3B505200"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 xml:space="preserve">Ensure links to the Convention on Biological Diversity through inclusion of the </w:t>
            </w:r>
            <w:r w:rsidR="008807BF" w:rsidRPr="006A313E">
              <w:rPr>
                <w:rFonts w:ascii="Arial" w:hAnsi="Arial" w:cs="Arial"/>
                <w:sz w:val="18"/>
                <w:szCs w:val="18"/>
                <w:lang w:val="en-GB"/>
              </w:rPr>
              <w:t xml:space="preserve">Turtle Dove </w:t>
            </w:r>
            <w:r w:rsidRPr="006A313E">
              <w:rPr>
                <w:rFonts w:ascii="Arial" w:hAnsi="Arial" w:cs="Arial"/>
                <w:sz w:val="18"/>
                <w:szCs w:val="18"/>
                <w:lang w:val="en-GB"/>
              </w:rPr>
              <w:t xml:space="preserve">in National Biodiversity Strategy and Action Plans, ensuring regular national reporting, particularly for non-EU </w:t>
            </w:r>
            <w:r w:rsidR="008807BF" w:rsidRPr="006A313E">
              <w:rPr>
                <w:rFonts w:ascii="Arial" w:hAnsi="Arial" w:cs="Arial"/>
                <w:sz w:val="18"/>
                <w:szCs w:val="18"/>
                <w:lang w:val="en-GB"/>
              </w:rPr>
              <w:t>R</w:t>
            </w:r>
            <w:r w:rsidRPr="006A313E">
              <w:rPr>
                <w:rFonts w:ascii="Arial" w:hAnsi="Arial" w:cs="Arial"/>
                <w:sz w:val="18"/>
                <w:szCs w:val="18"/>
                <w:lang w:val="en-GB"/>
              </w:rPr>
              <w:t xml:space="preserve">ange </w:t>
            </w:r>
            <w:r w:rsidR="008807BF" w:rsidRPr="006A313E">
              <w:rPr>
                <w:rFonts w:ascii="Arial" w:hAnsi="Arial" w:cs="Arial"/>
                <w:sz w:val="18"/>
                <w:szCs w:val="18"/>
                <w:lang w:val="en-GB"/>
              </w:rPr>
              <w:t>S</w:t>
            </w:r>
            <w:r w:rsidRPr="006A313E">
              <w:rPr>
                <w:rFonts w:ascii="Arial" w:hAnsi="Arial" w:cs="Arial"/>
                <w:sz w:val="18"/>
                <w:szCs w:val="18"/>
                <w:lang w:val="en-GB"/>
              </w:rPr>
              <w:t>tates not covered by Article 12 reporting.</w:t>
            </w:r>
          </w:p>
          <w:p w14:paraId="6AFAA489" w14:textId="77777777" w:rsidR="00C96521" w:rsidRPr="006A313E" w:rsidRDefault="00C96521" w:rsidP="00C96521">
            <w:pPr>
              <w:widowControl/>
              <w:autoSpaceDE/>
              <w:autoSpaceDN/>
              <w:adjustRightInd/>
              <w:rPr>
                <w:rFonts w:ascii="Arial" w:hAnsi="Arial" w:cs="Arial"/>
                <w:sz w:val="18"/>
                <w:szCs w:val="18"/>
                <w:lang w:val="en-GB"/>
              </w:rPr>
            </w:pPr>
          </w:p>
          <w:p w14:paraId="2C8716A7"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Applicable to: all Range States.</w:t>
            </w:r>
          </w:p>
        </w:tc>
        <w:tc>
          <w:tcPr>
            <w:tcW w:w="1126" w:type="dxa"/>
          </w:tcPr>
          <w:p w14:paraId="557CDA4F"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High</w:t>
            </w:r>
          </w:p>
        </w:tc>
        <w:tc>
          <w:tcPr>
            <w:tcW w:w="1131" w:type="dxa"/>
          </w:tcPr>
          <w:p w14:paraId="31CFFA24"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Short</w:t>
            </w:r>
          </w:p>
        </w:tc>
        <w:tc>
          <w:tcPr>
            <w:tcW w:w="2657" w:type="dxa"/>
          </w:tcPr>
          <w:p w14:paraId="12BC1112" w14:textId="77777777" w:rsidR="00C96521" w:rsidRPr="006A313E" w:rsidRDefault="00C96521" w:rsidP="00C96521">
            <w:pPr>
              <w:widowControl/>
              <w:autoSpaceDE/>
              <w:autoSpaceDN/>
              <w:adjustRightInd/>
              <w:rPr>
                <w:rFonts w:ascii="Arial" w:hAnsi="Arial" w:cs="Arial"/>
                <w:b/>
                <w:sz w:val="18"/>
                <w:szCs w:val="18"/>
                <w:lang w:val="en-GB"/>
              </w:rPr>
            </w:pPr>
            <w:r w:rsidRPr="006A313E">
              <w:rPr>
                <w:rFonts w:ascii="Arial" w:hAnsi="Arial" w:cs="Arial"/>
                <w:b/>
                <w:sz w:val="18"/>
                <w:szCs w:val="18"/>
                <w:lang w:val="en-GB"/>
              </w:rPr>
              <w:t>NATIONAL GOVERNMENTS</w:t>
            </w:r>
          </w:p>
        </w:tc>
        <w:tc>
          <w:tcPr>
            <w:tcW w:w="2419" w:type="dxa"/>
          </w:tcPr>
          <w:p w14:paraId="53E798C9" w14:textId="77777777" w:rsidR="00C96521" w:rsidRPr="006A313E" w:rsidRDefault="00C96521" w:rsidP="00C96521">
            <w:pPr>
              <w:widowControl/>
              <w:autoSpaceDE/>
              <w:autoSpaceDN/>
              <w:adjustRightInd/>
              <w:rPr>
                <w:rFonts w:ascii="Arial" w:hAnsi="Arial" w:cs="Arial"/>
                <w:sz w:val="18"/>
                <w:szCs w:val="18"/>
                <w:lang w:val="en-GB"/>
              </w:rPr>
            </w:pPr>
            <w:r w:rsidRPr="006A313E">
              <w:rPr>
                <w:rFonts w:ascii="Arial" w:hAnsi="Arial" w:cs="Arial"/>
                <w:sz w:val="18"/>
                <w:szCs w:val="18"/>
                <w:lang w:val="en-GB"/>
              </w:rPr>
              <w:t>National Biodiversity Strategy and Action Plans.</w:t>
            </w:r>
          </w:p>
        </w:tc>
      </w:tr>
    </w:tbl>
    <w:p w14:paraId="1D5AC899"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3ECE5A71"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340"/>
        <w:gridCol w:w="4572"/>
        <w:gridCol w:w="993"/>
        <w:gridCol w:w="1134"/>
        <w:gridCol w:w="2693"/>
        <w:gridCol w:w="2443"/>
      </w:tblGrid>
      <w:tr w:rsidR="00C96521" w:rsidRPr="006437E1" w14:paraId="21CE0FF0" w14:textId="77777777" w:rsidTr="006A313E">
        <w:trPr>
          <w:tblHeader/>
        </w:trPr>
        <w:tc>
          <w:tcPr>
            <w:tcW w:w="14175" w:type="dxa"/>
            <w:gridSpan w:val="6"/>
            <w:shd w:val="clear" w:color="auto" w:fill="BFBFBF" w:themeFill="background1" w:themeFillShade="BF"/>
          </w:tcPr>
          <w:p w14:paraId="0D70781F" w14:textId="28F4306E"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Objective 4: Good quantity and quality of suitable </w:t>
            </w:r>
            <w:r w:rsidR="008807BF" w:rsidRPr="006437E1">
              <w:rPr>
                <w:rFonts w:ascii="Arial" w:hAnsi="Arial" w:cs="Arial"/>
                <w:sz w:val="18"/>
                <w:szCs w:val="18"/>
                <w:lang w:val="en-GB"/>
              </w:rPr>
              <w:t xml:space="preserve">Turtle Dove </w:t>
            </w:r>
            <w:r w:rsidRPr="006437E1">
              <w:rPr>
                <w:rFonts w:ascii="Arial" w:hAnsi="Arial" w:cs="Arial"/>
                <w:sz w:val="18"/>
                <w:szCs w:val="18"/>
                <w:lang w:val="en-GB"/>
              </w:rPr>
              <w:t>habitat, with available and accessible water and food, are maintained and increased at key sites for stop-over and overwintering.</w:t>
            </w:r>
          </w:p>
          <w:p w14:paraId="2EBCF34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Threat - Lack of one or more of the three essential requirements at key sites while on migration/overwintering: food, water, roosting locations (High)</w:t>
            </w:r>
          </w:p>
        </w:tc>
      </w:tr>
      <w:tr w:rsidR="00C96521" w:rsidRPr="006437E1" w14:paraId="1C4AD727" w14:textId="77777777" w:rsidTr="00C96521">
        <w:trPr>
          <w:tblHeader/>
        </w:trPr>
        <w:tc>
          <w:tcPr>
            <w:tcW w:w="2340" w:type="dxa"/>
            <w:shd w:val="clear" w:color="auto" w:fill="D9D9D9"/>
          </w:tcPr>
          <w:p w14:paraId="79462A8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Result</w:t>
            </w:r>
          </w:p>
        </w:tc>
        <w:tc>
          <w:tcPr>
            <w:tcW w:w="4572" w:type="dxa"/>
            <w:shd w:val="clear" w:color="auto" w:fill="D9D9D9"/>
          </w:tcPr>
          <w:p w14:paraId="13DB3E3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and scope</w:t>
            </w:r>
          </w:p>
        </w:tc>
        <w:tc>
          <w:tcPr>
            <w:tcW w:w="993" w:type="dxa"/>
            <w:shd w:val="clear" w:color="auto" w:fill="D9D9D9"/>
          </w:tcPr>
          <w:p w14:paraId="5CED7EB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Priority</w:t>
            </w:r>
          </w:p>
        </w:tc>
        <w:tc>
          <w:tcPr>
            <w:tcW w:w="1134" w:type="dxa"/>
            <w:shd w:val="clear" w:color="auto" w:fill="D9D9D9"/>
          </w:tcPr>
          <w:p w14:paraId="1E22428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Timescale</w:t>
            </w:r>
          </w:p>
        </w:tc>
        <w:tc>
          <w:tcPr>
            <w:tcW w:w="2693" w:type="dxa"/>
            <w:shd w:val="clear" w:color="auto" w:fill="D9D9D9"/>
          </w:tcPr>
          <w:p w14:paraId="235F73BD" w14:textId="05D7AE5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Organi</w:t>
            </w:r>
            <w:r w:rsidR="008807BF" w:rsidRPr="006437E1">
              <w:rPr>
                <w:rFonts w:ascii="Arial" w:hAnsi="Arial" w:cs="Arial"/>
                <w:sz w:val="18"/>
                <w:szCs w:val="18"/>
                <w:lang w:val="en-GB"/>
              </w:rPr>
              <w:t>z</w:t>
            </w:r>
            <w:r w:rsidRPr="006437E1">
              <w:rPr>
                <w:rFonts w:ascii="Arial" w:hAnsi="Arial" w:cs="Arial"/>
                <w:sz w:val="18"/>
                <w:szCs w:val="18"/>
                <w:lang w:val="en-GB"/>
              </w:rPr>
              <w:t>ations responsible</w:t>
            </w:r>
          </w:p>
        </w:tc>
        <w:tc>
          <w:tcPr>
            <w:tcW w:w="2443" w:type="dxa"/>
            <w:shd w:val="clear" w:color="auto" w:fill="D9D9D9"/>
          </w:tcPr>
          <w:p w14:paraId="1FE7D7B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Inputs required</w:t>
            </w:r>
          </w:p>
        </w:tc>
      </w:tr>
      <w:tr w:rsidR="00C96521" w:rsidRPr="006437E1" w14:paraId="58D19911" w14:textId="77777777" w:rsidTr="00C96521">
        <w:tc>
          <w:tcPr>
            <w:tcW w:w="2340" w:type="dxa"/>
            <w:vMerge w:val="restart"/>
          </w:tcPr>
          <w:p w14:paraId="7E2CC6EF" w14:textId="4376D550"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4.1 Water availability improved for </w:t>
            </w:r>
            <w:r w:rsidR="008807BF" w:rsidRPr="006437E1">
              <w:rPr>
                <w:rFonts w:ascii="Arial" w:hAnsi="Arial" w:cs="Arial"/>
                <w:sz w:val="18"/>
                <w:szCs w:val="18"/>
                <w:lang w:val="en-GB"/>
              </w:rPr>
              <w:t xml:space="preserve">Turtle Dove </w:t>
            </w:r>
            <w:r w:rsidRPr="006437E1">
              <w:rPr>
                <w:rFonts w:ascii="Arial" w:hAnsi="Arial" w:cs="Arial"/>
                <w:sz w:val="18"/>
                <w:szCs w:val="18"/>
                <w:lang w:val="en-GB"/>
              </w:rPr>
              <w:t>in range states where the species overwinters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16D8C1E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4.1.1</w:t>
            </w:r>
          </w:p>
          <w:p w14:paraId="52BA4C16" w14:textId="6BB0EB2C"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Evaluate water availability and persistence of sources in Africa in areas used by large numbers of </w:t>
            </w:r>
            <w:r w:rsidR="008807BF" w:rsidRPr="006437E1">
              <w:rPr>
                <w:rFonts w:ascii="Arial" w:hAnsi="Arial" w:cs="Arial"/>
                <w:sz w:val="18"/>
                <w:szCs w:val="18"/>
                <w:lang w:val="en-GB"/>
              </w:rPr>
              <w:t xml:space="preserve">Turtle Doves </w:t>
            </w:r>
          </w:p>
          <w:p w14:paraId="5005C05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Range States in West and East Africa.</w:t>
            </w:r>
          </w:p>
        </w:tc>
        <w:tc>
          <w:tcPr>
            <w:tcW w:w="993" w:type="dxa"/>
          </w:tcPr>
          <w:p w14:paraId="07B05CA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13DEB84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625128B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national hunting federations, academic institutions</w:t>
            </w:r>
          </w:p>
        </w:tc>
        <w:tc>
          <w:tcPr>
            <w:tcW w:w="2443" w:type="dxa"/>
          </w:tcPr>
          <w:p w14:paraId="5E936D3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Tracking data, hydrology data, remote sensing imagery.</w:t>
            </w:r>
          </w:p>
        </w:tc>
      </w:tr>
      <w:tr w:rsidR="00C96521" w:rsidRPr="006437E1" w14:paraId="6F841797" w14:textId="77777777" w:rsidTr="00C96521">
        <w:tc>
          <w:tcPr>
            <w:tcW w:w="2340" w:type="dxa"/>
            <w:vMerge/>
          </w:tcPr>
          <w:p w14:paraId="7BEA02F4"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5B804C6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4.1.2</w:t>
            </w:r>
          </w:p>
          <w:p w14:paraId="64006F6C" w14:textId="090ABAB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Implement local actions to manage water availability at key stop-over and wintering sites for </w:t>
            </w:r>
            <w:r w:rsidR="008807BF" w:rsidRPr="006437E1">
              <w:rPr>
                <w:rFonts w:ascii="Arial" w:hAnsi="Arial" w:cs="Arial"/>
                <w:sz w:val="18"/>
                <w:szCs w:val="18"/>
                <w:lang w:val="en-GB"/>
              </w:rPr>
              <w:t>Turtle Dove</w:t>
            </w:r>
          </w:p>
          <w:p w14:paraId="7FBF782B" w14:textId="77777777" w:rsidR="00C96521" w:rsidRPr="006437E1" w:rsidRDefault="00C96521" w:rsidP="00C96521">
            <w:pPr>
              <w:widowControl/>
              <w:autoSpaceDE/>
              <w:autoSpaceDN/>
              <w:adjustRightInd/>
              <w:rPr>
                <w:rFonts w:ascii="Arial" w:hAnsi="Arial" w:cs="Arial"/>
                <w:sz w:val="18"/>
                <w:szCs w:val="18"/>
                <w:lang w:val="en-GB"/>
              </w:rPr>
            </w:pPr>
          </w:p>
          <w:p w14:paraId="6F72061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Range States in West and East Africa</w:t>
            </w:r>
          </w:p>
        </w:tc>
        <w:tc>
          <w:tcPr>
            <w:tcW w:w="993" w:type="dxa"/>
          </w:tcPr>
          <w:p w14:paraId="045FFBD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714E3BF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615EE45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national hunting federations, academic institutions</w:t>
            </w:r>
          </w:p>
        </w:tc>
        <w:tc>
          <w:tcPr>
            <w:tcW w:w="2443" w:type="dxa"/>
          </w:tcPr>
          <w:p w14:paraId="106AE29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4.1.1</w:t>
            </w:r>
          </w:p>
        </w:tc>
      </w:tr>
      <w:tr w:rsidR="00C96521" w:rsidRPr="006437E1" w14:paraId="2338693F" w14:textId="77777777" w:rsidTr="00C96521">
        <w:tc>
          <w:tcPr>
            <w:tcW w:w="2340" w:type="dxa"/>
            <w:vMerge w:val="restart"/>
          </w:tcPr>
          <w:p w14:paraId="398A0068" w14:textId="46A91983"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4.2 Food availability improved for </w:t>
            </w:r>
            <w:r w:rsidR="008807BF" w:rsidRPr="006437E1">
              <w:rPr>
                <w:rFonts w:ascii="Arial" w:hAnsi="Arial" w:cs="Arial"/>
                <w:sz w:val="18"/>
                <w:szCs w:val="18"/>
                <w:lang w:val="en-GB"/>
              </w:rPr>
              <w:t xml:space="preserve">Turtle Dove </w:t>
            </w:r>
            <w:r w:rsidRPr="006437E1">
              <w:rPr>
                <w:rFonts w:ascii="Arial" w:hAnsi="Arial" w:cs="Arial"/>
                <w:sz w:val="18"/>
                <w:szCs w:val="18"/>
                <w:lang w:val="en-GB"/>
              </w:rPr>
              <w:t>in range states where the species overwinters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7E3E55B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4.2.1</w:t>
            </w:r>
          </w:p>
          <w:p w14:paraId="386A652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Evaluate food availability and persistence of food sources in Africa in areas used by large numbers of turtle-doves.</w:t>
            </w:r>
          </w:p>
          <w:p w14:paraId="64B8758B" w14:textId="77777777" w:rsidR="00C96521" w:rsidRPr="006437E1" w:rsidRDefault="00C96521" w:rsidP="00C96521">
            <w:pPr>
              <w:widowControl/>
              <w:autoSpaceDE/>
              <w:autoSpaceDN/>
              <w:adjustRightInd/>
              <w:rPr>
                <w:rFonts w:ascii="Arial" w:hAnsi="Arial" w:cs="Arial"/>
                <w:sz w:val="18"/>
                <w:szCs w:val="18"/>
                <w:lang w:val="en-GB"/>
              </w:rPr>
            </w:pPr>
          </w:p>
          <w:p w14:paraId="13823B8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Range States in West and East Africa.</w:t>
            </w:r>
          </w:p>
        </w:tc>
        <w:tc>
          <w:tcPr>
            <w:tcW w:w="993" w:type="dxa"/>
          </w:tcPr>
          <w:p w14:paraId="063352D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79FDA19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122C695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national hunting federations, academic institutions</w:t>
            </w:r>
          </w:p>
        </w:tc>
        <w:tc>
          <w:tcPr>
            <w:tcW w:w="2443" w:type="dxa"/>
          </w:tcPr>
          <w:p w14:paraId="4CD1AF2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Tracking data, hydrology data, remote sensing imagery.</w:t>
            </w:r>
          </w:p>
        </w:tc>
      </w:tr>
      <w:tr w:rsidR="00C96521" w:rsidRPr="006437E1" w14:paraId="79324FC0" w14:textId="77777777" w:rsidTr="00C96521">
        <w:tc>
          <w:tcPr>
            <w:tcW w:w="2340" w:type="dxa"/>
            <w:vMerge/>
          </w:tcPr>
          <w:p w14:paraId="462A4AB6"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5F81042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4.2.2</w:t>
            </w:r>
          </w:p>
          <w:p w14:paraId="738841EC" w14:textId="2179A1DC"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Implement local actions to manage food availability at key stop-over and wintering sites for </w:t>
            </w:r>
            <w:r w:rsidR="008807BF" w:rsidRPr="006437E1">
              <w:rPr>
                <w:rFonts w:ascii="Arial" w:hAnsi="Arial" w:cs="Arial"/>
                <w:sz w:val="18"/>
                <w:szCs w:val="18"/>
                <w:lang w:val="en-GB"/>
              </w:rPr>
              <w:t>Turtle Dove</w:t>
            </w:r>
          </w:p>
          <w:p w14:paraId="4D55F611" w14:textId="77777777" w:rsidR="00C96521" w:rsidRPr="006437E1" w:rsidRDefault="00C96521" w:rsidP="00C96521">
            <w:pPr>
              <w:widowControl/>
              <w:autoSpaceDE/>
              <w:autoSpaceDN/>
              <w:adjustRightInd/>
              <w:rPr>
                <w:rFonts w:ascii="Arial" w:hAnsi="Arial" w:cs="Arial"/>
                <w:sz w:val="18"/>
                <w:szCs w:val="18"/>
                <w:lang w:val="en-GB"/>
              </w:rPr>
            </w:pPr>
          </w:p>
          <w:p w14:paraId="75CDC36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Range States in West and East Africa</w:t>
            </w:r>
          </w:p>
        </w:tc>
        <w:tc>
          <w:tcPr>
            <w:tcW w:w="993" w:type="dxa"/>
          </w:tcPr>
          <w:p w14:paraId="71CEA02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1EE3190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09446DE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national hunting federations, academic institutions</w:t>
            </w:r>
          </w:p>
        </w:tc>
        <w:tc>
          <w:tcPr>
            <w:tcW w:w="2443" w:type="dxa"/>
          </w:tcPr>
          <w:p w14:paraId="2137EAA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4.2.1</w:t>
            </w:r>
          </w:p>
        </w:tc>
      </w:tr>
      <w:tr w:rsidR="00C96521" w:rsidRPr="006437E1" w14:paraId="50456DF5" w14:textId="77777777" w:rsidTr="00C96521">
        <w:tc>
          <w:tcPr>
            <w:tcW w:w="2340" w:type="dxa"/>
            <w:vMerge w:val="restart"/>
          </w:tcPr>
          <w:p w14:paraId="1A2A6A5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4.3 Guidelines on management of turtle-dove passage and </w:t>
            </w:r>
            <w:r w:rsidRPr="006437E1">
              <w:rPr>
                <w:rFonts w:ascii="Arial" w:hAnsi="Arial" w:cs="Arial"/>
                <w:sz w:val="18"/>
                <w:szCs w:val="18"/>
                <w:lang w:val="en-GB"/>
              </w:rPr>
              <w:lastRenderedPageBreak/>
              <w:t>overwintering sites for key stakeholders by [</w:t>
            </w:r>
            <w:r w:rsidRPr="006437E1">
              <w:rPr>
                <w:rFonts w:ascii="Arial" w:hAnsi="Arial" w:cs="Arial"/>
                <w:i/>
                <w:sz w:val="18"/>
                <w:szCs w:val="18"/>
                <w:lang w:val="en-GB"/>
              </w:rPr>
              <w:t>2020</w:t>
            </w:r>
            <w:r w:rsidRPr="006437E1">
              <w:rPr>
                <w:rFonts w:ascii="Arial" w:hAnsi="Arial" w:cs="Arial"/>
                <w:sz w:val="18"/>
                <w:szCs w:val="18"/>
                <w:lang w:val="en-GB"/>
              </w:rPr>
              <w:t>], and incorporated into planning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683E738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Action 4.3.1</w:t>
            </w:r>
          </w:p>
          <w:p w14:paraId="3EE2FFC6" w14:textId="72D2508E"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Develop, test and roll-out guidelines on managing </w:t>
            </w:r>
            <w:r w:rsidR="008807BF" w:rsidRPr="006437E1">
              <w:rPr>
                <w:rFonts w:ascii="Arial" w:hAnsi="Arial" w:cs="Arial"/>
                <w:sz w:val="18"/>
                <w:szCs w:val="18"/>
                <w:lang w:val="en-GB"/>
              </w:rPr>
              <w:t xml:space="preserve">Turtle Dove </w:t>
            </w:r>
            <w:r w:rsidRPr="006437E1">
              <w:rPr>
                <w:rFonts w:ascii="Arial" w:hAnsi="Arial" w:cs="Arial"/>
                <w:sz w:val="18"/>
                <w:szCs w:val="18"/>
                <w:lang w:val="en-GB"/>
              </w:rPr>
              <w:t>habitats at passage and overwintering sites, with regional variation as required.</w:t>
            </w:r>
          </w:p>
          <w:p w14:paraId="257B20D4" w14:textId="77777777" w:rsidR="00C96521" w:rsidRPr="006437E1" w:rsidRDefault="00C96521" w:rsidP="00C96521">
            <w:pPr>
              <w:widowControl/>
              <w:autoSpaceDE/>
              <w:autoSpaceDN/>
              <w:adjustRightInd/>
              <w:rPr>
                <w:rFonts w:ascii="Arial" w:hAnsi="Arial" w:cs="Arial"/>
                <w:sz w:val="18"/>
                <w:szCs w:val="18"/>
                <w:lang w:val="en-GB"/>
              </w:rPr>
            </w:pPr>
          </w:p>
          <w:p w14:paraId="7FA72CF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(in wintering and key stop-over Range States): forest and woodland managers; water/river managers; community and local authorities; national authorities; Protected Area managers; military land holding managers; hunting estates.</w:t>
            </w:r>
          </w:p>
        </w:tc>
        <w:tc>
          <w:tcPr>
            <w:tcW w:w="993" w:type="dxa"/>
          </w:tcPr>
          <w:p w14:paraId="4B74282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134" w:type="dxa"/>
          </w:tcPr>
          <w:p w14:paraId="4234BA0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7BD18D4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xml:space="preserve">, conservation NGOs, national hunting federations, academic </w:t>
            </w:r>
            <w:r w:rsidRPr="006437E1">
              <w:rPr>
                <w:rFonts w:ascii="Arial" w:hAnsi="Arial" w:cs="Arial"/>
                <w:sz w:val="18"/>
                <w:szCs w:val="18"/>
                <w:lang w:val="en-GB"/>
              </w:rPr>
              <w:lastRenderedPageBreak/>
              <w:t>institutions, land managers, water resource managers, community and local authorities</w:t>
            </w:r>
          </w:p>
        </w:tc>
        <w:tc>
          <w:tcPr>
            <w:tcW w:w="2443" w:type="dxa"/>
          </w:tcPr>
          <w:p w14:paraId="3126153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Existing studies on diet, habitat requirements, and ecology. </w:t>
            </w:r>
          </w:p>
          <w:p w14:paraId="1D07D36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Action 1.2.2</w:t>
            </w:r>
          </w:p>
        </w:tc>
      </w:tr>
      <w:tr w:rsidR="00C96521" w:rsidRPr="006437E1" w14:paraId="3B40DD15" w14:textId="77777777" w:rsidTr="00C96521">
        <w:tc>
          <w:tcPr>
            <w:tcW w:w="2340" w:type="dxa"/>
            <w:vMerge/>
          </w:tcPr>
          <w:p w14:paraId="1298268D"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720B9AD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4.3.2</w:t>
            </w:r>
          </w:p>
          <w:p w14:paraId="423FAC47" w14:textId="0A227EC3"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Reassessment of existing Key Biodiversity Areas (KBAs) for </w:t>
            </w:r>
            <w:r w:rsidR="008807BF" w:rsidRPr="00235FA0">
              <w:rPr>
                <w:rFonts w:ascii="Arial" w:hAnsi="Arial" w:cs="Arial"/>
                <w:sz w:val="18"/>
                <w:szCs w:val="18"/>
                <w:lang w:val="en-GB"/>
              </w:rPr>
              <w:t xml:space="preserve">Turtle Dove </w:t>
            </w:r>
            <w:r w:rsidRPr="006437E1">
              <w:rPr>
                <w:rFonts w:ascii="Arial" w:hAnsi="Arial" w:cs="Arial"/>
                <w:sz w:val="18"/>
                <w:szCs w:val="18"/>
                <w:lang w:val="en-GB"/>
              </w:rPr>
              <w:t>and production and implementation of tailored management guidelines for the species in KBAs.</w:t>
            </w:r>
          </w:p>
          <w:p w14:paraId="1FC103F9" w14:textId="77777777" w:rsidR="00C96521" w:rsidRPr="006437E1" w:rsidRDefault="00C96521" w:rsidP="00C96521">
            <w:pPr>
              <w:widowControl/>
              <w:autoSpaceDE/>
              <w:autoSpaceDN/>
              <w:adjustRightInd/>
              <w:rPr>
                <w:rFonts w:ascii="Arial" w:hAnsi="Arial" w:cs="Arial"/>
                <w:sz w:val="18"/>
                <w:szCs w:val="18"/>
                <w:lang w:val="en-GB"/>
              </w:rPr>
            </w:pPr>
          </w:p>
          <w:p w14:paraId="4AC23BA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(in wintering and key stop-over Range States) Protected Area managers.</w:t>
            </w:r>
          </w:p>
        </w:tc>
        <w:tc>
          <w:tcPr>
            <w:tcW w:w="993" w:type="dxa"/>
          </w:tcPr>
          <w:p w14:paraId="18783BF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57A1E7B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794462E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academic institutions, land managers, water resource managers, community and local authorities</w:t>
            </w:r>
          </w:p>
        </w:tc>
        <w:tc>
          <w:tcPr>
            <w:tcW w:w="2443" w:type="dxa"/>
          </w:tcPr>
          <w:p w14:paraId="4F92191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4.1.2</w:t>
            </w:r>
          </w:p>
          <w:p w14:paraId="32D89E6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4.3.1</w:t>
            </w:r>
          </w:p>
        </w:tc>
      </w:tr>
      <w:tr w:rsidR="00C96521" w:rsidRPr="006437E1" w14:paraId="3B8194AE" w14:textId="77777777" w:rsidTr="00C96521">
        <w:tc>
          <w:tcPr>
            <w:tcW w:w="2340" w:type="dxa"/>
            <w:vMerge w:val="restart"/>
          </w:tcPr>
          <w:p w14:paraId="426E536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4.4 [n] locally supported small-scale projects aimed at restoring or conserving turtle-dove habitat across the wintering range by [</w:t>
            </w:r>
            <w:r w:rsidRPr="006437E1">
              <w:rPr>
                <w:rFonts w:ascii="Arial" w:hAnsi="Arial" w:cs="Arial"/>
                <w:i/>
                <w:sz w:val="18"/>
                <w:szCs w:val="18"/>
                <w:lang w:val="en-GB"/>
              </w:rPr>
              <w:t>2020</w:t>
            </w:r>
            <w:r w:rsidRPr="006437E1">
              <w:rPr>
                <w:rFonts w:ascii="Arial" w:hAnsi="Arial" w:cs="Arial"/>
                <w:sz w:val="18"/>
                <w:szCs w:val="18"/>
                <w:lang w:val="en-GB"/>
              </w:rPr>
              <w:t>].</w:t>
            </w:r>
          </w:p>
        </w:tc>
        <w:tc>
          <w:tcPr>
            <w:tcW w:w="4572" w:type="dxa"/>
          </w:tcPr>
          <w:p w14:paraId="1D82A26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4.4.1</w:t>
            </w:r>
          </w:p>
          <w:p w14:paraId="379C6F21" w14:textId="0F15032C"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Inventory and evaluation of small-scale local projects that benefit turtle-dove habitats (e</w:t>
            </w:r>
            <w:r w:rsidR="008807BF" w:rsidRPr="006437E1">
              <w:rPr>
                <w:rFonts w:ascii="Arial" w:hAnsi="Arial" w:cs="Arial"/>
                <w:sz w:val="18"/>
                <w:szCs w:val="18"/>
                <w:lang w:val="en-GB"/>
              </w:rPr>
              <w:t>.</w:t>
            </w:r>
            <w:r w:rsidRPr="006437E1">
              <w:rPr>
                <w:rFonts w:ascii="Arial" w:hAnsi="Arial" w:cs="Arial"/>
                <w:sz w:val="18"/>
                <w:szCs w:val="18"/>
                <w:lang w:val="en-GB"/>
              </w:rPr>
              <w:t>g</w:t>
            </w:r>
            <w:r w:rsidR="008807BF" w:rsidRPr="006437E1">
              <w:rPr>
                <w:rFonts w:ascii="Arial" w:hAnsi="Arial" w:cs="Arial"/>
                <w:sz w:val="18"/>
                <w:szCs w:val="18"/>
                <w:lang w:val="en-GB"/>
              </w:rPr>
              <w:t>.</w:t>
            </w:r>
            <w:r w:rsidRPr="006437E1">
              <w:rPr>
                <w:rFonts w:ascii="Arial" w:hAnsi="Arial" w:cs="Arial"/>
                <w:sz w:val="18"/>
                <w:szCs w:val="18"/>
                <w:lang w:val="en-GB"/>
              </w:rPr>
              <w:t xml:space="preserve"> native tree-planting projects where local people are encouraged to contribute and later have the opportunity to harvest the wood).</w:t>
            </w:r>
          </w:p>
          <w:p w14:paraId="0760238D" w14:textId="77777777" w:rsidR="00C96521" w:rsidRPr="006437E1" w:rsidRDefault="00C96521" w:rsidP="00C96521">
            <w:pPr>
              <w:widowControl/>
              <w:autoSpaceDE/>
              <w:autoSpaceDN/>
              <w:adjustRightInd/>
              <w:rPr>
                <w:rFonts w:ascii="Arial" w:hAnsi="Arial" w:cs="Arial"/>
                <w:sz w:val="18"/>
                <w:szCs w:val="18"/>
                <w:lang w:val="en-GB"/>
              </w:rPr>
            </w:pPr>
          </w:p>
          <w:p w14:paraId="0E4094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wintering Range States.</w:t>
            </w:r>
          </w:p>
        </w:tc>
        <w:tc>
          <w:tcPr>
            <w:tcW w:w="993" w:type="dxa"/>
          </w:tcPr>
          <w:p w14:paraId="5E8F547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3BA7328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1849C60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development NGOs.</w:t>
            </w:r>
          </w:p>
        </w:tc>
        <w:tc>
          <w:tcPr>
            <w:tcW w:w="2443" w:type="dxa"/>
          </w:tcPr>
          <w:p w14:paraId="613EA66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Local project reports.</w:t>
            </w:r>
          </w:p>
        </w:tc>
      </w:tr>
      <w:tr w:rsidR="00C96521" w:rsidRPr="006437E1" w14:paraId="5CEB3C4C" w14:textId="77777777" w:rsidTr="00C96521">
        <w:tc>
          <w:tcPr>
            <w:tcW w:w="2340" w:type="dxa"/>
            <w:vMerge/>
          </w:tcPr>
          <w:p w14:paraId="7531AEF3"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0E11950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4.4.2</w:t>
            </w:r>
          </w:p>
          <w:p w14:paraId="538E944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Best practice and case study examples of small-scale local projects promoted across the wintering range.</w:t>
            </w:r>
          </w:p>
          <w:p w14:paraId="1FDBD2EC" w14:textId="77777777" w:rsidR="00C96521" w:rsidRPr="006437E1" w:rsidRDefault="00C96521" w:rsidP="00C96521">
            <w:pPr>
              <w:widowControl/>
              <w:autoSpaceDE/>
              <w:autoSpaceDN/>
              <w:adjustRightInd/>
              <w:rPr>
                <w:rFonts w:ascii="Arial" w:hAnsi="Arial" w:cs="Arial"/>
                <w:sz w:val="18"/>
                <w:szCs w:val="18"/>
                <w:lang w:val="en-GB"/>
              </w:rPr>
            </w:pPr>
          </w:p>
          <w:p w14:paraId="4F375AC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wintering Range States.</w:t>
            </w:r>
          </w:p>
        </w:tc>
        <w:tc>
          <w:tcPr>
            <w:tcW w:w="993" w:type="dxa"/>
          </w:tcPr>
          <w:p w14:paraId="19A1B91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6C458CE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433C527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development NGOs.</w:t>
            </w:r>
          </w:p>
        </w:tc>
        <w:tc>
          <w:tcPr>
            <w:tcW w:w="2443" w:type="dxa"/>
          </w:tcPr>
          <w:p w14:paraId="7C3373B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4.4.1</w:t>
            </w:r>
          </w:p>
        </w:tc>
      </w:tr>
      <w:tr w:rsidR="00C96521" w:rsidRPr="006437E1" w14:paraId="3F7CC335" w14:textId="77777777" w:rsidTr="00C96521">
        <w:tc>
          <w:tcPr>
            <w:tcW w:w="2340" w:type="dxa"/>
          </w:tcPr>
          <w:p w14:paraId="47752386" w14:textId="317E9CC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4.5 Large </w:t>
            </w:r>
            <w:r w:rsidR="008807BF" w:rsidRPr="00235FA0">
              <w:rPr>
                <w:rFonts w:ascii="Arial" w:hAnsi="Arial" w:cs="Arial"/>
                <w:sz w:val="18"/>
                <w:szCs w:val="18"/>
                <w:lang w:val="en-GB"/>
              </w:rPr>
              <w:t xml:space="preserve">Turtle Dove </w:t>
            </w:r>
            <w:r w:rsidRPr="006437E1">
              <w:rPr>
                <w:rFonts w:ascii="Arial" w:hAnsi="Arial" w:cs="Arial"/>
                <w:sz w:val="18"/>
                <w:szCs w:val="18"/>
                <w:lang w:val="en-GB"/>
              </w:rPr>
              <w:t>roosts under the control of special interest groups are managed sympathetically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73E0A57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4.5.1</w:t>
            </w:r>
          </w:p>
          <w:p w14:paraId="0C37D11F" w14:textId="409961B2"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Establish Management Agreements for specific </w:t>
            </w:r>
            <w:r w:rsidR="008807BF" w:rsidRPr="006437E1">
              <w:rPr>
                <w:rFonts w:ascii="Arial" w:hAnsi="Arial" w:cs="Arial"/>
                <w:sz w:val="18"/>
                <w:szCs w:val="18"/>
                <w:lang w:val="en-GB"/>
              </w:rPr>
              <w:t>T</w:t>
            </w:r>
            <w:r w:rsidRPr="006437E1">
              <w:rPr>
                <w:rFonts w:ascii="Arial" w:hAnsi="Arial" w:cs="Arial"/>
                <w:sz w:val="18"/>
                <w:szCs w:val="18"/>
                <w:lang w:val="en-GB"/>
              </w:rPr>
              <w:t>urtle</w:t>
            </w:r>
            <w:r w:rsidR="008807BF" w:rsidRPr="006437E1">
              <w:rPr>
                <w:rFonts w:ascii="Arial" w:hAnsi="Arial" w:cs="Arial"/>
                <w:sz w:val="18"/>
                <w:szCs w:val="18"/>
                <w:lang w:val="en-GB"/>
              </w:rPr>
              <w:t xml:space="preserve"> D</w:t>
            </w:r>
            <w:r w:rsidRPr="006437E1">
              <w:rPr>
                <w:rFonts w:ascii="Arial" w:hAnsi="Arial" w:cs="Arial"/>
                <w:sz w:val="18"/>
                <w:szCs w:val="18"/>
                <w:lang w:val="en-GB"/>
              </w:rPr>
              <w:t>ove roosting areas that are under the control of special interest groups (e</w:t>
            </w:r>
            <w:r w:rsidR="008807BF" w:rsidRPr="006437E1">
              <w:rPr>
                <w:rFonts w:ascii="Arial" w:hAnsi="Arial" w:cs="Arial"/>
                <w:sz w:val="18"/>
                <w:szCs w:val="18"/>
                <w:lang w:val="en-GB"/>
              </w:rPr>
              <w:t>.</w:t>
            </w:r>
            <w:r w:rsidRPr="006437E1">
              <w:rPr>
                <w:rFonts w:ascii="Arial" w:hAnsi="Arial" w:cs="Arial"/>
                <w:sz w:val="18"/>
                <w:szCs w:val="18"/>
                <w:lang w:val="en-GB"/>
              </w:rPr>
              <w:t>g</w:t>
            </w:r>
            <w:r w:rsidR="008807BF" w:rsidRPr="006437E1">
              <w:rPr>
                <w:rFonts w:ascii="Arial" w:hAnsi="Arial" w:cs="Arial"/>
                <w:sz w:val="18"/>
                <w:szCs w:val="18"/>
                <w:lang w:val="en-GB"/>
              </w:rPr>
              <w:t>.</w:t>
            </w:r>
            <w:r w:rsidRPr="006437E1">
              <w:rPr>
                <w:rFonts w:ascii="Arial" w:hAnsi="Arial" w:cs="Arial"/>
                <w:sz w:val="18"/>
                <w:szCs w:val="18"/>
                <w:lang w:val="en-GB"/>
              </w:rPr>
              <w:t xml:space="preserve"> religious orders), based on the guidelines developed in Action 4.3.1.</w:t>
            </w:r>
          </w:p>
          <w:p w14:paraId="545E497C" w14:textId="77777777" w:rsidR="00C96521" w:rsidRPr="006437E1" w:rsidRDefault="00C96521" w:rsidP="00C96521">
            <w:pPr>
              <w:widowControl/>
              <w:autoSpaceDE/>
              <w:autoSpaceDN/>
              <w:adjustRightInd/>
              <w:rPr>
                <w:rFonts w:ascii="Arial" w:hAnsi="Arial" w:cs="Arial"/>
                <w:sz w:val="18"/>
                <w:szCs w:val="18"/>
                <w:lang w:val="en-GB"/>
              </w:rPr>
            </w:pPr>
          </w:p>
          <w:p w14:paraId="4035EED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Range States in West and East Africa</w:t>
            </w:r>
          </w:p>
        </w:tc>
        <w:tc>
          <w:tcPr>
            <w:tcW w:w="993" w:type="dxa"/>
          </w:tcPr>
          <w:p w14:paraId="701985C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1E2EEA6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08E4599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special interest groups.</w:t>
            </w:r>
          </w:p>
        </w:tc>
        <w:tc>
          <w:tcPr>
            <w:tcW w:w="2443" w:type="dxa"/>
          </w:tcPr>
          <w:p w14:paraId="3B4E220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4.3.1</w:t>
            </w:r>
          </w:p>
        </w:tc>
      </w:tr>
      <w:tr w:rsidR="00C96521" w:rsidRPr="006437E1" w14:paraId="72454610" w14:textId="77777777" w:rsidTr="00C96521">
        <w:tc>
          <w:tcPr>
            <w:tcW w:w="2340" w:type="dxa"/>
          </w:tcPr>
          <w:p w14:paraId="30599F7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4.6 Fewer wildfires recorded at key turtle-</w:t>
            </w:r>
            <w:r w:rsidRPr="006437E1">
              <w:rPr>
                <w:rFonts w:ascii="Arial" w:hAnsi="Arial" w:cs="Arial"/>
                <w:sz w:val="18"/>
                <w:szCs w:val="18"/>
                <w:lang w:val="en-GB"/>
              </w:rPr>
              <w:lastRenderedPageBreak/>
              <w:t>dove wintering and stopover sites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7947A8E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Action 4.6.1</w:t>
            </w:r>
          </w:p>
          <w:p w14:paraId="4D280F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Promote early controlled burning in key areas to prevent wildfires.</w:t>
            </w:r>
          </w:p>
          <w:p w14:paraId="14E92F20" w14:textId="77777777" w:rsidR="00C96521" w:rsidRPr="006437E1" w:rsidRDefault="00C96521" w:rsidP="00C96521">
            <w:pPr>
              <w:widowControl/>
              <w:autoSpaceDE/>
              <w:autoSpaceDN/>
              <w:adjustRightInd/>
              <w:rPr>
                <w:rFonts w:ascii="Arial" w:hAnsi="Arial" w:cs="Arial"/>
                <w:sz w:val="18"/>
                <w:szCs w:val="18"/>
                <w:lang w:val="en-GB"/>
              </w:rPr>
            </w:pPr>
          </w:p>
          <w:p w14:paraId="50C19A1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wintering Range States and at key stop-over sites.</w:t>
            </w:r>
          </w:p>
        </w:tc>
        <w:tc>
          <w:tcPr>
            <w:tcW w:w="993" w:type="dxa"/>
          </w:tcPr>
          <w:p w14:paraId="2E42534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134" w:type="dxa"/>
          </w:tcPr>
          <w:p w14:paraId="4181B79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286CEBC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xml:space="preserve"> conservation NGOs, academic institutions</w:t>
            </w:r>
          </w:p>
        </w:tc>
        <w:tc>
          <w:tcPr>
            <w:tcW w:w="2443" w:type="dxa"/>
          </w:tcPr>
          <w:p w14:paraId="759F106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Data on national wildfire occurrence.</w:t>
            </w:r>
          </w:p>
        </w:tc>
      </w:tr>
      <w:tr w:rsidR="00C96521" w:rsidRPr="006437E1" w14:paraId="540DB15A" w14:textId="77777777" w:rsidTr="00C96521">
        <w:tc>
          <w:tcPr>
            <w:tcW w:w="2340" w:type="dxa"/>
          </w:tcPr>
          <w:p w14:paraId="669DBD62" w14:textId="47258041"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4.7 Less wood harvesting in key </w:t>
            </w:r>
            <w:r w:rsidR="008807BF" w:rsidRPr="006437E1">
              <w:rPr>
                <w:rFonts w:ascii="Arial" w:hAnsi="Arial" w:cs="Arial"/>
                <w:sz w:val="18"/>
                <w:szCs w:val="18"/>
                <w:lang w:val="en-GB"/>
              </w:rPr>
              <w:t xml:space="preserve">Turtle Dove </w:t>
            </w:r>
            <w:r w:rsidRPr="006437E1">
              <w:rPr>
                <w:rFonts w:ascii="Arial" w:hAnsi="Arial" w:cs="Arial"/>
                <w:sz w:val="18"/>
                <w:szCs w:val="18"/>
                <w:lang w:val="en-GB"/>
              </w:rPr>
              <w:t>wintering and stopover sites by [2025].</w:t>
            </w:r>
          </w:p>
        </w:tc>
        <w:tc>
          <w:tcPr>
            <w:tcW w:w="4572" w:type="dxa"/>
          </w:tcPr>
          <w:p w14:paraId="4C77564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4.7.1</w:t>
            </w:r>
          </w:p>
          <w:p w14:paraId="1934ECE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Promotion of alternative fuel/cooking methods in key areas to prevent loss of roosting sites due to fuel wood harvesting.</w:t>
            </w:r>
          </w:p>
          <w:p w14:paraId="1E714C56" w14:textId="77777777" w:rsidR="00C96521" w:rsidRPr="006437E1" w:rsidRDefault="00C96521" w:rsidP="00C96521">
            <w:pPr>
              <w:widowControl/>
              <w:autoSpaceDE/>
              <w:autoSpaceDN/>
              <w:adjustRightInd/>
              <w:rPr>
                <w:rFonts w:ascii="Arial" w:hAnsi="Arial" w:cs="Arial"/>
                <w:sz w:val="18"/>
                <w:szCs w:val="18"/>
                <w:lang w:val="en-GB"/>
              </w:rPr>
            </w:pPr>
          </w:p>
          <w:p w14:paraId="7B8A40B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wintering Range States.</w:t>
            </w:r>
          </w:p>
        </w:tc>
        <w:tc>
          <w:tcPr>
            <w:tcW w:w="993" w:type="dxa"/>
          </w:tcPr>
          <w:p w14:paraId="01E216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597F90F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0DE96EF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development NGOs.</w:t>
            </w:r>
          </w:p>
        </w:tc>
        <w:tc>
          <w:tcPr>
            <w:tcW w:w="2443" w:type="dxa"/>
          </w:tcPr>
          <w:p w14:paraId="4F5391D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Data on wood harvesting and uptake of alternatives.</w:t>
            </w:r>
          </w:p>
        </w:tc>
      </w:tr>
    </w:tbl>
    <w:p w14:paraId="2C59ACE7"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074AE048"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340"/>
        <w:gridCol w:w="4572"/>
        <w:gridCol w:w="993"/>
        <w:gridCol w:w="1134"/>
        <w:gridCol w:w="2693"/>
        <w:gridCol w:w="2443"/>
      </w:tblGrid>
      <w:tr w:rsidR="00C96521" w:rsidRPr="006437E1" w14:paraId="0DDE9EA0" w14:textId="77777777" w:rsidTr="006437E1">
        <w:trPr>
          <w:tblHeader/>
        </w:trPr>
        <w:tc>
          <w:tcPr>
            <w:tcW w:w="14175" w:type="dxa"/>
            <w:gridSpan w:val="6"/>
            <w:shd w:val="clear" w:color="auto" w:fill="BFBFBF" w:themeFill="background1" w:themeFillShade="BF"/>
          </w:tcPr>
          <w:p w14:paraId="5E8ACCC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Objective 5: Enhance international co-operation, through enabling sharing of information and expertise</w:t>
            </w:r>
          </w:p>
        </w:tc>
      </w:tr>
      <w:tr w:rsidR="00C96521" w:rsidRPr="006437E1" w14:paraId="500CF5CC" w14:textId="77777777" w:rsidTr="00C96521">
        <w:trPr>
          <w:tblHeader/>
        </w:trPr>
        <w:tc>
          <w:tcPr>
            <w:tcW w:w="2340" w:type="dxa"/>
            <w:shd w:val="clear" w:color="auto" w:fill="D9D9D9"/>
          </w:tcPr>
          <w:p w14:paraId="307819A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Result</w:t>
            </w:r>
          </w:p>
        </w:tc>
        <w:tc>
          <w:tcPr>
            <w:tcW w:w="4572" w:type="dxa"/>
            <w:shd w:val="clear" w:color="auto" w:fill="D9D9D9"/>
          </w:tcPr>
          <w:p w14:paraId="0A7DA22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and scope</w:t>
            </w:r>
          </w:p>
        </w:tc>
        <w:tc>
          <w:tcPr>
            <w:tcW w:w="993" w:type="dxa"/>
            <w:shd w:val="clear" w:color="auto" w:fill="D9D9D9"/>
          </w:tcPr>
          <w:p w14:paraId="10C223E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Priority</w:t>
            </w:r>
          </w:p>
        </w:tc>
        <w:tc>
          <w:tcPr>
            <w:tcW w:w="1134" w:type="dxa"/>
            <w:shd w:val="clear" w:color="auto" w:fill="D9D9D9"/>
          </w:tcPr>
          <w:p w14:paraId="02E94E0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Timescale</w:t>
            </w:r>
          </w:p>
        </w:tc>
        <w:tc>
          <w:tcPr>
            <w:tcW w:w="2693" w:type="dxa"/>
            <w:shd w:val="clear" w:color="auto" w:fill="D9D9D9"/>
          </w:tcPr>
          <w:p w14:paraId="4B636A5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Organisations responsible</w:t>
            </w:r>
          </w:p>
        </w:tc>
        <w:tc>
          <w:tcPr>
            <w:tcW w:w="2443" w:type="dxa"/>
            <w:shd w:val="clear" w:color="auto" w:fill="D9D9D9"/>
          </w:tcPr>
          <w:p w14:paraId="3FF25E0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Inputs required</w:t>
            </w:r>
          </w:p>
        </w:tc>
      </w:tr>
      <w:tr w:rsidR="00C96521" w:rsidRPr="006437E1" w14:paraId="66860317" w14:textId="77777777" w:rsidTr="00C96521">
        <w:tc>
          <w:tcPr>
            <w:tcW w:w="2340" w:type="dxa"/>
            <w:vMerge w:val="restart"/>
          </w:tcPr>
          <w:p w14:paraId="1C3E7E1C" w14:textId="2D9314F0"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5.1 International Turtle</w:t>
            </w:r>
            <w:r w:rsidR="008807BF" w:rsidRPr="006437E1">
              <w:rPr>
                <w:rFonts w:ascii="Arial" w:hAnsi="Arial" w:cs="Arial"/>
                <w:sz w:val="18"/>
                <w:szCs w:val="18"/>
                <w:lang w:val="en-GB"/>
              </w:rPr>
              <w:t xml:space="preserve"> </w:t>
            </w:r>
            <w:r w:rsidRPr="006437E1">
              <w:rPr>
                <w:rFonts w:ascii="Arial" w:hAnsi="Arial" w:cs="Arial"/>
                <w:sz w:val="18"/>
                <w:szCs w:val="18"/>
                <w:lang w:val="en-GB"/>
              </w:rPr>
              <w:t>Dove Working Group to support the Action Plan active by the end of [</w:t>
            </w:r>
            <w:r w:rsidRPr="006437E1">
              <w:rPr>
                <w:rFonts w:ascii="Arial" w:hAnsi="Arial" w:cs="Arial"/>
                <w:i/>
                <w:sz w:val="18"/>
                <w:szCs w:val="18"/>
                <w:lang w:val="en-GB"/>
              </w:rPr>
              <w:t>2017</w:t>
            </w:r>
            <w:r w:rsidRPr="006437E1">
              <w:rPr>
                <w:rFonts w:ascii="Arial" w:hAnsi="Arial" w:cs="Arial"/>
                <w:sz w:val="18"/>
                <w:szCs w:val="18"/>
                <w:lang w:val="en-GB"/>
              </w:rPr>
              <w:t>].</w:t>
            </w:r>
          </w:p>
        </w:tc>
        <w:tc>
          <w:tcPr>
            <w:tcW w:w="4572" w:type="dxa"/>
          </w:tcPr>
          <w:p w14:paraId="2478BA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Action 5.1.1 </w:t>
            </w:r>
          </w:p>
          <w:p w14:paraId="469137A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Create an on-line workspace to share documents and data (including developing joint databases), with a discussion forum.</w:t>
            </w:r>
          </w:p>
          <w:p w14:paraId="4C0FF2C8" w14:textId="77777777" w:rsidR="00C96521" w:rsidRPr="006437E1" w:rsidRDefault="00C96521" w:rsidP="00C96521">
            <w:pPr>
              <w:widowControl/>
              <w:autoSpaceDE/>
              <w:autoSpaceDN/>
              <w:adjustRightInd/>
              <w:rPr>
                <w:rFonts w:ascii="Arial" w:hAnsi="Arial" w:cs="Arial"/>
                <w:sz w:val="18"/>
                <w:szCs w:val="18"/>
                <w:lang w:val="en-GB"/>
              </w:rPr>
            </w:pPr>
          </w:p>
          <w:p w14:paraId="1AE1AD96" w14:textId="77777777" w:rsidR="00C96521" w:rsidRPr="006437E1" w:rsidRDefault="00C96521" w:rsidP="00C96521">
            <w:pPr>
              <w:widowControl/>
              <w:autoSpaceDE/>
              <w:autoSpaceDN/>
              <w:adjustRightInd/>
              <w:rPr>
                <w:rFonts w:ascii="Arial" w:hAnsi="Arial" w:cs="Arial"/>
                <w:sz w:val="18"/>
                <w:szCs w:val="18"/>
                <w:lang w:val="en-GB"/>
              </w:rPr>
            </w:pPr>
          </w:p>
          <w:p w14:paraId="5ECD1F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and interested parties.</w:t>
            </w:r>
          </w:p>
        </w:tc>
        <w:tc>
          <w:tcPr>
            <w:tcW w:w="993" w:type="dxa"/>
          </w:tcPr>
          <w:p w14:paraId="7E3FFF5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7833C9B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75CEE10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 ACADEMIC INSTITUTIONS</w:t>
            </w:r>
            <w:r w:rsidRPr="006437E1">
              <w:rPr>
                <w:rFonts w:ascii="Arial" w:hAnsi="Arial" w:cs="Arial"/>
                <w:sz w:val="18"/>
                <w:szCs w:val="18"/>
                <w:lang w:val="en-GB"/>
              </w:rPr>
              <w:t>, national wildlife agencies, national hunting federations</w:t>
            </w:r>
          </w:p>
          <w:p w14:paraId="1C9B9825" w14:textId="77777777" w:rsidR="00C96521" w:rsidRPr="006437E1" w:rsidRDefault="00C96521" w:rsidP="00C96521">
            <w:pPr>
              <w:widowControl/>
              <w:autoSpaceDE/>
              <w:autoSpaceDN/>
              <w:adjustRightInd/>
              <w:rPr>
                <w:rFonts w:ascii="Arial" w:hAnsi="Arial" w:cs="Arial"/>
                <w:sz w:val="18"/>
                <w:szCs w:val="18"/>
                <w:lang w:val="en-GB"/>
              </w:rPr>
            </w:pPr>
          </w:p>
        </w:tc>
        <w:tc>
          <w:tcPr>
            <w:tcW w:w="2443" w:type="dxa"/>
          </w:tcPr>
          <w:p w14:paraId="18288BC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Research papers, grey literature, expert contact list, Action Planning documents, Terms of Reference.</w:t>
            </w:r>
          </w:p>
        </w:tc>
      </w:tr>
      <w:tr w:rsidR="00C96521" w:rsidRPr="006437E1" w14:paraId="0F00FC69" w14:textId="77777777" w:rsidTr="00C96521">
        <w:tc>
          <w:tcPr>
            <w:tcW w:w="2340" w:type="dxa"/>
            <w:vMerge/>
          </w:tcPr>
          <w:p w14:paraId="3E3167FE"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086F3E9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5.1.2</w:t>
            </w:r>
          </w:p>
          <w:p w14:paraId="2EBFD22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Convene a Working Group Management Team to operate, oversee and develop the on-line activities.</w:t>
            </w:r>
          </w:p>
          <w:p w14:paraId="0FED488F" w14:textId="77777777" w:rsidR="00C96521" w:rsidRPr="006437E1" w:rsidRDefault="00C96521" w:rsidP="00C96521">
            <w:pPr>
              <w:widowControl/>
              <w:autoSpaceDE/>
              <w:autoSpaceDN/>
              <w:adjustRightInd/>
              <w:rPr>
                <w:rFonts w:ascii="Arial" w:hAnsi="Arial" w:cs="Arial"/>
                <w:sz w:val="18"/>
                <w:szCs w:val="18"/>
                <w:lang w:val="en-GB"/>
              </w:rPr>
            </w:pPr>
          </w:p>
          <w:p w14:paraId="1D05402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and interested parties.</w:t>
            </w:r>
          </w:p>
        </w:tc>
        <w:tc>
          <w:tcPr>
            <w:tcW w:w="993" w:type="dxa"/>
          </w:tcPr>
          <w:p w14:paraId="6D7A3C4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0568620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1084F9A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 ACADEMIC INSTITUTIONS</w:t>
            </w:r>
            <w:r w:rsidRPr="006437E1">
              <w:rPr>
                <w:rFonts w:ascii="Arial" w:hAnsi="Arial" w:cs="Arial"/>
                <w:sz w:val="18"/>
                <w:szCs w:val="18"/>
                <w:lang w:val="en-GB"/>
              </w:rPr>
              <w:t>, national wildlife agencies, national hunting federations</w:t>
            </w:r>
          </w:p>
        </w:tc>
        <w:tc>
          <w:tcPr>
            <w:tcW w:w="2443" w:type="dxa"/>
          </w:tcPr>
          <w:p w14:paraId="586AA9C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5.1.1</w:t>
            </w:r>
          </w:p>
        </w:tc>
      </w:tr>
      <w:tr w:rsidR="00C96521" w:rsidRPr="006437E1" w14:paraId="2DFF1B7D" w14:textId="77777777" w:rsidTr="00C96521">
        <w:tc>
          <w:tcPr>
            <w:tcW w:w="2340" w:type="dxa"/>
            <w:vMerge/>
          </w:tcPr>
          <w:p w14:paraId="33E000F1"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3390EB4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5.1.3</w:t>
            </w:r>
          </w:p>
          <w:p w14:paraId="599DDDF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 representative of the Working Group to liaise with CMS and African-Eurasian Migratory Landbirds Action Plan (AEMLAP), the Migrant Landbird Study Group (MLSG) and other relevant conventions/initiatives.</w:t>
            </w:r>
          </w:p>
          <w:p w14:paraId="18589C1B" w14:textId="77777777" w:rsidR="00C96521" w:rsidRPr="006437E1" w:rsidRDefault="00C96521" w:rsidP="00C96521">
            <w:pPr>
              <w:widowControl/>
              <w:autoSpaceDE/>
              <w:autoSpaceDN/>
              <w:adjustRightInd/>
              <w:rPr>
                <w:rFonts w:ascii="Arial" w:hAnsi="Arial" w:cs="Arial"/>
                <w:sz w:val="18"/>
                <w:szCs w:val="18"/>
                <w:lang w:val="en-GB"/>
              </w:rPr>
            </w:pPr>
          </w:p>
          <w:p w14:paraId="1A696FB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and interested parties.</w:t>
            </w:r>
          </w:p>
        </w:tc>
        <w:tc>
          <w:tcPr>
            <w:tcW w:w="993" w:type="dxa"/>
          </w:tcPr>
          <w:p w14:paraId="59EF398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498015B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51CED7F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 ACADEMIC INSTITUTIONS</w:t>
            </w:r>
            <w:r w:rsidRPr="006437E1">
              <w:rPr>
                <w:rFonts w:ascii="Arial" w:hAnsi="Arial" w:cs="Arial"/>
                <w:sz w:val="18"/>
                <w:szCs w:val="18"/>
                <w:lang w:val="en-GB"/>
              </w:rPr>
              <w:t>, CMS, national wildlife agencies, national hunting federations</w:t>
            </w:r>
          </w:p>
          <w:p w14:paraId="0740E712" w14:textId="77777777" w:rsidR="00C96521" w:rsidRPr="006437E1" w:rsidRDefault="00C96521" w:rsidP="00C96521">
            <w:pPr>
              <w:widowControl/>
              <w:autoSpaceDE/>
              <w:autoSpaceDN/>
              <w:adjustRightInd/>
              <w:rPr>
                <w:rFonts w:ascii="Arial" w:hAnsi="Arial" w:cs="Arial"/>
                <w:sz w:val="18"/>
                <w:szCs w:val="18"/>
                <w:lang w:val="en-GB"/>
              </w:rPr>
            </w:pPr>
          </w:p>
        </w:tc>
        <w:tc>
          <w:tcPr>
            <w:tcW w:w="2443" w:type="dxa"/>
          </w:tcPr>
          <w:p w14:paraId="5FED4F1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5.1.2</w:t>
            </w:r>
          </w:p>
        </w:tc>
      </w:tr>
      <w:tr w:rsidR="00C96521" w:rsidRPr="006437E1" w14:paraId="1B4888AE" w14:textId="77777777" w:rsidTr="00C96521">
        <w:tc>
          <w:tcPr>
            <w:tcW w:w="2340" w:type="dxa"/>
          </w:tcPr>
          <w:p w14:paraId="2ECE5BD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5.2 International Tracking Group active by end of [</w:t>
            </w:r>
            <w:r w:rsidRPr="006437E1">
              <w:rPr>
                <w:rFonts w:ascii="Arial" w:hAnsi="Arial" w:cs="Arial"/>
                <w:i/>
                <w:sz w:val="18"/>
                <w:szCs w:val="18"/>
                <w:lang w:val="en-GB"/>
              </w:rPr>
              <w:t>2017</w:t>
            </w:r>
            <w:r w:rsidRPr="006437E1">
              <w:rPr>
                <w:rFonts w:ascii="Arial" w:hAnsi="Arial" w:cs="Arial"/>
                <w:sz w:val="18"/>
                <w:szCs w:val="18"/>
                <w:lang w:val="en-GB"/>
              </w:rPr>
              <w:t>].</w:t>
            </w:r>
          </w:p>
        </w:tc>
        <w:tc>
          <w:tcPr>
            <w:tcW w:w="4572" w:type="dxa"/>
          </w:tcPr>
          <w:p w14:paraId="3DA6CB6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5.2.1</w:t>
            </w:r>
          </w:p>
          <w:p w14:paraId="42D62F5F" w14:textId="427C983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Convene an International Turtle</w:t>
            </w:r>
            <w:r w:rsidR="008807BF" w:rsidRPr="006437E1">
              <w:rPr>
                <w:rFonts w:ascii="Arial" w:hAnsi="Arial" w:cs="Arial"/>
                <w:sz w:val="18"/>
                <w:szCs w:val="18"/>
                <w:lang w:val="en-GB"/>
              </w:rPr>
              <w:t xml:space="preserve"> D</w:t>
            </w:r>
            <w:r w:rsidRPr="006437E1">
              <w:rPr>
                <w:rFonts w:ascii="Arial" w:hAnsi="Arial" w:cs="Arial"/>
                <w:sz w:val="18"/>
                <w:szCs w:val="18"/>
                <w:lang w:val="en-GB"/>
              </w:rPr>
              <w:t>ove Tracking Group to collaborate on tracking projects, methodologies, and financing.</w:t>
            </w:r>
          </w:p>
          <w:p w14:paraId="2DE41A24" w14:textId="77777777" w:rsidR="00C96521" w:rsidRPr="006437E1" w:rsidRDefault="00C96521" w:rsidP="00C96521">
            <w:pPr>
              <w:widowControl/>
              <w:autoSpaceDE/>
              <w:autoSpaceDN/>
              <w:adjustRightInd/>
              <w:rPr>
                <w:rFonts w:ascii="Arial" w:hAnsi="Arial" w:cs="Arial"/>
                <w:sz w:val="18"/>
                <w:szCs w:val="18"/>
                <w:lang w:val="en-GB"/>
              </w:rPr>
            </w:pPr>
          </w:p>
          <w:p w14:paraId="22CBAD9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and interested parties.</w:t>
            </w:r>
          </w:p>
        </w:tc>
        <w:tc>
          <w:tcPr>
            <w:tcW w:w="993" w:type="dxa"/>
          </w:tcPr>
          <w:p w14:paraId="7AD07EB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2B9AC13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6AF27F5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 ACADEMIC INSTITUTIONS</w:t>
            </w:r>
            <w:r w:rsidRPr="006437E1">
              <w:rPr>
                <w:rFonts w:ascii="Arial" w:hAnsi="Arial" w:cs="Arial"/>
                <w:sz w:val="18"/>
                <w:szCs w:val="18"/>
                <w:lang w:val="en-GB"/>
              </w:rPr>
              <w:t>, national wildlife agencies, national hunting federations</w:t>
            </w:r>
          </w:p>
          <w:p w14:paraId="740C272F" w14:textId="77777777" w:rsidR="00C96521" w:rsidRPr="006437E1" w:rsidRDefault="00C96521" w:rsidP="00C96521">
            <w:pPr>
              <w:widowControl/>
              <w:autoSpaceDE/>
              <w:autoSpaceDN/>
              <w:adjustRightInd/>
              <w:rPr>
                <w:rFonts w:ascii="Arial" w:hAnsi="Arial" w:cs="Arial"/>
                <w:sz w:val="18"/>
                <w:szCs w:val="18"/>
                <w:lang w:val="en-GB"/>
              </w:rPr>
            </w:pPr>
          </w:p>
        </w:tc>
        <w:tc>
          <w:tcPr>
            <w:tcW w:w="2443" w:type="dxa"/>
          </w:tcPr>
          <w:p w14:paraId="11483C9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5.1.1; existing tracking projects and experts.</w:t>
            </w:r>
          </w:p>
        </w:tc>
      </w:tr>
      <w:tr w:rsidR="00C96521" w:rsidRPr="006437E1" w14:paraId="252D787E" w14:textId="77777777" w:rsidTr="00C96521">
        <w:tc>
          <w:tcPr>
            <w:tcW w:w="2340" w:type="dxa"/>
          </w:tcPr>
          <w:p w14:paraId="48B0344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5.3 International Turtle Dove Sustainable Harvest Working Group active by end of [</w:t>
            </w:r>
            <w:r w:rsidRPr="006437E1">
              <w:rPr>
                <w:rFonts w:ascii="Arial" w:hAnsi="Arial" w:cs="Arial"/>
                <w:i/>
                <w:sz w:val="18"/>
                <w:szCs w:val="18"/>
                <w:lang w:val="en-GB"/>
              </w:rPr>
              <w:t>2017</w:t>
            </w:r>
            <w:r w:rsidRPr="006437E1">
              <w:rPr>
                <w:rFonts w:ascii="Arial" w:hAnsi="Arial" w:cs="Arial"/>
                <w:sz w:val="18"/>
                <w:szCs w:val="18"/>
                <w:lang w:val="en-GB"/>
              </w:rPr>
              <w:t>].</w:t>
            </w:r>
          </w:p>
        </w:tc>
        <w:tc>
          <w:tcPr>
            <w:tcW w:w="4572" w:type="dxa"/>
          </w:tcPr>
          <w:p w14:paraId="2AD37DE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5.3.1</w:t>
            </w:r>
          </w:p>
          <w:p w14:paraId="0E922ADD" w14:textId="1F460BA5"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Convene an International Turtle</w:t>
            </w:r>
            <w:r w:rsidR="008807BF" w:rsidRPr="006437E1">
              <w:rPr>
                <w:rFonts w:ascii="Arial" w:hAnsi="Arial" w:cs="Arial"/>
                <w:sz w:val="18"/>
                <w:szCs w:val="18"/>
                <w:lang w:val="en-GB"/>
              </w:rPr>
              <w:t xml:space="preserve"> D</w:t>
            </w:r>
            <w:r w:rsidRPr="006437E1">
              <w:rPr>
                <w:rFonts w:ascii="Arial" w:hAnsi="Arial" w:cs="Arial"/>
                <w:sz w:val="18"/>
                <w:szCs w:val="18"/>
                <w:lang w:val="en-GB"/>
              </w:rPr>
              <w:t>ove Sustainable Harvest Working Group to collaborate on development of sustainable harvest models and practice.</w:t>
            </w:r>
          </w:p>
          <w:p w14:paraId="1883243F" w14:textId="77777777" w:rsidR="00C96521" w:rsidRPr="006437E1" w:rsidRDefault="00C96521" w:rsidP="00C96521">
            <w:pPr>
              <w:widowControl/>
              <w:autoSpaceDE/>
              <w:autoSpaceDN/>
              <w:adjustRightInd/>
              <w:rPr>
                <w:rFonts w:ascii="Arial" w:hAnsi="Arial" w:cs="Arial"/>
                <w:sz w:val="18"/>
                <w:szCs w:val="18"/>
                <w:lang w:val="en-GB"/>
              </w:rPr>
            </w:pPr>
          </w:p>
          <w:p w14:paraId="7A12550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993" w:type="dxa"/>
          </w:tcPr>
          <w:p w14:paraId="2C5607E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7B7AE31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3466DAF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FACE, CONSERVATION NGOs, ACADEMIC INSTITUTIONS</w:t>
            </w:r>
            <w:r w:rsidRPr="006437E1">
              <w:rPr>
                <w:rFonts w:ascii="Arial" w:hAnsi="Arial" w:cs="Arial"/>
                <w:sz w:val="18"/>
                <w:szCs w:val="18"/>
                <w:lang w:val="en-GB"/>
              </w:rPr>
              <w:t>, national wildlife agencies, national hunting federations</w:t>
            </w:r>
          </w:p>
          <w:p w14:paraId="68EA5DD6" w14:textId="77777777" w:rsidR="00C96521" w:rsidRPr="006437E1" w:rsidRDefault="00C96521" w:rsidP="00C96521">
            <w:pPr>
              <w:widowControl/>
              <w:autoSpaceDE/>
              <w:autoSpaceDN/>
              <w:adjustRightInd/>
              <w:rPr>
                <w:rFonts w:ascii="Arial" w:hAnsi="Arial" w:cs="Arial"/>
                <w:sz w:val="18"/>
                <w:szCs w:val="18"/>
                <w:lang w:val="en-GB"/>
              </w:rPr>
            </w:pPr>
          </w:p>
        </w:tc>
        <w:tc>
          <w:tcPr>
            <w:tcW w:w="2443" w:type="dxa"/>
          </w:tcPr>
          <w:p w14:paraId="021ED87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3.1.1</w:t>
            </w:r>
          </w:p>
          <w:p w14:paraId="74636BDA" w14:textId="77777777" w:rsidR="00C96521" w:rsidRPr="006437E1" w:rsidRDefault="00C96521" w:rsidP="00C96521">
            <w:pPr>
              <w:widowControl/>
              <w:autoSpaceDE/>
              <w:autoSpaceDN/>
              <w:adjustRightInd/>
              <w:rPr>
                <w:rFonts w:ascii="Arial" w:hAnsi="Arial" w:cs="Arial"/>
                <w:color w:val="FF0000"/>
                <w:sz w:val="18"/>
                <w:szCs w:val="18"/>
                <w:lang w:val="en-GB"/>
              </w:rPr>
            </w:pPr>
            <w:r w:rsidRPr="006437E1">
              <w:rPr>
                <w:rFonts w:ascii="Arial" w:hAnsi="Arial" w:cs="Arial"/>
                <w:sz w:val="18"/>
                <w:szCs w:val="18"/>
                <w:lang w:val="en-GB"/>
              </w:rPr>
              <w:t>Action 3.2.1</w:t>
            </w:r>
          </w:p>
        </w:tc>
      </w:tr>
      <w:tr w:rsidR="00C96521" w:rsidRPr="006437E1" w14:paraId="0C099688" w14:textId="77777777" w:rsidTr="00C96521">
        <w:tc>
          <w:tcPr>
            <w:tcW w:w="2340" w:type="dxa"/>
          </w:tcPr>
          <w:p w14:paraId="5C7452B6" w14:textId="4C5D88A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5.4 Documented standardi</w:t>
            </w:r>
            <w:r w:rsidR="008807BF" w:rsidRPr="006437E1">
              <w:rPr>
                <w:rFonts w:ascii="Arial" w:hAnsi="Arial" w:cs="Arial"/>
                <w:sz w:val="18"/>
                <w:szCs w:val="18"/>
                <w:lang w:val="en-GB"/>
              </w:rPr>
              <w:t>z</w:t>
            </w:r>
            <w:r w:rsidRPr="006437E1">
              <w:rPr>
                <w:rFonts w:ascii="Arial" w:hAnsi="Arial" w:cs="Arial"/>
                <w:sz w:val="18"/>
                <w:szCs w:val="18"/>
                <w:lang w:val="en-GB"/>
              </w:rPr>
              <w:t xml:space="preserve">ed procedures for studying </w:t>
            </w:r>
            <w:r w:rsidR="008807BF" w:rsidRPr="00235FA0">
              <w:rPr>
                <w:rFonts w:ascii="Arial" w:hAnsi="Arial" w:cs="Arial"/>
                <w:sz w:val="18"/>
                <w:szCs w:val="18"/>
                <w:lang w:val="en-GB"/>
              </w:rPr>
              <w:t xml:space="preserve">Turtle Dove </w:t>
            </w:r>
            <w:r w:rsidRPr="006437E1">
              <w:rPr>
                <w:rFonts w:ascii="Arial" w:hAnsi="Arial" w:cs="Arial"/>
                <w:sz w:val="18"/>
                <w:szCs w:val="18"/>
                <w:lang w:val="en-GB"/>
              </w:rPr>
              <w:t>available by end [</w:t>
            </w:r>
            <w:r w:rsidRPr="006437E1">
              <w:rPr>
                <w:rFonts w:ascii="Arial" w:hAnsi="Arial" w:cs="Arial"/>
                <w:i/>
                <w:sz w:val="18"/>
                <w:szCs w:val="18"/>
                <w:lang w:val="en-GB"/>
              </w:rPr>
              <w:t>2019</w:t>
            </w:r>
            <w:r w:rsidRPr="006437E1">
              <w:rPr>
                <w:rFonts w:ascii="Arial" w:hAnsi="Arial" w:cs="Arial"/>
                <w:sz w:val="18"/>
                <w:szCs w:val="18"/>
                <w:lang w:val="en-GB"/>
              </w:rPr>
              <w:t>].</w:t>
            </w:r>
          </w:p>
        </w:tc>
        <w:tc>
          <w:tcPr>
            <w:tcW w:w="4572" w:type="dxa"/>
          </w:tcPr>
          <w:p w14:paraId="7596014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5.4.1</w:t>
            </w:r>
          </w:p>
          <w:p w14:paraId="16BB257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Development of a set of agreed standards and methodologies across all Range States for collecting data (eg blood samples, productivity), tracking, and analyses.</w:t>
            </w:r>
          </w:p>
          <w:p w14:paraId="2498C34F" w14:textId="77777777" w:rsidR="00C96521" w:rsidRPr="006437E1" w:rsidRDefault="00C96521" w:rsidP="00C96521">
            <w:pPr>
              <w:widowControl/>
              <w:autoSpaceDE/>
              <w:autoSpaceDN/>
              <w:adjustRightInd/>
              <w:rPr>
                <w:rFonts w:ascii="Arial" w:hAnsi="Arial" w:cs="Arial"/>
                <w:sz w:val="18"/>
                <w:szCs w:val="18"/>
                <w:lang w:val="en-GB"/>
              </w:rPr>
            </w:pPr>
          </w:p>
          <w:p w14:paraId="1389845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and interested parties.</w:t>
            </w:r>
          </w:p>
        </w:tc>
        <w:tc>
          <w:tcPr>
            <w:tcW w:w="993" w:type="dxa"/>
          </w:tcPr>
          <w:p w14:paraId="1DA5F05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020310E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4AAD389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 ACADEMIC INSTITUTIONS</w:t>
            </w:r>
            <w:r w:rsidRPr="006437E1">
              <w:rPr>
                <w:rFonts w:ascii="Arial" w:hAnsi="Arial" w:cs="Arial"/>
                <w:sz w:val="18"/>
                <w:szCs w:val="18"/>
                <w:lang w:val="en-GB"/>
              </w:rPr>
              <w:t>, national wildlife agencies, national hunting federations</w:t>
            </w:r>
          </w:p>
          <w:p w14:paraId="72604F7F" w14:textId="77777777" w:rsidR="00C96521" w:rsidRPr="006437E1" w:rsidRDefault="00C96521" w:rsidP="00C96521">
            <w:pPr>
              <w:widowControl/>
              <w:autoSpaceDE/>
              <w:autoSpaceDN/>
              <w:adjustRightInd/>
              <w:rPr>
                <w:rFonts w:ascii="Arial" w:hAnsi="Arial" w:cs="Arial"/>
                <w:sz w:val="18"/>
                <w:szCs w:val="18"/>
                <w:lang w:val="en-GB"/>
              </w:rPr>
            </w:pPr>
          </w:p>
        </w:tc>
        <w:tc>
          <w:tcPr>
            <w:tcW w:w="2443" w:type="dxa"/>
          </w:tcPr>
          <w:p w14:paraId="73D6A1C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5.1.1, existing projects and methodologies.</w:t>
            </w:r>
          </w:p>
        </w:tc>
      </w:tr>
      <w:tr w:rsidR="00C96521" w:rsidRPr="009213E9" w14:paraId="5B9A431D" w14:textId="77777777" w:rsidTr="00C96521">
        <w:tc>
          <w:tcPr>
            <w:tcW w:w="2340" w:type="dxa"/>
          </w:tcPr>
          <w:p w14:paraId="66E0924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5.5 National Action Plans are aligned with EU Action Plan by end [</w:t>
            </w:r>
            <w:r w:rsidRPr="006437E1">
              <w:rPr>
                <w:rFonts w:ascii="Arial" w:hAnsi="Arial" w:cs="Arial"/>
                <w:i/>
                <w:sz w:val="18"/>
                <w:szCs w:val="18"/>
                <w:lang w:val="en-GB"/>
              </w:rPr>
              <w:t>2018</w:t>
            </w:r>
            <w:r w:rsidRPr="006437E1">
              <w:rPr>
                <w:rFonts w:ascii="Arial" w:hAnsi="Arial" w:cs="Arial"/>
                <w:sz w:val="18"/>
                <w:szCs w:val="18"/>
                <w:lang w:val="en-GB"/>
              </w:rPr>
              <w:t>].</w:t>
            </w:r>
          </w:p>
        </w:tc>
        <w:tc>
          <w:tcPr>
            <w:tcW w:w="4572" w:type="dxa"/>
          </w:tcPr>
          <w:p w14:paraId="5058BAC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5.5.1</w:t>
            </w:r>
          </w:p>
          <w:p w14:paraId="77036B3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Ensure that National Action Plans are coordinated with the overarching EU Plan.</w:t>
            </w:r>
          </w:p>
          <w:p w14:paraId="59342864" w14:textId="77777777" w:rsidR="00C96521" w:rsidRPr="006437E1" w:rsidRDefault="00C96521" w:rsidP="00C96521">
            <w:pPr>
              <w:widowControl/>
              <w:autoSpaceDE/>
              <w:autoSpaceDN/>
              <w:adjustRightInd/>
              <w:rPr>
                <w:rFonts w:ascii="Arial" w:hAnsi="Arial" w:cs="Arial"/>
                <w:sz w:val="18"/>
                <w:szCs w:val="18"/>
                <w:lang w:val="en-GB"/>
              </w:rPr>
            </w:pPr>
          </w:p>
          <w:p w14:paraId="40FE6C4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Spain (currently), other EU Member States as they develop National Action Plans.</w:t>
            </w:r>
          </w:p>
        </w:tc>
        <w:tc>
          <w:tcPr>
            <w:tcW w:w="993" w:type="dxa"/>
          </w:tcPr>
          <w:p w14:paraId="7B8BD0F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Essential</w:t>
            </w:r>
          </w:p>
        </w:tc>
        <w:tc>
          <w:tcPr>
            <w:tcW w:w="1134" w:type="dxa"/>
          </w:tcPr>
          <w:p w14:paraId="3DDCFF1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623290A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w:t>
            </w:r>
          </w:p>
        </w:tc>
        <w:tc>
          <w:tcPr>
            <w:tcW w:w="2443" w:type="dxa"/>
          </w:tcPr>
          <w:p w14:paraId="48E3860C" w14:textId="77777777" w:rsidR="00C96521" w:rsidRPr="006437E1" w:rsidRDefault="00C96521" w:rsidP="00C96521">
            <w:pPr>
              <w:widowControl/>
              <w:autoSpaceDE/>
              <w:autoSpaceDN/>
              <w:adjustRightInd/>
              <w:rPr>
                <w:rFonts w:ascii="Arial" w:hAnsi="Arial" w:cs="Arial"/>
                <w:sz w:val="18"/>
                <w:szCs w:val="18"/>
                <w:lang w:val="fr-FR"/>
              </w:rPr>
            </w:pPr>
            <w:r w:rsidRPr="006437E1">
              <w:rPr>
                <w:rFonts w:ascii="Arial" w:hAnsi="Arial" w:cs="Arial"/>
                <w:sz w:val="18"/>
                <w:szCs w:val="18"/>
                <w:lang w:val="fr-FR"/>
              </w:rPr>
              <w:t>National Action Plans, EU Action Plan.</w:t>
            </w:r>
          </w:p>
        </w:tc>
      </w:tr>
      <w:tr w:rsidR="00C96521" w:rsidRPr="006437E1" w14:paraId="6AED259A" w14:textId="77777777" w:rsidTr="00C96521">
        <w:tc>
          <w:tcPr>
            <w:tcW w:w="2340" w:type="dxa"/>
            <w:vMerge w:val="restart"/>
          </w:tcPr>
          <w:p w14:paraId="480D97AF" w14:textId="75921CD1"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5.6 Common goals of Conservation NGOs and Development NGOs working within </w:t>
            </w:r>
            <w:r w:rsidR="008807BF" w:rsidRPr="00235FA0">
              <w:rPr>
                <w:rFonts w:ascii="Arial" w:hAnsi="Arial" w:cs="Arial"/>
                <w:sz w:val="18"/>
                <w:szCs w:val="18"/>
                <w:lang w:val="en-GB"/>
              </w:rPr>
              <w:t xml:space="preserve">Turtle Dove </w:t>
            </w:r>
            <w:r w:rsidRPr="006437E1">
              <w:rPr>
                <w:rFonts w:ascii="Arial" w:hAnsi="Arial" w:cs="Arial"/>
                <w:sz w:val="18"/>
                <w:szCs w:val="18"/>
                <w:lang w:val="en-GB"/>
              </w:rPr>
              <w:t xml:space="preserve">wintering </w:t>
            </w:r>
            <w:r w:rsidR="008807BF" w:rsidRPr="006437E1">
              <w:rPr>
                <w:rFonts w:ascii="Arial" w:hAnsi="Arial" w:cs="Arial"/>
                <w:sz w:val="18"/>
                <w:szCs w:val="18"/>
                <w:lang w:val="en-GB"/>
              </w:rPr>
              <w:t>R</w:t>
            </w:r>
            <w:r w:rsidRPr="006437E1">
              <w:rPr>
                <w:rFonts w:ascii="Arial" w:hAnsi="Arial" w:cs="Arial"/>
                <w:sz w:val="18"/>
                <w:szCs w:val="18"/>
                <w:lang w:val="en-GB"/>
              </w:rPr>
              <w:t xml:space="preserve">ange </w:t>
            </w:r>
            <w:r w:rsidR="008807BF" w:rsidRPr="006437E1">
              <w:rPr>
                <w:rFonts w:ascii="Arial" w:hAnsi="Arial" w:cs="Arial"/>
                <w:sz w:val="18"/>
                <w:szCs w:val="18"/>
                <w:lang w:val="en-GB"/>
              </w:rPr>
              <w:t>S</w:t>
            </w:r>
            <w:r w:rsidRPr="006437E1">
              <w:rPr>
                <w:rFonts w:ascii="Arial" w:hAnsi="Arial" w:cs="Arial"/>
                <w:sz w:val="18"/>
                <w:szCs w:val="18"/>
                <w:lang w:val="en-GB"/>
              </w:rPr>
              <w:t xml:space="preserve">tates and </w:t>
            </w:r>
            <w:r w:rsidR="008807BF" w:rsidRPr="006437E1">
              <w:rPr>
                <w:rFonts w:ascii="Arial" w:hAnsi="Arial" w:cs="Arial"/>
                <w:sz w:val="18"/>
                <w:szCs w:val="18"/>
                <w:lang w:val="en-GB"/>
              </w:rPr>
              <w:t>S</w:t>
            </w:r>
            <w:r w:rsidRPr="006437E1">
              <w:rPr>
                <w:rFonts w:ascii="Arial" w:hAnsi="Arial" w:cs="Arial"/>
                <w:sz w:val="18"/>
                <w:szCs w:val="18"/>
                <w:lang w:val="en-GB"/>
              </w:rPr>
              <w:t>tates with important stop-over sites are identified by [</w:t>
            </w:r>
            <w:r w:rsidRPr="006437E1">
              <w:rPr>
                <w:rFonts w:ascii="Arial" w:hAnsi="Arial" w:cs="Arial"/>
                <w:i/>
                <w:sz w:val="18"/>
                <w:szCs w:val="18"/>
                <w:lang w:val="en-GB"/>
              </w:rPr>
              <w:t>end 2018</w:t>
            </w:r>
            <w:r w:rsidRPr="006437E1">
              <w:rPr>
                <w:rFonts w:ascii="Arial" w:hAnsi="Arial" w:cs="Arial"/>
                <w:sz w:val="18"/>
                <w:szCs w:val="18"/>
                <w:lang w:val="en-GB"/>
              </w:rPr>
              <w:t>].</w:t>
            </w:r>
          </w:p>
        </w:tc>
        <w:tc>
          <w:tcPr>
            <w:tcW w:w="4572" w:type="dxa"/>
          </w:tcPr>
          <w:p w14:paraId="4C8100D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5.6.1</w:t>
            </w:r>
          </w:p>
          <w:p w14:paraId="0C0A4A5E" w14:textId="10E5DD1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Assess the goals of Conservation NGOs and Development NGOs working in </w:t>
            </w:r>
            <w:r w:rsidR="008807BF" w:rsidRPr="00235FA0">
              <w:rPr>
                <w:rFonts w:ascii="Arial" w:hAnsi="Arial" w:cs="Arial"/>
                <w:sz w:val="18"/>
                <w:szCs w:val="18"/>
                <w:lang w:val="en-GB"/>
              </w:rPr>
              <w:t xml:space="preserve">Turtle Dove </w:t>
            </w:r>
            <w:r w:rsidRPr="006437E1">
              <w:rPr>
                <w:rFonts w:ascii="Arial" w:hAnsi="Arial" w:cs="Arial"/>
                <w:sz w:val="18"/>
                <w:szCs w:val="18"/>
                <w:lang w:val="en-GB"/>
              </w:rPr>
              <w:t xml:space="preserve">wintering range states and states with important stop-over sites and identify where these goals overlap to benefit </w:t>
            </w:r>
            <w:r w:rsidR="008807BF" w:rsidRPr="00235FA0">
              <w:rPr>
                <w:rFonts w:ascii="Arial" w:hAnsi="Arial" w:cs="Arial"/>
                <w:sz w:val="18"/>
                <w:szCs w:val="18"/>
                <w:lang w:val="en-GB"/>
              </w:rPr>
              <w:t>Turtle Dove</w:t>
            </w:r>
            <w:r w:rsidRPr="006437E1">
              <w:rPr>
                <w:rFonts w:ascii="Arial" w:hAnsi="Arial" w:cs="Arial"/>
                <w:sz w:val="18"/>
                <w:szCs w:val="18"/>
                <w:lang w:val="en-GB"/>
              </w:rPr>
              <w:t xml:space="preserve">. </w:t>
            </w:r>
          </w:p>
          <w:p w14:paraId="01D3C135" w14:textId="77777777" w:rsidR="00C96521" w:rsidRPr="006437E1" w:rsidRDefault="00C96521" w:rsidP="00C96521">
            <w:pPr>
              <w:widowControl/>
              <w:autoSpaceDE/>
              <w:autoSpaceDN/>
              <w:adjustRightInd/>
              <w:rPr>
                <w:rFonts w:ascii="Arial" w:hAnsi="Arial" w:cs="Arial"/>
                <w:sz w:val="18"/>
                <w:szCs w:val="18"/>
                <w:lang w:val="en-GB"/>
              </w:rPr>
            </w:pPr>
          </w:p>
          <w:p w14:paraId="33A7C58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NGOs working on livelihoods and human welfare across all Range States (including FAO, UNDP, UNCCD, Great Green Wall).</w:t>
            </w:r>
          </w:p>
        </w:tc>
        <w:tc>
          <w:tcPr>
            <w:tcW w:w="993" w:type="dxa"/>
          </w:tcPr>
          <w:p w14:paraId="46528E0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681EE71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04958EE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academic institutions</w:t>
            </w:r>
          </w:p>
        </w:tc>
        <w:tc>
          <w:tcPr>
            <w:tcW w:w="2443" w:type="dxa"/>
          </w:tcPr>
          <w:p w14:paraId="7897999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Mission statements of NGOs from other sectors.</w:t>
            </w:r>
          </w:p>
        </w:tc>
      </w:tr>
      <w:tr w:rsidR="00C96521" w:rsidRPr="006437E1" w14:paraId="5B82A2BB" w14:textId="77777777" w:rsidTr="00C96521">
        <w:tc>
          <w:tcPr>
            <w:tcW w:w="2340" w:type="dxa"/>
            <w:vMerge/>
          </w:tcPr>
          <w:p w14:paraId="26C871AB"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72BD762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5.6.2</w:t>
            </w:r>
          </w:p>
          <w:p w14:paraId="696B7A0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Promote common goals to other sector NGOs, and develop working links as appropriate.</w:t>
            </w:r>
          </w:p>
          <w:p w14:paraId="5B347AAA" w14:textId="77777777" w:rsidR="00C96521" w:rsidRPr="006437E1" w:rsidRDefault="00C96521" w:rsidP="00C96521">
            <w:pPr>
              <w:widowControl/>
              <w:autoSpaceDE/>
              <w:autoSpaceDN/>
              <w:adjustRightInd/>
              <w:rPr>
                <w:rFonts w:ascii="Arial" w:hAnsi="Arial" w:cs="Arial"/>
                <w:sz w:val="18"/>
                <w:szCs w:val="18"/>
                <w:lang w:val="en-GB"/>
              </w:rPr>
            </w:pPr>
          </w:p>
          <w:p w14:paraId="0752A0B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NGOs working on livelihoods and human welfare across all Range States (including FAO, UNDP, UNCCD, Great Green Wall).</w:t>
            </w:r>
          </w:p>
        </w:tc>
        <w:tc>
          <w:tcPr>
            <w:tcW w:w="993" w:type="dxa"/>
          </w:tcPr>
          <w:p w14:paraId="07ECD8A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2440A41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5EE4A26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academic institutions</w:t>
            </w:r>
          </w:p>
        </w:tc>
        <w:tc>
          <w:tcPr>
            <w:tcW w:w="2443" w:type="dxa"/>
          </w:tcPr>
          <w:p w14:paraId="043760A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5.6.1</w:t>
            </w:r>
          </w:p>
        </w:tc>
      </w:tr>
      <w:tr w:rsidR="00C96521" w:rsidRPr="006437E1" w14:paraId="299898BC" w14:textId="77777777" w:rsidTr="00C96521">
        <w:tc>
          <w:tcPr>
            <w:tcW w:w="2340" w:type="dxa"/>
          </w:tcPr>
          <w:p w14:paraId="3DA9BA2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5.7 Local conservation NGOs in core areas are able to support turtle-dove activities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335711F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5.7.1</w:t>
            </w:r>
          </w:p>
          <w:p w14:paraId="2E58A8CA" w14:textId="3CD4B571"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Increase capacity in small conservation NGOs to carry out national conservation activities to support the conservation of the </w:t>
            </w:r>
            <w:r w:rsidR="000C3653" w:rsidRPr="00235FA0">
              <w:rPr>
                <w:rFonts w:ascii="Arial" w:hAnsi="Arial" w:cs="Arial"/>
                <w:sz w:val="18"/>
                <w:szCs w:val="18"/>
                <w:lang w:val="en-GB"/>
              </w:rPr>
              <w:t>Turtle Dove</w:t>
            </w:r>
            <w:r w:rsidRPr="006437E1">
              <w:rPr>
                <w:rFonts w:ascii="Arial" w:hAnsi="Arial" w:cs="Arial"/>
                <w:sz w:val="18"/>
                <w:szCs w:val="18"/>
                <w:lang w:val="en-GB"/>
              </w:rPr>
              <w:t>.</w:t>
            </w:r>
          </w:p>
          <w:p w14:paraId="1A501D7C" w14:textId="77777777" w:rsidR="00C96521" w:rsidRPr="006437E1" w:rsidRDefault="00C96521" w:rsidP="00C96521">
            <w:pPr>
              <w:widowControl/>
              <w:autoSpaceDE/>
              <w:autoSpaceDN/>
              <w:adjustRightInd/>
              <w:rPr>
                <w:rFonts w:ascii="Arial" w:hAnsi="Arial" w:cs="Arial"/>
                <w:sz w:val="18"/>
                <w:szCs w:val="18"/>
                <w:lang w:val="en-GB"/>
              </w:rPr>
            </w:pPr>
          </w:p>
          <w:p w14:paraId="0E87D83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Applicable to: Range States with no large existing conservation NGO.</w:t>
            </w:r>
          </w:p>
        </w:tc>
        <w:tc>
          <w:tcPr>
            <w:tcW w:w="993" w:type="dxa"/>
          </w:tcPr>
          <w:p w14:paraId="0C7DA7D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134" w:type="dxa"/>
          </w:tcPr>
          <w:p w14:paraId="4B9CCD5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597EE54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academic institutions</w:t>
            </w:r>
          </w:p>
        </w:tc>
        <w:tc>
          <w:tcPr>
            <w:tcW w:w="2443" w:type="dxa"/>
          </w:tcPr>
          <w:p w14:paraId="742E26E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BirdLife Partnership Partner Support network.</w:t>
            </w:r>
          </w:p>
        </w:tc>
      </w:tr>
    </w:tbl>
    <w:p w14:paraId="5E282C27"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4632B56D"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340"/>
        <w:gridCol w:w="4572"/>
        <w:gridCol w:w="993"/>
        <w:gridCol w:w="1134"/>
        <w:gridCol w:w="2693"/>
        <w:gridCol w:w="2443"/>
      </w:tblGrid>
      <w:tr w:rsidR="00C96521" w:rsidRPr="006437E1" w14:paraId="60CF999E" w14:textId="77777777" w:rsidTr="006437E1">
        <w:trPr>
          <w:tblHeader/>
        </w:trPr>
        <w:tc>
          <w:tcPr>
            <w:tcW w:w="14175" w:type="dxa"/>
            <w:gridSpan w:val="6"/>
            <w:shd w:val="clear" w:color="auto" w:fill="BFBFBF" w:themeFill="background1" w:themeFillShade="BF"/>
          </w:tcPr>
          <w:p w14:paraId="2266E79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Objective 6: Raise awareness</w:t>
            </w:r>
          </w:p>
        </w:tc>
      </w:tr>
      <w:tr w:rsidR="00C96521" w:rsidRPr="006437E1" w14:paraId="57C48EB8" w14:textId="77777777" w:rsidTr="00C96521">
        <w:trPr>
          <w:tblHeader/>
        </w:trPr>
        <w:tc>
          <w:tcPr>
            <w:tcW w:w="2340" w:type="dxa"/>
            <w:shd w:val="clear" w:color="auto" w:fill="D9D9D9"/>
          </w:tcPr>
          <w:p w14:paraId="174535B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Result</w:t>
            </w:r>
          </w:p>
        </w:tc>
        <w:tc>
          <w:tcPr>
            <w:tcW w:w="4572" w:type="dxa"/>
            <w:shd w:val="clear" w:color="auto" w:fill="D9D9D9"/>
          </w:tcPr>
          <w:p w14:paraId="552A75D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and scope</w:t>
            </w:r>
          </w:p>
        </w:tc>
        <w:tc>
          <w:tcPr>
            <w:tcW w:w="993" w:type="dxa"/>
            <w:shd w:val="clear" w:color="auto" w:fill="D9D9D9"/>
          </w:tcPr>
          <w:p w14:paraId="58F8649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Priority</w:t>
            </w:r>
          </w:p>
        </w:tc>
        <w:tc>
          <w:tcPr>
            <w:tcW w:w="1134" w:type="dxa"/>
            <w:shd w:val="clear" w:color="auto" w:fill="D9D9D9"/>
          </w:tcPr>
          <w:p w14:paraId="4C37F5B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Timescale</w:t>
            </w:r>
          </w:p>
        </w:tc>
        <w:tc>
          <w:tcPr>
            <w:tcW w:w="2693" w:type="dxa"/>
            <w:shd w:val="clear" w:color="auto" w:fill="D9D9D9"/>
          </w:tcPr>
          <w:p w14:paraId="19DAF0F6" w14:textId="1816FEF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Organi</w:t>
            </w:r>
            <w:r w:rsidR="005028F9" w:rsidRPr="006437E1">
              <w:rPr>
                <w:rFonts w:ascii="Arial" w:hAnsi="Arial" w:cs="Arial"/>
                <w:sz w:val="18"/>
                <w:szCs w:val="18"/>
                <w:lang w:val="en-GB"/>
              </w:rPr>
              <w:t>z</w:t>
            </w:r>
            <w:r w:rsidRPr="006437E1">
              <w:rPr>
                <w:rFonts w:ascii="Arial" w:hAnsi="Arial" w:cs="Arial"/>
                <w:sz w:val="18"/>
                <w:szCs w:val="18"/>
                <w:lang w:val="en-GB"/>
              </w:rPr>
              <w:t>ations responsible</w:t>
            </w:r>
          </w:p>
        </w:tc>
        <w:tc>
          <w:tcPr>
            <w:tcW w:w="2443" w:type="dxa"/>
            <w:shd w:val="clear" w:color="auto" w:fill="D9D9D9"/>
          </w:tcPr>
          <w:p w14:paraId="7F5AC1A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Inputs required</w:t>
            </w:r>
          </w:p>
        </w:tc>
      </w:tr>
      <w:tr w:rsidR="00C96521" w:rsidRPr="006437E1" w14:paraId="4B0F04B4" w14:textId="77777777" w:rsidTr="00C96521">
        <w:tc>
          <w:tcPr>
            <w:tcW w:w="2340" w:type="dxa"/>
            <w:vMerge w:val="restart"/>
          </w:tcPr>
          <w:p w14:paraId="2AA3FB57" w14:textId="62921AD4"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6.1 Communications Strategy for the International Turtle</w:t>
            </w:r>
            <w:r w:rsidR="000C3653" w:rsidRPr="006437E1">
              <w:rPr>
                <w:rFonts w:ascii="Arial" w:hAnsi="Arial" w:cs="Arial"/>
                <w:sz w:val="18"/>
                <w:szCs w:val="18"/>
                <w:lang w:val="en-GB"/>
              </w:rPr>
              <w:t xml:space="preserve"> D</w:t>
            </w:r>
            <w:r w:rsidRPr="006437E1">
              <w:rPr>
                <w:rFonts w:ascii="Arial" w:hAnsi="Arial" w:cs="Arial"/>
                <w:sz w:val="18"/>
                <w:szCs w:val="18"/>
                <w:lang w:val="en-GB"/>
              </w:rPr>
              <w:t>ove Action Plan by [</w:t>
            </w:r>
            <w:r w:rsidRPr="006437E1">
              <w:rPr>
                <w:rFonts w:ascii="Arial" w:hAnsi="Arial" w:cs="Arial"/>
                <w:i/>
                <w:sz w:val="18"/>
                <w:szCs w:val="18"/>
                <w:lang w:val="en-GB"/>
              </w:rPr>
              <w:t>2018</w:t>
            </w:r>
            <w:r w:rsidRPr="006437E1">
              <w:rPr>
                <w:rFonts w:ascii="Arial" w:hAnsi="Arial" w:cs="Arial"/>
                <w:sz w:val="18"/>
                <w:szCs w:val="18"/>
                <w:lang w:val="en-GB"/>
              </w:rPr>
              <w:t>].</w:t>
            </w:r>
          </w:p>
        </w:tc>
        <w:tc>
          <w:tcPr>
            <w:tcW w:w="4572" w:type="dxa"/>
          </w:tcPr>
          <w:p w14:paraId="6FEE11E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6.1.1</w:t>
            </w:r>
          </w:p>
          <w:p w14:paraId="1B3251F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Develop a Communications Strategy to promote the implementation of the actions of the Action Plan to raise awareness among stakeholders and national authorities to promote the development and implementation of agri-environment schemes for turtle-dove, the Sustainable Hunting Initiative, and to ensure that the turtle-dove and the multiple biodiversity benefits related to its conservation remain high on the political and economic agenda for national governments.</w:t>
            </w:r>
          </w:p>
          <w:p w14:paraId="74804D38" w14:textId="77777777" w:rsidR="00C96521" w:rsidRPr="006437E1" w:rsidRDefault="00C96521" w:rsidP="00C96521">
            <w:pPr>
              <w:widowControl/>
              <w:autoSpaceDE/>
              <w:autoSpaceDN/>
              <w:adjustRightInd/>
              <w:rPr>
                <w:rFonts w:ascii="Arial" w:hAnsi="Arial" w:cs="Arial"/>
                <w:sz w:val="18"/>
                <w:szCs w:val="18"/>
                <w:lang w:val="en-GB"/>
              </w:rPr>
            </w:pPr>
          </w:p>
          <w:p w14:paraId="791F564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993" w:type="dxa"/>
          </w:tcPr>
          <w:p w14:paraId="423DC23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5650FC3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7BE8BF5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w:t>
            </w:r>
            <w:r w:rsidRPr="006437E1">
              <w:rPr>
                <w:rFonts w:ascii="Arial" w:hAnsi="Arial" w:cs="Arial"/>
                <w:sz w:val="18"/>
                <w:szCs w:val="18"/>
                <w:lang w:val="en-GB"/>
              </w:rPr>
              <w:t>, national hunting federations</w:t>
            </w:r>
          </w:p>
        </w:tc>
        <w:tc>
          <w:tcPr>
            <w:tcW w:w="2443" w:type="dxa"/>
          </w:tcPr>
          <w:p w14:paraId="2B00718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3.3.1</w:t>
            </w:r>
          </w:p>
        </w:tc>
      </w:tr>
      <w:tr w:rsidR="00C96521" w:rsidRPr="006437E1" w14:paraId="31C244F0" w14:textId="77777777" w:rsidTr="00C96521">
        <w:tc>
          <w:tcPr>
            <w:tcW w:w="2340" w:type="dxa"/>
            <w:vMerge/>
          </w:tcPr>
          <w:p w14:paraId="1A3458FE"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6546B57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6.1.2</w:t>
            </w:r>
          </w:p>
          <w:p w14:paraId="64AC114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Use the biannual meeting of the Expert Group on Birds and Habitats Directives (NADEG) to discuss and inform on the progress/outputs of the implementation of the Action Plan.</w:t>
            </w:r>
          </w:p>
          <w:p w14:paraId="381FF7CF" w14:textId="77777777" w:rsidR="00C96521" w:rsidRPr="006437E1" w:rsidRDefault="00C96521" w:rsidP="00C96521">
            <w:pPr>
              <w:widowControl/>
              <w:autoSpaceDE/>
              <w:autoSpaceDN/>
              <w:adjustRightInd/>
              <w:rPr>
                <w:rFonts w:ascii="Arial" w:hAnsi="Arial" w:cs="Arial"/>
                <w:sz w:val="18"/>
                <w:szCs w:val="18"/>
                <w:lang w:val="en-GB"/>
              </w:rPr>
            </w:pPr>
          </w:p>
          <w:p w14:paraId="3D72955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EU Range States.</w:t>
            </w:r>
          </w:p>
        </w:tc>
        <w:tc>
          <w:tcPr>
            <w:tcW w:w="993" w:type="dxa"/>
          </w:tcPr>
          <w:p w14:paraId="6FD72B7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High </w:t>
            </w:r>
          </w:p>
        </w:tc>
        <w:tc>
          <w:tcPr>
            <w:tcW w:w="1134" w:type="dxa"/>
          </w:tcPr>
          <w:p w14:paraId="2CAAD19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Immediate</w:t>
            </w:r>
          </w:p>
        </w:tc>
        <w:tc>
          <w:tcPr>
            <w:tcW w:w="2693" w:type="dxa"/>
          </w:tcPr>
          <w:p w14:paraId="3038512C"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EUROPEAN COMMISSION</w:t>
            </w:r>
          </w:p>
        </w:tc>
        <w:tc>
          <w:tcPr>
            <w:tcW w:w="2443" w:type="dxa"/>
          </w:tcPr>
          <w:p w14:paraId="7B8ED65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Complete Action Plan.</w:t>
            </w:r>
          </w:p>
        </w:tc>
      </w:tr>
      <w:tr w:rsidR="00C96521" w:rsidRPr="006437E1" w14:paraId="240801DF" w14:textId="77777777" w:rsidTr="00C96521">
        <w:tc>
          <w:tcPr>
            <w:tcW w:w="2340" w:type="dxa"/>
          </w:tcPr>
          <w:p w14:paraId="04DB89FA" w14:textId="40AD6F0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6.2 Turtle</w:t>
            </w:r>
            <w:r w:rsidR="000063EB" w:rsidRPr="006437E1">
              <w:rPr>
                <w:rFonts w:ascii="Arial" w:hAnsi="Arial" w:cs="Arial"/>
                <w:sz w:val="18"/>
                <w:szCs w:val="18"/>
                <w:lang w:val="en-GB"/>
              </w:rPr>
              <w:t xml:space="preserve"> D</w:t>
            </w:r>
            <w:r w:rsidRPr="006437E1">
              <w:rPr>
                <w:rFonts w:ascii="Arial" w:hAnsi="Arial" w:cs="Arial"/>
                <w:sz w:val="18"/>
                <w:szCs w:val="18"/>
                <w:lang w:val="en-GB"/>
              </w:rPr>
              <w:t>ove incorporated into at least [</w:t>
            </w:r>
            <w:r w:rsidRPr="006437E1">
              <w:rPr>
                <w:rFonts w:ascii="Arial" w:hAnsi="Arial" w:cs="Arial"/>
                <w:i/>
                <w:sz w:val="18"/>
                <w:szCs w:val="18"/>
                <w:lang w:val="en-GB"/>
              </w:rPr>
              <w:t>n</w:t>
            </w:r>
            <w:r w:rsidRPr="006437E1">
              <w:rPr>
                <w:rFonts w:ascii="Arial" w:hAnsi="Arial" w:cs="Arial"/>
                <w:sz w:val="18"/>
                <w:szCs w:val="18"/>
                <w:lang w:val="en-GB"/>
              </w:rPr>
              <w:t>] national Citizen Science project in each Range State (breeding, wintering and passage)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7548E6A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6.2.1</w:t>
            </w:r>
          </w:p>
          <w:p w14:paraId="08C67728" w14:textId="595F2E9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Promote the </w:t>
            </w:r>
            <w:r w:rsidR="000063EB" w:rsidRPr="006437E1">
              <w:rPr>
                <w:rFonts w:ascii="Arial" w:hAnsi="Arial" w:cs="Arial"/>
                <w:sz w:val="18"/>
                <w:szCs w:val="18"/>
                <w:lang w:val="en-GB"/>
              </w:rPr>
              <w:t>T</w:t>
            </w:r>
            <w:r w:rsidRPr="006437E1">
              <w:rPr>
                <w:rFonts w:ascii="Arial" w:hAnsi="Arial" w:cs="Arial"/>
                <w:sz w:val="18"/>
                <w:szCs w:val="18"/>
                <w:lang w:val="en-GB"/>
              </w:rPr>
              <w:t>urtle</w:t>
            </w:r>
            <w:r w:rsidR="000063EB" w:rsidRPr="006437E1">
              <w:rPr>
                <w:rFonts w:ascii="Arial" w:hAnsi="Arial" w:cs="Arial"/>
                <w:sz w:val="18"/>
                <w:szCs w:val="18"/>
                <w:lang w:val="en-GB"/>
              </w:rPr>
              <w:t xml:space="preserve"> D</w:t>
            </w:r>
            <w:r w:rsidRPr="006437E1">
              <w:rPr>
                <w:rFonts w:ascii="Arial" w:hAnsi="Arial" w:cs="Arial"/>
                <w:sz w:val="18"/>
                <w:szCs w:val="18"/>
                <w:lang w:val="en-GB"/>
              </w:rPr>
              <w:t>ove as a target species for national Citizen Science projects with an emphasis on filling the knowledge gaps identified in Objective 7.</w:t>
            </w:r>
          </w:p>
          <w:p w14:paraId="40D5FA32" w14:textId="77777777" w:rsidR="00C96521" w:rsidRPr="006437E1" w:rsidRDefault="00C96521" w:rsidP="00C96521">
            <w:pPr>
              <w:widowControl/>
              <w:autoSpaceDE/>
              <w:autoSpaceDN/>
              <w:adjustRightInd/>
              <w:rPr>
                <w:rFonts w:ascii="Arial" w:hAnsi="Arial" w:cs="Arial"/>
                <w:sz w:val="18"/>
                <w:szCs w:val="18"/>
                <w:lang w:val="en-GB"/>
              </w:rPr>
            </w:pPr>
          </w:p>
          <w:p w14:paraId="6BEC20A2" w14:textId="77777777" w:rsidR="00C96521" w:rsidRPr="006437E1" w:rsidRDefault="00C96521" w:rsidP="00C96521">
            <w:pPr>
              <w:widowControl/>
              <w:autoSpaceDE/>
              <w:autoSpaceDN/>
              <w:adjustRightInd/>
              <w:rPr>
                <w:rFonts w:ascii="Arial" w:hAnsi="Arial" w:cs="Arial"/>
                <w:sz w:val="18"/>
                <w:szCs w:val="18"/>
                <w:lang w:val="en-GB"/>
              </w:rPr>
            </w:pPr>
          </w:p>
          <w:p w14:paraId="5CACEA3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993" w:type="dxa"/>
          </w:tcPr>
          <w:p w14:paraId="70A1906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134" w:type="dxa"/>
          </w:tcPr>
          <w:p w14:paraId="012D8C2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4B66414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w:t>
            </w:r>
            <w:r w:rsidRPr="006437E1">
              <w:rPr>
                <w:rFonts w:ascii="Arial" w:hAnsi="Arial" w:cs="Arial"/>
                <w:sz w:val="18"/>
                <w:szCs w:val="18"/>
                <w:lang w:val="en-GB"/>
              </w:rPr>
              <w:t>, FACE, national hunting federations, national governments</w:t>
            </w:r>
          </w:p>
        </w:tc>
        <w:tc>
          <w:tcPr>
            <w:tcW w:w="2443" w:type="dxa"/>
          </w:tcPr>
          <w:p w14:paraId="2CE338D5" w14:textId="77777777" w:rsidR="00C96521" w:rsidRPr="006437E1" w:rsidRDefault="00C96521" w:rsidP="00C96521">
            <w:pPr>
              <w:widowControl/>
              <w:autoSpaceDE/>
              <w:autoSpaceDN/>
              <w:adjustRightInd/>
              <w:rPr>
                <w:rFonts w:ascii="Arial" w:hAnsi="Arial" w:cs="Arial"/>
                <w:sz w:val="18"/>
                <w:szCs w:val="18"/>
                <w:lang w:val="en-GB"/>
              </w:rPr>
            </w:pPr>
          </w:p>
        </w:tc>
      </w:tr>
      <w:tr w:rsidR="00C96521" w:rsidRPr="006437E1" w14:paraId="7FD4EDBF" w14:textId="77777777" w:rsidTr="00C96521">
        <w:tc>
          <w:tcPr>
            <w:tcW w:w="2340" w:type="dxa"/>
          </w:tcPr>
          <w:p w14:paraId="623C8E38" w14:textId="75B5B7F4"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6.3 Zero-tolerance of illegal killing of </w:t>
            </w:r>
            <w:r w:rsidR="000063EB" w:rsidRPr="006437E1">
              <w:rPr>
                <w:rFonts w:ascii="Arial" w:hAnsi="Arial" w:cs="Arial"/>
                <w:sz w:val="18"/>
                <w:szCs w:val="18"/>
                <w:lang w:val="en-GB"/>
              </w:rPr>
              <w:t>T</w:t>
            </w:r>
            <w:r w:rsidRPr="006437E1">
              <w:rPr>
                <w:rFonts w:ascii="Arial" w:hAnsi="Arial" w:cs="Arial"/>
                <w:sz w:val="18"/>
                <w:szCs w:val="18"/>
                <w:lang w:val="en-GB"/>
              </w:rPr>
              <w:t>urtle</w:t>
            </w:r>
            <w:r w:rsidR="000063EB" w:rsidRPr="006437E1">
              <w:rPr>
                <w:rFonts w:ascii="Arial" w:hAnsi="Arial" w:cs="Arial"/>
                <w:sz w:val="18"/>
                <w:szCs w:val="18"/>
                <w:lang w:val="en-GB"/>
              </w:rPr>
              <w:t>D</w:t>
            </w:r>
            <w:r w:rsidRPr="006437E1">
              <w:rPr>
                <w:rFonts w:ascii="Arial" w:hAnsi="Arial" w:cs="Arial"/>
                <w:sz w:val="18"/>
                <w:szCs w:val="18"/>
                <w:lang w:val="en-GB"/>
              </w:rPr>
              <w:t>oves by [</w:t>
            </w:r>
            <w:r w:rsidRPr="006437E1">
              <w:rPr>
                <w:rFonts w:ascii="Arial" w:hAnsi="Arial" w:cs="Arial"/>
                <w:i/>
                <w:sz w:val="18"/>
                <w:szCs w:val="18"/>
                <w:lang w:val="en-GB"/>
              </w:rPr>
              <w:t>2020</w:t>
            </w:r>
            <w:r w:rsidRPr="006437E1">
              <w:rPr>
                <w:rFonts w:ascii="Arial" w:hAnsi="Arial" w:cs="Arial"/>
                <w:sz w:val="18"/>
                <w:szCs w:val="18"/>
                <w:lang w:val="en-GB"/>
              </w:rPr>
              <w:t>]. (NB - the zero</w:t>
            </w:r>
            <w:r w:rsidR="000C3653" w:rsidRPr="006437E1">
              <w:rPr>
                <w:rFonts w:ascii="Arial" w:hAnsi="Arial" w:cs="Arial"/>
                <w:sz w:val="18"/>
                <w:szCs w:val="18"/>
                <w:lang w:val="en-GB"/>
              </w:rPr>
              <w:t>-</w:t>
            </w:r>
            <w:r w:rsidRPr="006437E1">
              <w:rPr>
                <w:rFonts w:ascii="Arial" w:hAnsi="Arial" w:cs="Arial"/>
                <w:sz w:val="18"/>
                <w:szCs w:val="18"/>
                <w:lang w:val="en-GB"/>
              </w:rPr>
              <w:t xml:space="preserve">tolerance approach is a principle of CMS MIKT and accepted by national government signatories; this action is </w:t>
            </w:r>
            <w:r w:rsidRPr="006437E1">
              <w:rPr>
                <w:rFonts w:ascii="Arial" w:hAnsi="Arial" w:cs="Arial"/>
                <w:sz w:val="18"/>
                <w:szCs w:val="18"/>
                <w:lang w:val="en-GB"/>
              </w:rPr>
              <w:lastRenderedPageBreak/>
              <w:t>about awareness raising with the general public)</w:t>
            </w:r>
          </w:p>
        </w:tc>
        <w:tc>
          <w:tcPr>
            <w:tcW w:w="4572" w:type="dxa"/>
          </w:tcPr>
          <w:p w14:paraId="4828DBC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Action 6.3.1</w:t>
            </w:r>
          </w:p>
          <w:p w14:paraId="628333AF" w14:textId="379D9029"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Promotion of zero-tolerance of illegal killing of </w:t>
            </w:r>
            <w:r w:rsidR="000063EB" w:rsidRPr="006437E1">
              <w:rPr>
                <w:rFonts w:ascii="Arial" w:hAnsi="Arial" w:cs="Arial"/>
                <w:sz w:val="18"/>
                <w:szCs w:val="18"/>
                <w:lang w:val="en-GB"/>
              </w:rPr>
              <w:t>T</w:t>
            </w:r>
            <w:r w:rsidRPr="006437E1">
              <w:rPr>
                <w:rFonts w:ascii="Arial" w:hAnsi="Arial" w:cs="Arial"/>
                <w:sz w:val="18"/>
                <w:szCs w:val="18"/>
                <w:lang w:val="en-GB"/>
              </w:rPr>
              <w:t>urtle</w:t>
            </w:r>
            <w:r w:rsidR="000063EB" w:rsidRPr="006437E1">
              <w:rPr>
                <w:rFonts w:ascii="Arial" w:hAnsi="Arial" w:cs="Arial"/>
                <w:sz w:val="18"/>
                <w:szCs w:val="18"/>
                <w:lang w:val="en-GB"/>
              </w:rPr>
              <w:t xml:space="preserve"> D</w:t>
            </w:r>
            <w:r w:rsidRPr="006437E1">
              <w:rPr>
                <w:rFonts w:ascii="Arial" w:hAnsi="Arial" w:cs="Arial"/>
                <w:sz w:val="18"/>
                <w:szCs w:val="18"/>
                <w:lang w:val="en-GB"/>
              </w:rPr>
              <w:t>ove (and other birds) to hunters and the general public.</w:t>
            </w:r>
          </w:p>
          <w:p w14:paraId="5E629FBB" w14:textId="77777777" w:rsidR="00C96521" w:rsidRPr="006437E1" w:rsidRDefault="00C96521" w:rsidP="00C96521">
            <w:pPr>
              <w:widowControl/>
              <w:autoSpaceDE/>
              <w:autoSpaceDN/>
              <w:adjustRightInd/>
              <w:rPr>
                <w:rFonts w:ascii="Arial" w:hAnsi="Arial" w:cs="Arial"/>
                <w:sz w:val="18"/>
                <w:szCs w:val="18"/>
                <w:lang w:val="en-GB"/>
              </w:rPr>
            </w:pPr>
          </w:p>
          <w:p w14:paraId="0896BD00" w14:textId="77777777" w:rsidR="00C96521" w:rsidRPr="006437E1" w:rsidRDefault="00C96521" w:rsidP="00C96521">
            <w:pPr>
              <w:widowControl/>
              <w:autoSpaceDE/>
              <w:autoSpaceDN/>
              <w:adjustRightInd/>
              <w:rPr>
                <w:rFonts w:ascii="Arial" w:hAnsi="Arial" w:cs="Arial"/>
                <w:sz w:val="18"/>
                <w:szCs w:val="18"/>
                <w:lang w:val="en-GB"/>
              </w:rPr>
            </w:pPr>
          </w:p>
          <w:p w14:paraId="19DD6A57" w14:textId="77777777" w:rsidR="00C96521" w:rsidRPr="006437E1" w:rsidRDefault="00C96521" w:rsidP="00C96521">
            <w:pPr>
              <w:widowControl/>
              <w:autoSpaceDE/>
              <w:autoSpaceDN/>
              <w:adjustRightInd/>
              <w:rPr>
                <w:rFonts w:ascii="Arial" w:hAnsi="Arial" w:cs="Arial"/>
                <w:sz w:val="18"/>
                <w:szCs w:val="18"/>
                <w:lang w:val="en-GB"/>
              </w:rPr>
            </w:pPr>
          </w:p>
          <w:p w14:paraId="5E454E11" w14:textId="77777777" w:rsidR="00C96521" w:rsidRPr="006437E1" w:rsidRDefault="00C96521" w:rsidP="00C96521">
            <w:pPr>
              <w:widowControl/>
              <w:autoSpaceDE/>
              <w:autoSpaceDN/>
              <w:adjustRightInd/>
              <w:rPr>
                <w:rFonts w:ascii="Arial" w:hAnsi="Arial" w:cs="Arial"/>
                <w:sz w:val="18"/>
                <w:szCs w:val="18"/>
                <w:lang w:val="en-GB"/>
              </w:rPr>
            </w:pPr>
          </w:p>
          <w:p w14:paraId="23D0C070" w14:textId="77777777" w:rsidR="00C96521" w:rsidRPr="006437E1" w:rsidRDefault="00C96521" w:rsidP="00C96521">
            <w:pPr>
              <w:widowControl/>
              <w:autoSpaceDE/>
              <w:autoSpaceDN/>
              <w:adjustRightInd/>
              <w:rPr>
                <w:rFonts w:ascii="Arial" w:hAnsi="Arial" w:cs="Arial"/>
                <w:sz w:val="18"/>
                <w:szCs w:val="18"/>
                <w:lang w:val="en-GB"/>
              </w:rPr>
            </w:pPr>
          </w:p>
          <w:p w14:paraId="1A734F7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with illegal killing.</w:t>
            </w:r>
          </w:p>
        </w:tc>
        <w:tc>
          <w:tcPr>
            <w:tcW w:w="993" w:type="dxa"/>
          </w:tcPr>
          <w:p w14:paraId="54BD879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134" w:type="dxa"/>
          </w:tcPr>
          <w:p w14:paraId="060683A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42F50CB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FACE, NATIONAL HUNTING FEDERATIONS</w:t>
            </w:r>
            <w:r w:rsidRPr="006437E1">
              <w:rPr>
                <w:rFonts w:ascii="Arial" w:hAnsi="Arial" w:cs="Arial"/>
                <w:sz w:val="18"/>
                <w:szCs w:val="18"/>
                <w:lang w:val="en-GB"/>
              </w:rPr>
              <w:t>, national wildlife agencies.</w:t>
            </w:r>
          </w:p>
        </w:tc>
        <w:tc>
          <w:tcPr>
            <w:tcW w:w="2443" w:type="dxa"/>
          </w:tcPr>
          <w:p w14:paraId="4DF66030" w14:textId="7770DBA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National reports to the Berne Convention, EU Road-Map, CMS MIKT, IMPEL, Larnaca </w:t>
            </w:r>
            <w:r w:rsidR="000063EB" w:rsidRPr="006437E1">
              <w:rPr>
                <w:rFonts w:ascii="Arial" w:hAnsi="Arial" w:cs="Arial"/>
                <w:sz w:val="18"/>
                <w:szCs w:val="18"/>
                <w:lang w:val="en-GB"/>
              </w:rPr>
              <w:t>D</w:t>
            </w:r>
            <w:r w:rsidRPr="006437E1">
              <w:rPr>
                <w:rFonts w:ascii="Arial" w:hAnsi="Arial" w:cs="Arial"/>
                <w:sz w:val="18"/>
                <w:szCs w:val="18"/>
                <w:lang w:val="en-GB"/>
              </w:rPr>
              <w:t>eclaration of 2011.</w:t>
            </w:r>
          </w:p>
        </w:tc>
      </w:tr>
      <w:tr w:rsidR="00C96521" w:rsidRPr="006437E1" w14:paraId="7F6FA608" w14:textId="77777777" w:rsidTr="00C96521">
        <w:tc>
          <w:tcPr>
            <w:tcW w:w="2340" w:type="dxa"/>
          </w:tcPr>
          <w:p w14:paraId="26B1B033" w14:textId="1545C2E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6.4 Better enforcement and support to fight illegal killing with CMS </w:t>
            </w:r>
            <w:r w:rsidR="000063EB" w:rsidRPr="006437E1">
              <w:rPr>
                <w:rFonts w:ascii="Arial" w:hAnsi="Arial" w:cs="Arial"/>
                <w:sz w:val="18"/>
                <w:szCs w:val="18"/>
                <w:lang w:val="en-GB"/>
              </w:rPr>
              <w:t>Parti</w:t>
            </w:r>
            <w:r w:rsidRPr="006437E1">
              <w:rPr>
                <w:rFonts w:ascii="Arial" w:hAnsi="Arial" w:cs="Arial"/>
                <w:sz w:val="18"/>
                <w:szCs w:val="18"/>
                <w:lang w:val="en-GB"/>
              </w:rPr>
              <w:t>es and EU Member States by [</w:t>
            </w:r>
            <w:r w:rsidRPr="006437E1">
              <w:rPr>
                <w:rFonts w:ascii="Arial" w:hAnsi="Arial" w:cs="Arial"/>
                <w:i/>
                <w:sz w:val="18"/>
                <w:szCs w:val="18"/>
                <w:lang w:val="en-GB"/>
              </w:rPr>
              <w:t>2020</w:t>
            </w:r>
            <w:r w:rsidRPr="006437E1">
              <w:rPr>
                <w:rFonts w:ascii="Arial" w:hAnsi="Arial" w:cs="Arial"/>
                <w:sz w:val="18"/>
                <w:szCs w:val="18"/>
                <w:lang w:val="en-GB"/>
              </w:rPr>
              <w:t>].</w:t>
            </w:r>
          </w:p>
        </w:tc>
        <w:tc>
          <w:tcPr>
            <w:tcW w:w="4572" w:type="dxa"/>
          </w:tcPr>
          <w:p w14:paraId="09C1591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6.4.1</w:t>
            </w:r>
          </w:p>
          <w:p w14:paraId="5983828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 conjunction with CMS MIKT and BC TAP, undertake an advocacy campaign to promote better enforcement of hunting legislation, to provide technical support, and to fund efforts to reduce illegal killing. Promotion zero-tolerance of illegal killing of turtle doves to enforcement authorities/services.</w:t>
            </w:r>
          </w:p>
          <w:p w14:paraId="253421BB" w14:textId="77777777" w:rsidR="00C96521" w:rsidRPr="006437E1" w:rsidRDefault="00C96521" w:rsidP="00C96521">
            <w:pPr>
              <w:widowControl/>
              <w:autoSpaceDE/>
              <w:autoSpaceDN/>
              <w:adjustRightInd/>
              <w:rPr>
                <w:rFonts w:ascii="Arial" w:hAnsi="Arial" w:cs="Arial"/>
                <w:sz w:val="18"/>
                <w:szCs w:val="18"/>
                <w:lang w:val="en-GB"/>
              </w:rPr>
            </w:pPr>
          </w:p>
          <w:p w14:paraId="5BFED9D9" w14:textId="70DAD702"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Applicable to: EU Member States and CMS </w:t>
            </w:r>
            <w:r w:rsidR="000063EB" w:rsidRPr="006437E1">
              <w:rPr>
                <w:rFonts w:ascii="Arial" w:hAnsi="Arial" w:cs="Arial"/>
                <w:sz w:val="18"/>
                <w:szCs w:val="18"/>
                <w:lang w:val="en-GB"/>
              </w:rPr>
              <w:t>P</w:t>
            </w:r>
            <w:r w:rsidRPr="006437E1">
              <w:rPr>
                <w:rFonts w:ascii="Arial" w:hAnsi="Arial" w:cs="Arial"/>
                <w:sz w:val="18"/>
                <w:szCs w:val="18"/>
                <w:lang w:val="en-GB"/>
              </w:rPr>
              <w:t>arties.</w:t>
            </w:r>
          </w:p>
        </w:tc>
        <w:tc>
          <w:tcPr>
            <w:tcW w:w="993" w:type="dxa"/>
          </w:tcPr>
          <w:p w14:paraId="5AF84EA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134" w:type="dxa"/>
          </w:tcPr>
          <w:p w14:paraId="02EDF09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93" w:type="dxa"/>
          </w:tcPr>
          <w:p w14:paraId="7D34038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 xml:space="preserve">NATIONAL GOVERNMENTS, FACE, </w:t>
            </w:r>
            <w:r w:rsidRPr="006437E1">
              <w:rPr>
                <w:rFonts w:ascii="Arial" w:hAnsi="Arial" w:cs="Arial"/>
                <w:sz w:val="18"/>
                <w:szCs w:val="18"/>
                <w:lang w:val="en-GB"/>
              </w:rPr>
              <w:t>national hunting federations, conservation NGOs</w:t>
            </w:r>
          </w:p>
        </w:tc>
        <w:tc>
          <w:tcPr>
            <w:tcW w:w="2443" w:type="dxa"/>
          </w:tcPr>
          <w:p w14:paraId="4F7966F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Illegal killing data, national reports to the Berne Convention, EU Road-Map, CMS MIKT, IMPEL.</w:t>
            </w:r>
          </w:p>
        </w:tc>
      </w:tr>
      <w:tr w:rsidR="00C96521" w:rsidRPr="006437E1" w14:paraId="031E3573" w14:textId="77777777" w:rsidTr="00C96521">
        <w:tc>
          <w:tcPr>
            <w:tcW w:w="2340" w:type="dxa"/>
            <w:vMerge w:val="restart"/>
          </w:tcPr>
          <w:p w14:paraId="794189B9" w14:textId="0BE0977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6.5 Reduced disturbance of breeding </w:t>
            </w:r>
            <w:r w:rsidR="000063EB" w:rsidRPr="006437E1">
              <w:rPr>
                <w:rFonts w:ascii="Arial" w:hAnsi="Arial" w:cs="Arial"/>
                <w:sz w:val="18"/>
                <w:szCs w:val="18"/>
                <w:lang w:val="en-GB"/>
              </w:rPr>
              <w:t>T</w:t>
            </w:r>
            <w:r w:rsidRPr="006437E1">
              <w:rPr>
                <w:rFonts w:ascii="Arial" w:hAnsi="Arial" w:cs="Arial"/>
                <w:sz w:val="18"/>
                <w:szCs w:val="18"/>
                <w:lang w:val="en-GB"/>
              </w:rPr>
              <w:t xml:space="preserve">urtle </w:t>
            </w:r>
            <w:r w:rsidR="000063EB" w:rsidRPr="006437E1">
              <w:rPr>
                <w:rFonts w:ascii="Arial" w:hAnsi="Arial" w:cs="Arial"/>
                <w:sz w:val="18"/>
                <w:szCs w:val="18"/>
                <w:lang w:val="en-GB"/>
              </w:rPr>
              <w:t>D</w:t>
            </w:r>
            <w:r w:rsidRPr="006437E1">
              <w:rPr>
                <w:rFonts w:ascii="Arial" w:hAnsi="Arial" w:cs="Arial"/>
                <w:sz w:val="18"/>
                <w:szCs w:val="18"/>
                <w:lang w:val="en-GB"/>
              </w:rPr>
              <w:t>oves in North Africa by [</w:t>
            </w:r>
            <w:r w:rsidRPr="006437E1">
              <w:rPr>
                <w:rFonts w:ascii="Arial" w:hAnsi="Arial" w:cs="Arial"/>
                <w:i/>
                <w:sz w:val="18"/>
                <w:szCs w:val="18"/>
                <w:lang w:val="en-GB"/>
              </w:rPr>
              <w:t>2025</w:t>
            </w:r>
            <w:r w:rsidRPr="006437E1">
              <w:rPr>
                <w:rFonts w:ascii="Arial" w:hAnsi="Arial" w:cs="Arial"/>
                <w:sz w:val="18"/>
                <w:szCs w:val="18"/>
                <w:lang w:val="en-GB"/>
              </w:rPr>
              <w:t>].</w:t>
            </w:r>
          </w:p>
        </w:tc>
        <w:tc>
          <w:tcPr>
            <w:tcW w:w="4572" w:type="dxa"/>
          </w:tcPr>
          <w:p w14:paraId="624D721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6.5.1</w:t>
            </w:r>
          </w:p>
          <w:p w14:paraId="501FE91A" w14:textId="0704921F"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Develop and distribute guidelines for farmers undertaking operations that disturb breeding turtle-doves and other wildlife (e</w:t>
            </w:r>
            <w:r w:rsidR="000063EB" w:rsidRPr="006437E1">
              <w:rPr>
                <w:rFonts w:ascii="Arial" w:hAnsi="Arial" w:cs="Arial"/>
                <w:sz w:val="18"/>
                <w:szCs w:val="18"/>
                <w:lang w:val="en-GB"/>
              </w:rPr>
              <w:t>.</w:t>
            </w:r>
            <w:r w:rsidRPr="006437E1">
              <w:rPr>
                <w:rFonts w:ascii="Arial" w:hAnsi="Arial" w:cs="Arial"/>
                <w:sz w:val="18"/>
                <w:szCs w:val="18"/>
                <w:lang w:val="en-GB"/>
              </w:rPr>
              <w:t>g</w:t>
            </w:r>
            <w:r w:rsidR="000063EB" w:rsidRPr="006437E1">
              <w:rPr>
                <w:rFonts w:ascii="Arial" w:hAnsi="Arial" w:cs="Arial"/>
                <w:sz w:val="18"/>
                <w:szCs w:val="18"/>
                <w:lang w:val="en-GB"/>
              </w:rPr>
              <w:t>.</w:t>
            </w:r>
            <w:r w:rsidRPr="006437E1">
              <w:rPr>
                <w:rFonts w:ascii="Arial" w:hAnsi="Arial" w:cs="Arial"/>
                <w:sz w:val="18"/>
                <w:szCs w:val="18"/>
                <w:lang w:val="en-GB"/>
              </w:rPr>
              <w:t xml:space="preserve"> orange harvest).</w:t>
            </w:r>
          </w:p>
          <w:p w14:paraId="733E5C1D" w14:textId="77777777" w:rsidR="00C96521" w:rsidRPr="006437E1" w:rsidRDefault="00C96521" w:rsidP="00C96521">
            <w:pPr>
              <w:widowControl/>
              <w:autoSpaceDE/>
              <w:autoSpaceDN/>
              <w:adjustRightInd/>
              <w:rPr>
                <w:rFonts w:ascii="Arial" w:hAnsi="Arial" w:cs="Arial"/>
                <w:sz w:val="18"/>
                <w:szCs w:val="18"/>
                <w:lang w:val="en-GB"/>
              </w:rPr>
            </w:pPr>
          </w:p>
          <w:p w14:paraId="3A60C44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North African Range States.</w:t>
            </w:r>
          </w:p>
        </w:tc>
        <w:tc>
          <w:tcPr>
            <w:tcW w:w="993" w:type="dxa"/>
          </w:tcPr>
          <w:p w14:paraId="2D57192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016DF2C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720843F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national farming agencies</w:t>
            </w:r>
          </w:p>
        </w:tc>
        <w:tc>
          <w:tcPr>
            <w:tcW w:w="2443" w:type="dxa"/>
          </w:tcPr>
          <w:p w14:paraId="42243BF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Data and publication on disturbance.</w:t>
            </w:r>
          </w:p>
        </w:tc>
      </w:tr>
      <w:tr w:rsidR="00C96521" w:rsidRPr="006437E1" w14:paraId="3DD816B8" w14:textId="77777777" w:rsidTr="00C96521">
        <w:tc>
          <w:tcPr>
            <w:tcW w:w="2340" w:type="dxa"/>
            <w:vMerge/>
          </w:tcPr>
          <w:p w14:paraId="38F53CC4" w14:textId="77777777" w:rsidR="00C96521" w:rsidRPr="006437E1" w:rsidRDefault="00C96521" w:rsidP="00C96521">
            <w:pPr>
              <w:widowControl/>
              <w:autoSpaceDE/>
              <w:autoSpaceDN/>
              <w:adjustRightInd/>
              <w:rPr>
                <w:rFonts w:ascii="Arial" w:hAnsi="Arial" w:cs="Arial"/>
                <w:sz w:val="18"/>
                <w:szCs w:val="18"/>
                <w:lang w:val="en-GB"/>
              </w:rPr>
            </w:pPr>
          </w:p>
        </w:tc>
        <w:tc>
          <w:tcPr>
            <w:tcW w:w="4572" w:type="dxa"/>
          </w:tcPr>
          <w:p w14:paraId="332909B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6.5.2</w:t>
            </w:r>
          </w:p>
          <w:p w14:paraId="486597A7" w14:textId="3D38F95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Development and distribution of educational materials for schools to teach children not to deliberately disturb turtle-doves and other wildlife (e</w:t>
            </w:r>
            <w:r w:rsidR="000063EB" w:rsidRPr="006437E1">
              <w:rPr>
                <w:rFonts w:ascii="Arial" w:hAnsi="Arial" w:cs="Arial"/>
                <w:sz w:val="18"/>
                <w:szCs w:val="18"/>
                <w:lang w:val="en-GB"/>
              </w:rPr>
              <w:t>.</w:t>
            </w:r>
            <w:r w:rsidRPr="006437E1">
              <w:rPr>
                <w:rFonts w:ascii="Arial" w:hAnsi="Arial" w:cs="Arial"/>
                <w:sz w:val="18"/>
                <w:szCs w:val="18"/>
                <w:lang w:val="en-GB"/>
              </w:rPr>
              <w:t>g</w:t>
            </w:r>
            <w:r w:rsidR="000063EB" w:rsidRPr="006437E1">
              <w:rPr>
                <w:rFonts w:ascii="Arial" w:hAnsi="Arial" w:cs="Arial"/>
                <w:sz w:val="18"/>
                <w:szCs w:val="18"/>
                <w:lang w:val="en-GB"/>
              </w:rPr>
              <w:t>.</w:t>
            </w:r>
            <w:r w:rsidRPr="006437E1">
              <w:rPr>
                <w:rFonts w:ascii="Arial" w:hAnsi="Arial" w:cs="Arial"/>
                <w:sz w:val="18"/>
                <w:szCs w:val="18"/>
                <w:lang w:val="en-GB"/>
              </w:rPr>
              <w:t xml:space="preserve"> using a sling-shot).</w:t>
            </w:r>
          </w:p>
          <w:p w14:paraId="7C77BF06" w14:textId="77777777" w:rsidR="00C96521" w:rsidRPr="006437E1" w:rsidRDefault="00C96521" w:rsidP="00C96521">
            <w:pPr>
              <w:widowControl/>
              <w:autoSpaceDE/>
              <w:autoSpaceDN/>
              <w:adjustRightInd/>
              <w:rPr>
                <w:rFonts w:ascii="Arial" w:hAnsi="Arial" w:cs="Arial"/>
                <w:sz w:val="18"/>
                <w:szCs w:val="18"/>
                <w:lang w:val="en-GB"/>
              </w:rPr>
            </w:pPr>
          </w:p>
          <w:p w14:paraId="18E855D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North African Range States.</w:t>
            </w:r>
          </w:p>
        </w:tc>
        <w:tc>
          <w:tcPr>
            <w:tcW w:w="993" w:type="dxa"/>
          </w:tcPr>
          <w:p w14:paraId="243130E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0E2D0E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93" w:type="dxa"/>
          </w:tcPr>
          <w:p w14:paraId="7193A61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conservation NGOs, schools and education establishments.</w:t>
            </w:r>
          </w:p>
        </w:tc>
        <w:tc>
          <w:tcPr>
            <w:tcW w:w="2443" w:type="dxa"/>
          </w:tcPr>
          <w:p w14:paraId="48569D2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Data and publication on disturbance.</w:t>
            </w:r>
          </w:p>
        </w:tc>
      </w:tr>
      <w:tr w:rsidR="00C96521" w:rsidRPr="006437E1" w14:paraId="4D9CACFA" w14:textId="77777777" w:rsidTr="00C96521">
        <w:tc>
          <w:tcPr>
            <w:tcW w:w="2340" w:type="dxa"/>
          </w:tcPr>
          <w:p w14:paraId="25EC6F1B" w14:textId="686464A1"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6.6 Good practice guidelines for provision of food and water for </w:t>
            </w:r>
            <w:r w:rsidR="000063EB" w:rsidRPr="006437E1">
              <w:rPr>
                <w:rFonts w:ascii="Arial" w:hAnsi="Arial" w:cs="Arial"/>
                <w:sz w:val="18"/>
                <w:szCs w:val="18"/>
                <w:lang w:val="en-GB"/>
              </w:rPr>
              <w:t>T</w:t>
            </w:r>
            <w:r w:rsidRPr="006437E1">
              <w:rPr>
                <w:rFonts w:ascii="Arial" w:hAnsi="Arial" w:cs="Arial"/>
                <w:sz w:val="18"/>
                <w:szCs w:val="18"/>
                <w:lang w:val="en-GB"/>
              </w:rPr>
              <w:t>urtle</w:t>
            </w:r>
            <w:r w:rsidR="000063EB" w:rsidRPr="006437E1">
              <w:rPr>
                <w:rFonts w:ascii="Arial" w:hAnsi="Arial" w:cs="Arial"/>
                <w:sz w:val="18"/>
                <w:szCs w:val="18"/>
                <w:lang w:val="en-GB"/>
              </w:rPr>
              <w:t>D</w:t>
            </w:r>
            <w:r w:rsidRPr="006437E1">
              <w:rPr>
                <w:rFonts w:ascii="Arial" w:hAnsi="Arial" w:cs="Arial"/>
                <w:sz w:val="18"/>
                <w:szCs w:val="18"/>
                <w:lang w:val="en-GB"/>
              </w:rPr>
              <w:t>oves available and promoted by [</w:t>
            </w:r>
            <w:r w:rsidRPr="006437E1">
              <w:rPr>
                <w:rFonts w:ascii="Arial" w:hAnsi="Arial" w:cs="Arial"/>
                <w:i/>
                <w:sz w:val="18"/>
                <w:szCs w:val="18"/>
                <w:lang w:val="en-GB"/>
              </w:rPr>
              <w:t>2020</w:t>
            </w:r>
            <w:r w:rsidRPr="006437E1">
              <w:rPr>
                <w:rFonts w:ascii="Arial" w:hAnsi="Arial" w:cs="Arial"/>
                <w:sz w:val="18"/>
                <w:szCs w:val="18"/>
                <w:lang w:val="en-GB"/>
              </w:rPr>
              <w:t>].</w:t>
            </w:r>
          </w:p>
        </w:tc>
        <w:tc>
          <w:tcPr>
            <w:tcW w:w="4572" w:type="dxa"/>
          </w:tcPr>
          <w:p w14:paraId="7A6F259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6.6.1</w:t>
            </w:r>
          </w:p>
          <w:p w14:paraId="1502EAD4" w14:textId="7F2805E2"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Develop and promote good practice for any party putting out food or water for </w:t>
            </w:r>
            <w:r w:rsidR="000063EB" w:rsidRPr="006437E1">
              <w:rPr>
                <w:rFonts w:ascii="Arial" w:hAnsi="Arial" w:cs="Arial"/>
                <w:sz w:val="18"/>
                <w:szCs w:val="18"/>
                <w:lang w:val="en-GB"/>
              </w:rPr>
              <w:t>T</w:t>
            </w:r>
            <w:r w:rsidRPr="006437E1">
              <w:rPr>
                <w:rFonts w:ascii="Arial" w:hAnsi="Arial" w:cs="Arial"/>
                <w:sz w:val="18"/>
                <w:szCs w:val="18"/>
                <w:lang w:val="en-GB"/>
              </w:rPr>
              <w:t>urtle</w:t>
            </w:r>
            <w:r w:rsidR="000063EB" w:rsidRPr="006437E1">
              <w:rPr>
                <w:rFonts w:ascii="Arial" w:hAnsi="Arial" w:cs="Arial"/>
                <w:sz w:val="18"/>
                <w:szCs w:val="18"/>
                <w:lang w:val="en-GB"/>
              </w:rPr>
              <w:t xml:space="preserve"> D</w:t>
            </w:r>
            <w:r w:rsidRPr="006437E1">
              <w:rPr>
                <w:rFonts w:ascii="Arial" w:hAnsi="Arial" w:cs="Arial"/>
                <w:sz w:val="18"/>
                <w:szCs w:val="18"/>
                <w:lang w:val="en-GB"/>
              </w:rPr>
              <w:t>oves and other wildlife (e</w:t>
            </w:r>
            <w:r w:rsidR="000063EB" w:rsidRPr="006437E1">
              <w:rPr>
                <w:rFonts w:ascii="Arial" w:hAnsi="Arial" w:cs="Arial"/>
                <w:sz w:val="18"/>
                <w:szCs w:val="18"/>
                <w:lang w:val="en-GB"/>
              </w:rPr>
              <w:t>.</w:t>
            </w:r>
            <w:r w:rsidRPr="006437E1">
              <w:rPr>
                <w:rFonts w:ascii="Arial" w:hAnsi="Arial" w:cs="Arial"/>
                <w:sz w:val="18"/>
                <w:szCs w:val="18"/>
                <w:lang w:val="en-GB"/>
              </w:rPr>
              <w:t>g</w:t>
            </w:r>
            <w:r w:rsidR="000063EB" w:rsidRPr="006437E1">
              <w:rPr>
                <w:rFonts w:ascii="Arial" w:hAnsi="Arial" w:cs="Arial"/>
                <w:sz w:val="18"/>
                <w:szCs w:val="18"/>
                <w:lang w:val="en-GB"/>
              </w:rPr>
              <w:t>.</w:t>
            </w:r>
            <w:r w:rsidRPr="006437E1">
              <w:rPr>
                <w:rFonts w:ascii="Arial" w:hAnsi="Arial" w:cs="Arial"/>
                <w:sz w:val="18"/>
                <w:szCs w:val="18"/>
                <w:lang w:val="en-GB"/>
              </w:rPr>
              <w:t xml:space="preserve"> birdwatchers, hunters).</w:t>
            </w:r>
          </w:p>
          <w:p w14:paraId="2BF784FC" w14:textId="77777777" w:rsidR="00C96521" w:rsidRPr="006437E1" w:rsidRDefault="00C96521" w:rsidP="00C96521">
            <w:pPr>
              <w:widowControl/>
              <w:autoSpaceDE/>
              <w:autoSpaceDN/>
              <w:adjustRightInd/>
              <w:rPr>
                <w:rFonts w:ascii="Arial" w:hAnsi="Arial" w:cs="Arial"/>
                <w:sz w:val="18"/>
                <w:szCs w:val="18"/>
                <w:lang w:val="en-GB"/>
              </w:rPr>
            </w:pPr>
          </w:p>
          <w:p w14:paraId="51B5735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993" w:type="dxa"/>
          </w:tcPr>
          <w:p w14:paraId="3916A87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354AEC7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165DC93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CONSERVATION NGOs, FACE,</w:t>
            </w:r>
            <w:r w:rsidRPr="006437E1">
              <w:rPr>
                <w:rFonts w:ascii="Arial" w:hAnsi="Arial" w:cs="Arial"/>
                <w:sz w:val="18"/>
                <w:szCs w:val="18"/>
                <w:lang w:val="en-GB"/>
              </w:rPr>
              <w:t xml:space="preserve"> national hunting federations, academic institutions</w:t>
            </w:r>
          </w:p>
        </w:tc>
        <w:tc>
          <w:tcPr>
            <w:tcW w:w="2443" w:type="dxa"/>
          </w:tcPr>
          <w:p w14:paraId="26FD7A8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guidance (eg RSPB), results of new publications on disease risk/spread.</w:t>
            </w:r>
          </w:p>
          <w:p w14:paraId="6553742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7.10.1</w:t>
            </w:r>
          </w:p>
        </w:tc>
      </w:tr>
      <w:tr w:rsidR="00C96521" w:rsidRPr="006437E1" w14:paraId="5787AE16" w14:textId="77777777" w:rsidTr="00C96521">
        <w:tc>
          <w:tcPr>
            <w:tcW w:w="2340" w:type="dxa"/>
          </w:tcPr>
          <w:p w14:paraId="0EA4C95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6.7 Good practice guidelines for using chemically coated seeds available and promoted by [</w:t>
            </w:r>
            <w:r w:rsidRPr="006437E1">
              <w:rPr>
                <w:rFonts w:ascii="Arial" w:hAnsi="Arial" w:cs="Arial"/>
                <w:i/>
                <w:sz w:val="18"/>
                <w:szCs w:val="18"/>
                <w:lang w:val="en-GB"/>
              </w:rPr>
              <w:t>2020</w:t>
            </w:r>
            <w:r w:rsidRPr="006437E1">
              <w:rPr>
                <w:rFonts w:ascii="Arial" w:hAnsi="Arial" w:cs="Arial"/>
                <w:sz w:val="18"/>
                <w:szCs w:val="18"/>
                <w:lang w:val="en-GB"/>
              </w:rPr>
              <w:t>].</w:t>
            </w:r>
          </w:p>
        </w:tc>
        <w:tc>
          <w:tcPr>
            <w:tcW w:w="4572" w:type="dxa"/>
          </w:tcPr>
          <w:p w14:paraId="62CDC6C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6.7.1</w:t>
            </w:r>
          </w:p>
          <w:p w14:paraId="0B4ECF61" w14:textId="77285DB0"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Develop and promote good practice for farmers using chemically coated seeds in order to limit threat to </w:t>
            </w:r>
            <w:r w:rsidR="005028F9" w:rsidRPr="006437E1">
              <w:rPr>
                <w:rFonts w:ascii="Arial" w:hAnsi="Arial" w:cs="Arial"/>
                <w:sz w:val="18"/>
                <w:szCs w:val="18"/>
                <w:lang w:val="en-GB"/>
              </w:rPr>
              <w:t>T</w:t>
            </w:r>
            <w:r w:rsidRPr="006437E1">
              <w:rPr>
                <w:rFonts w:ascii="Arial" w:hAnsi="Arial" w:cs="Arial"/>
                <w:sz w:val="18"/>
                <w:szCs w:val="18"/>
                <w:lang w:val="en-GB"/>
              </w:rPr>
              <w:t>urtle</w:t>
            </w:r>
            <w:r w:rsidR="005028F9" w:rsidRPr="006437E1">
              <w:rPr>
                <w:rFonts w:ascii="Arial" w:hAnsi="Arial" w:cs="Arial"/>
                <w:sz w:val="18"/>
                <w:szCs w:val="18"/>
                <w:lang w:val="en-GB"/>
              </w:rPr>
              <w:t xml:space="preserve"> D</w:t>
            </w:r>
            <w:r w:rsidRPr="006437E1">
              <w:rPr>
                <w:rFonts w:ascii="Arial" w:hAnsi="Arial" w:cs="Arial"/>
                <w:sz w:val="18"/>
                <w:szCs w:val="18"/>
                <w:lang w:val="en-GB"/>
              </w:rPr>
              <w:t>oves and other wildlife.</w:t>
            </w:r>
          </w:p>
          <w:p w14:paraId="697679FA" w14:textId="77777777" w:rsidR="00C96521" w:rsidRPr="006437E1" w:rsidRDefault="00C96521" w:rsidP="00C96521">
            <w:pPr>
              <w:widowControl/>
              <w:autoSpaceDE/>
              <w:autoSpaceDN/>
              <w:adjustRightInd/>
              <w:rPr>
                <w:rFonts w:ascii="Arial" w:hAnsi="Arial" w:cs="Arial"/>
                <w:sz w:val="18"/>
                <w:szCs w:val="18"/>
                <w:lang w:val="en-GB"/>
              </w:rPr>
            </w:pPr>
          </w:p>
          <w:p w14:paraId="01325F70" w14:textId="6D5F9169"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Applicable to: all Range States where chemically coated seeds are available to </w:t>
            </w:r>
            <w:r w:rsidR="005028F9" w:rsidRPr="006437E1">
              <w:rPr>
                <w:rFonts w:ascii="Arial" w:hAnsi="Arial" w:cs="Arial"/>
                <w:sz w:val="18"/>
                <w:szCs w:val="18"/>
                <w:lang w:val="en-GB"/>
              </w:rPr>
              <w:t>T</w:t>
            </w:r>
            <w:r w:rsidRPr="006437E1">
              <w:rPr>
                <w:rFonts w:ascii="Arial" w:hAnsi="Arial" w:cs="Arial"/>
                <w:sz w:val="18"/>
                <w:szCs w:val="18"/>
                <w:lang w:val="en-GB"/>
              </w:rPr>
              <w:t>urtle</w:t>
            </w:r>
            <w:r w:rsidR="005028F9" w:rsidRPr="006437E1">
              <w:rPr>
                <w:rFonts w:ascii="Arial" w:hAnsi="Arial" w:cs="Arial"/>
                <w:sz w:val="18"/>
                <w:szCs w:val="18"/>
                <w:lang w:val="en-GB"/>
              </w:rPr>
              <w:t xml:space="preserve"> D</w:t>
            </w:r>
            <w:r w:rsidRPr="006437E1">
              <w:rPr>
                <w:rFonts w:ascii="Arial" w:hAnsi="Arial" w:cs="Arial"/>
                <w:sz w:val="18"/>
                <w:szCs w:val="18"/>
                <w:lang w:val="en-GB"/>
              </w:rPr>
              <w:t>oves (i</w:t>
            </w:r>
            <w:r w:rsidR="005028F9" w:rsidRPr="006437E1">
              <w:rPr>
                <w:rFonts w:ascii="Arial" w:hAnsi="Arial" w:cs="Arial"/>
                <w:sz w:val="18"/>
                <w:szCs w:val="18"/>
                <w:lang w:val="en-GB"/>
              </w:rPr>
              <w:t>.</w:t>
            </w:r>
            <w:r w:rsidRPr="006437E1">
              <w:rPr>
                <w:rFonts w:ascii="Arial" w:hAnsi="Arial" w:cs="Arial"/>
                <w:sz w:val="18"/>
                <w:szCs w:val="18"/>
                <w:lang w:val="en-GB"/>
              </w:rPr>
              <w:t>e</w:t>
            </w:r>
            <w:r w:rsidR="005028F9" w:rsidRPr="006437E1">
              <w:rPr>
                <w:rFonts w:ascii="Arial" w:hAnsi="Arial" w:cs="Arial"/>
                <w:sz w:val="18"/>
                <w:szCs w:val="18"/>
                <w:lang w:val="en-GB"/>
              </w:rPr>
              <w:t>.</w:t>
            </w:r>
            <w:r w:rsidRPr="006437E1">
              <w:rPr>
                <w:rFonts w:ascii="Arial" w:hAnsi="Arial" w:cs="Arial"/>
                <w:sz w:val="18"/>
                <w:szCs w:val="18"/>
                <w:lang w:val="en-GB"/>
              </w:rPr>
              <w:t xml:space="preserve"> both are present at same time)</w:t>
            </w:r>
          </w:p>
        </w:tc>
        <w:tc>
          <w:tcPr>
            <w:tcW w:w="993" w:type="dxa"/>
          </w:tcPr>
          <w:p w14:paraId="0484099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134" w:type="dxa"/>
          </w:tcPr>
          <w:p w14:paraId="58704DF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676B712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FARMING AGENCIES</w:t>
            </w:r>
            <w:r w:rsidRPr="006437E1">
              <w:rPr>
                <w:rFonts w:ascii="Arial" w:hAnsi="Arial" w:cs="Arial"/>
                <w:sz w:val="18"/>
                <w:szCs w:val="18"/>
                <w:lang w:val="en-GB"/>
              </w:rPr>
              <w:t>, academic institutions</w:t>
            </w:r>
          </w:p>
        </w:tc>
        <w:tc>
          <w:tcPr>
            <w:tcW w:w="2443" w:type="dxa"/>
          </w:tcPr>
          <w:p w14:paraId="1FE0A1C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Farming guidelines, agricultural supplier guidelines, results of new publications on poisoning.</w:t>
            </w:r>
          </w:p>
          <w:p w14:paraId="07AB73D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7.11.1</w:t>
            </w:r>
          </w:p>
        </w:tc>
      </w:tr>
      <w:tr w:rsidR="00C96521" w:rsidRPr="006437E1" w14:paraId="35A45F7D" w14:textId="77777777" w:rsidTr="00C96521">
        <w:tc>
          <w:tcPr>
            <w:tcW w:w="2340" w:type="dxa"/>
          </w:tcPr>
          <w:p w14:paraId="0B2E5790" w14:textId="4224B3BF"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6.8 Turtle</w:t>
            </w:r>
            <w:r w:rsidR="005028F9" w:rsidRPr="006437E1">
              <w:rPr>
                <w:rFonts w:ascii="Arial" w:hAnsi="Arial" w:cs="Arial"/>
                <w:sz w:val="18"/>
                <w:szCs w:val="18"/>
                <w:lang w:val="en-GB"/>
              </w:rPr>
              <w:t xml:space="preserve"> D</w:t>
            </w:r>
            <w:r w:rsidRPr="006437E1">
              <w:rPr>
                <w:rFonts w:ascii="Arial" w:hAnsi="Arial" w:cs="Arial"/>
                <w:sz w:val="18"/>
                <w:szCs w:val="18"/>
                <w:lang w:val="en-GB"/>
              </w:rPr>
              <w:t>ove listed as an EU priority species for funding by [</w:t>
            </w:r>
            <w:r w:rsidRPr="006437E1">
              <w:rPr>
                <w:rFonts w:ascii="Arial" w:hAnsi="Arial" w:cs="Arial"/>
                <w:i/>
                <w:sz w:val="18"/>
                <w:szCs w:val="18"/>
                <w:lang w:val="en-GB"/>
              </w:rPr>
              <w:t>2018</w:t>
            </w:r>
            <w:r w:rsidRPr="006437E1">
              <w:rPr>
                <w:rFonts w:ascii="Arial" w:hAnsi="Arial" w:cs="Arial"/>
                <w:sz w:val="18"/>
                <w:szCs w:val="18"/>
                <w:lang w:val="en-GB"/>
              </w:rPr>
              <w:t>].</w:t>
            </w:r>
          </w:p>
        </w:tc>
        <w:tc>
          <w:tcPr>
            <w:tcW w:w="4572" w:type="dxa"/>
          </w:tcPr>
          <w:p w14:paraId="0BE1F36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6.8.1</w:t>
            </w:r>
          </w:p>
          <w:p w14:paraId="76445457" w14:textId="30F3FF0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European Commission includes the turtle-dove on the EU list of priority species, to enable access to funding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LIFE programme).</w:t>
            </w:r>
          </w:p>
          <w:p w14:paraId="36649334" w14:textId="77777777" w:rsidR="00C96521" w:rsidRPr="006437E1" w:rsidRDefault="00C96521" w:rsidP="00C96521">
            <w:pPr>
              <w:widowControl/>
              <w:autoSpaceDE/>
              <w:autoSpaceDN/>
              <w:adjustRightInd/>
              <w:rPr>
                <w:rFonts w:ascii="Arial" w:hAnsi="Arial" w:cs="Arial"/>
                <w:sz w:val="18"/>
                <w:szCs w:val="18"/>
                <w:lang w:val="en-GB"/>
              </w:rPr>
            </w:pPr>
          </w:p>
          <w:p w14:paraId="4B7006A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Applicable to: EU Member States.</w:t>
            </w:r>
          </w:p>
        </w:tc>
        <w:tc>
          <w:tcPr>
            <w:tcW w:w="993" w:type="dxa"/>
          </w:tcPr>
          <w:p w14:paraId="23BB5F6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134" w:type="dxa"/>
          </w:tcPr>
          <w:p w14:paraId="6647B12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93" w:type="dxa"/>
          </w:tcPr>
          <w:p w14:paraId="67634076"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EUROPEAN COMMISSION</w:t>
            </w:r>
          </w:p>
        </w:tc>
        <w:tc>
          <w:tcPr>
            <w:tcW w:w="2443" w:type="dxa"/>
          </w:tcPr>
          <w:p w14:paraId="65ACEA46" w14:textId="41A7229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Evidence of strong declines of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in Europe; IUCN Red List status of turtle-dove.</w:t>
            </w:r>
          </w:p>
        </w:tc>
      </w:tr>
    </w:tbl>
    <w:p w14:paraId="7DF01300"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7E15E9F9" w14:textId="77777777" w:rsidR="00C96521" w:rsidRPr="005D4262" w:rsidRDefault="00C96521" w:rsidP="00C96521">
      <w:pPr>
        <w:widowControl/>
        <w:autoSpaceDE/>
        <w:autoSpaceDN/>
        <w:adjustRightInd/>
        <w:spacing w:line="276" w:lineRule="auto"/>
        <w:rPr>
          <w:rFonts w:eastAsia="MS Mincho" w:cs="Arial"/>
          <w:szCs w:val="18"/>
          <w:lang w:val="en-GB" w:eastAsia="ja-JP"/>
        </w:rPr>
      </w:pPr>
    </w:p>
    <w:tbl>
      <w:tblPr>
        <w:tblStyle w:val="TableGrid"/>
        <w:tblW w:w="0" w:type="auto"/>
        <w:tblLook w:val="04A0" w:firstRow="1" w:lastRow="0" w:firstColumn="1" w:lastColumn="0" w:noHBand="0" w:noVBand="1"/>
      </w:tblPr>
      <w:tblGrid>
        <w:gridCol w:w="2291"/>
        <w:gridCol w:w="4404"/>
        <w:gridCol w:w="1252"/>
        <w:gridCol w:w="1238"/>
        <w:gridCol w:w="2612"/>
        <w:gridCol w:w="2378"/>
      </w:tblGrid>
      <w:tr w:rsidR="00C96521" w:rsidRPr="006437E1" w14:paraId="74B1C6BB" w14:textId="77777777" w:rsidTr="006437E1">
        <w:trPr>
          <w:tblHeader/>
        </w:trPr>
        <w:tc>
          <w:tcPr>
            <w:tcW w:w="14175" w:type="dxa"/>
            <w:gridSpan w:val="6"/>
            <w:shd w:val="clear" w:color="auto" w:fill="BFBFBF" w:themeFill="background1" w:themeFillShade="BF"/>
          </w:tcPr>
          <w:p w14:paraId="29BDE2C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Objective 7: Fill knowledge gaps</w:t>
            </w:r>
          </w:p>
        </w:tc>
      </w:tr>
      <w:tr w:rsidR="00C96521" w:rsidRPr="006437E1" w14:paraId="36ACFE8C" w14:textId="77777777" w:rsidTr="00C96521">
        <w:trPr>
          <w:tblHeader/>
        </w:trPr>
        <w:tc>
          <w:tcPr>
            <w:tcW w:w="2291" w:type="dxa"/>
            <w:shd w:val="clear" w:color="auto" w:fill="D9D9D9"/>
          </w:tcPr>
          <w:p w14:paraId="6321D6F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Result</w:t>
            </w:r>
          </w:p>
        </w:tc>
        <w:tc>
          <w:tcPr>
            <w:tcW w:w="4404" w:type="dxa"/>
            <w:shd w:val="clear" w:color="auto" w:fill="D9D9D9"/>
          </w:tcPr>
          <w:p w14:paraId="244186D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and scope</w:t>
            </w:r>
          </w:p>
        </w:tc>
        <w:tc>
          <w:tcPr>
            <w:tcW w:w="1252" w:type="dxa"/>
            <w:shd w:val="clear" w:color="auto" w:fill="D9D9D9"/>
          </w:tcPr>
          <w:p w14:paraId="00DEEBA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Priority</w:t>
            </w:r>
          </w:p>
        </w:tc>
        <w:tc>
          <w:tcPr>
            <w:tcW w:w="1238" w:type="dxa"/>
            <w:shd w:val="clear" w:color="auto" w:fill="D9D9D9"/>
          </w:tcPr>
          <w:p w14:paraId="03024D3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Timescale</w:t>
            </w:r>
          </w:p>
        </w:tc>
        <w:tc>
          <w:tcPr>
            <w:tcW w:w="2612" w:type="dxa"/>
            <w:shd w:val="clear" w:color="auto" w:fill="D9D9D9"/>
          </w:tcPr>
          <w:p w14:paraId="0A581225" w14:textId="60512C1C"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Organi</w:t>
            </w:r>
            <w:r w:rsidR="005028F9" w:rsidRPr="006437E1">
              <w:rPr>
                <w:rFonts w:ascii="Arial" w:hAnsi="Arial" w:cs="Arial"/>
                <w:sz w:val="18"/>
                <w:szCs w:val="18"/>
                <w:lang w:val="en-GB"/>
              </w:rPr>
              <w:t>z</w:t>
            </w:r>
            <w:r w:rsidRPr="006437E1">
              <w:rPr>
                <w:rFonts w:ascii="Arial" w:hAnsi="Arial" w:cs="Arial"/>
                <w:sz w:val="18"/>
                <w:szCs w:val="18"/>
                <w:lang w:val="en-GB"/>
              </w:rPr>
              <w:t>ations responsible</w:t>
            </w:r>
          </w:p>
        </w:tc>
        <w:tc>
          <w:tcPr>
            <w:tcW w:w="2378" w:type="dxa"/>
            <w:shd w:val="clear" w:color="auto" w:fill="D9D9D9"/>
          </w:tcPr>
          <w:p w14:paraId="6FBCBD0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Inputs required</w:t>
            </w:r>
          </w:p>
        </w:tc>
      </w:tr>
      <w:tr w:rsidR="00C96521" w:rsidRPr="006437E1" w14:paraId="1A81E052" w14:textId="77777777" w:rsidTr="00C96521">
        <w:tc>
          <w:tcPr>
            <w:tcW w:w="2291" w:type="dxa"/>
            <w:vMerge w:val="restart"/>
          </w:tcPr>
          <w:p w14:paraId="25AE20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7.1 More complete knowledge of turtle-dove movements throughout the yearly cycle by [</w:t>
            </w:r>
            <w:r w:rsidRPr="006437E1">
              <w:rPr>
                <w:rFonts w:ascii="Arial" w:hAnsi="Arial" w:cs="Arial"/>
                <w:i/>
                <w:sz w:val="18"/>
                <w:szCs w:val="18"/>
                <w:lang w:val="en-GB"/>
              </w:rPr>
              <w:t>2020</w:t>
            </w:r>
            <w:r w:rsidRPr="006437E1">
              <w:rPr>
                <w:rFonts w:ascii="Arial" w:hAnsi="Arial" w:cs="Arial"/>
                <w:sz w:val="18"/>
                <w:szCs w:val="18"/>
                <w:lang w:val="en-GB"/>
              </w:rPr>
              <w:t>].</w:t>
            </w:r>
          </w:p>
        </w:tc>
        <w:tc>
          <w:tcPr>
            <w:tcW w:w="4404" w:type="dxa"/>
          </w:tcPr>
          <w:p w14:paraId="24234C9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7.1.1</w:t>
            </w:r>
          </w:p>
          <w:p w14:paraId="793EEDE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further tracking studies and ringing return analyses to determine migration routes and key stop-over/bottle-neck areas in Western Europe.</w:t>
            </w:r>
          </w:p>
          <w:p w14:paraId="7E3908E9" w14:textId="77777777" w:rsidR="00C96521" w:rsidRPr="006437E1" w:rsidRDefault="00C96521" w:rsidP="00C96521">
            <w:pPr>
              <w:widowControl/>
              <w:autoSpaceDE/>
              <w:autoSpaceDN/>
              <w:adjustRightInd/>
              <w:rPr>
                <w:rFonts w:ascii="Arial" w:hAnsi="Arial" w:cs="Arial"/>
                <w:sz w:val="18"/>
                <w:szCs w:val="18"/>
                <w:lang w:val="en-GB"/>
              </w:rPr>
            </w:pPr>
          </w:p>
          <w:p w14:paraId="6D17BEC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western Europe and African Range States.</w:t>
            </w:r>
          </w:p>
        </w:tc>
        <w:tc>
          <w:tcPr>
            <w:tcW w:w="1252" w:type="dxa"/>
          </w:tcPr>
          <w:p w14:paraId="42FE433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2F66538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039E3543"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676E040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029EA08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Ringing and tagging studies; EURING; common bird monitoring.</w:t>
            </w:r>
          </w:p>
        </w:tc>
      </w:tr>
      <w:tr w:rsidR="00C96521" w:rsidRPr="006437E1" w14:paraId="344DC9DC" w14:textId="77777777" w:rsidTr="00C96521">
        <w:tc>
          <w:tcPr>
            <w:tcW w:w="2291" w:type="dxa"/>
            <w:vMerge/>
          </w:tcPr>
          <w:p w14:paraId="03876BE2"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7D42692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7.1.2</w:t>
            </w:r>
          </w:p>
          <w:p w14:paraId="77C91C3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further tracking studies to determine migration routes and key stop-over/bottle-neck areas in Eastern Europe and Central Asia.</w:t>
            </w:r>
          </w:p>
          <w:p w14:paraId="794D41F9" w14:textId="77777777" w:rsidR="00C96521" w:rsidRPr="006437E1" w:rsidRDefault="00C96521" w:rsidP="00C96521">
            <w:pPr>
              <w:widowControl/>
              <w:autoSpaceDE/>
              <w:autoSpaceDN/>
              <w:adjustRightInd/>
              <w:rPr>
                <w:rFonts w:ascii="Arial" w:hAnsi="Arial" w:cs="Arial"/>
                <w:sz w:val="18"/>
                <w:szCs w:val="18"/>
                <w:lang w:val="en-GB"/>
              </w:rPr>
            </w:pPr>
          </w:p>
          <w:p w14:paraId="23E8EA5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eastern Europe, Central Asia and Middle East Range States.</w:t>
            </w:r>
          </w:p>
        </w:tc>
        <w:tc>
          <w:tcPr>
            <w:tcW w:w="1252" w:type="dxa"/>
          </w:tcPr>
          <w:p w14:paraId="3973C3D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292C984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2ED988DF"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6A64A0A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31736DF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Ringing and tagging studies; EURING; common bird monitoring.</w:t>
            </w:r>
          </w:p>
        </w:tc>
      </w:tr>
      <w:tr w:rsidR="00C96521" w:rsidRPr="006437E1" w14:paraId="63A2866E" w14:textId="77777777" w:rsidTr="00C96521">
        <w:tc>
          <w:tcPr>
            <w:tcW w:w="2291" w:type="dxa"/>
            <w:vMerge/>
          </w:tcPr>
          <w:p w14:paraId="2745DACF"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3DE8018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7.1.3</w:t>
            </w:r>
          </w:p>
          <w:p w14:paraId="088F791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further tracking studies to determine movements and habitat use of birds within their wintering grounds in Africa.</w:t>
            </w:r>
          </w:p>
          <w:p w14:paraId="0324B05D" w14:textId="77777777" w:rsidR="00C96521" w:rsidRPr="006437E1" w:rsidRDefault="00C96521" w:rsidP="00C96521">
            <w:pPr>
              <w:widowControl/>
              <w:autoSpaceDE/>
              <w:autoSpaceDN/>
              <w:adjustRightInd/>
              <w:rPr>
                <w:rFonts w:ascii="Arial" w:hAnsi="Arial" w:cs="Arial"/>
                <w:sz w:val="18"/>
                <w:szCs w:val="18"/>
                <w:lang w:val="en-GB"/>
              </w:rPr>
            </w:pPr>
          </w:p>
          <w:p w14:paraId="318E86D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West Africa, East Africa</w:t>
            </w:r>
          </w:p>
        </w:tc>
        <w:tc>
          <w:tcPr>
            <w:tcW w:w="1252" w:type="dxa"/>
          </w:tcPr>
          <w:p w14:paraId="43D7187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2DD310A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1531EA8D"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36FFD29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0F3E49D1" w14:textId="31967FC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Ringing and tagging studies; EURING; national databases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WABDaB for West Africa).</w:t>
            </w:r>
          </w:p>
        </w:tc>
      </w:tr>
      <w:tr w:rsidR="00C96521" w:rsidRPr="006437E1" w14:paraId="719A7332" w14:textId="77777777" w:rsidTr="00C96521">
        <w:tc>
          <w:tcPr>
            <w:tcW w:w="2291" w:type="dxa"/>
            <w:vMerge/>
          </w:tcPr>
          <w:p w14:paraId="6D0C09F1"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01E656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7.1.4</w:t>
            </w:r>
          </w:p>
          <w:p w14:paraId="7C92CCD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tracking studies to determine movements of birds breeding in North Africa.</w:t>
            </w:r>
          </w:p>
          <w:p w14:paraId="26CA273C" w14:textId="77777777" w:rsidR="00C96521" w:rsidRPr="006437E1" w:rsidRDefault="00C96521" w:rsidP="00C96521">
            <w:pPr>
              <w:widowControl/>
              <w:autoSpaceDE/>
              <w:autoSpaceDN/>
              <w:adjustRightInd/>
              <w:rPr>
                <w:rFonts w:ascii="Arial" w:hAnsi="Arial" w:cs="Arial"/>
                <w:sz w:val="18"/>
                <w:szCs w:val="18"/>
                <w:lang w:val="en-GB"/>
              </w:rPr>
            </w:pPr>
          </w:p>
          <w:p w14:paraId="344FF76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North, West and East Africa.</w:t>
            </w:r>
          </w:p>
        </w:tc>
        <w:tc>
          <w:tcPr>
            <w:tcW w:w="1252" w:type="dxa"/>
          </w:tcPr>
          <w:p w14:paraId="7AD2CC4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03F3EA4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3F6EA272"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125AB94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3D834FD5" w14:textId="4000D9C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Ringing and tagging studies; EURING; national databases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WABDaB for West Africa).</w:t>
            </w:r>
          </w:p>
        </w:tc>
      </w:tr>
      <w:tr w:rsidR="00C96521" w:rsidRPr="006437E1" w14:paraId="258E00CE" w14:textId="77777777" w:rsidTr="00C96521">
        <w:tc>
          <w:tcPr>
            <w:tcW w:w="2291" w:type="dxa"/>
            <w:vMerge w:val="restart"/>
          </w:tcPr>
          <w:p w14:paraId="4D4236A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7.2 More complete knowledge of national population sizes and trends by [</w:t>
            </w:r>
            <w:r w:rsidRPr="006437E1">
              <w:rPr>
                <w:rFonts w:ascii="Arial" w:hAnsi="Arial" w:cs="Arial"/>
                <w:i/>
                <w:sz w:val="18"/>
                <w:szCs w:val="18"/>
                <w:lang w:val="en-GB"/>
              </w:rPr>
              <w:t>2020</w:t>
            </w:r>
            <w:r w:rsidRPr="006437E1">
              <w:rPr>
                <w:rFonts w:ascii="Arial" w:hAnsi="Arial" w:cs="Arial"/>
                <w:sz w:val="18"/>
                <w:szCs w:val="18"/>
                <w:lang w:val="en-GB"/>
              </w:rPr>
              <w:t>].</w:t>
            </w:r>
          </w:p>
          <w:p w14:paraId="0038923F"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154F36F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7.2.1</w:t>
            </w:r>
          </w:p>
          <w:p w14:paraId="1AFD089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Collate existing information on eastern populations of turtle-dove that are not within the scope of this Action Plan to determine activities for future versions.</w:t>
            </w:r>
          </w:p>
          <w:p w14:paraId="783F3CAF" w14:textId="77777777" w:rsidR="00C96521" w:rsidRPr="006437E1" w:rsidRDefault="00C96521" w:rsidP="00C96521">
            <w:pPr>
              <w:widowControl/>
              <w:autoSpaceDE/>
              <w:autoSpaceDN/>
              <w:adjustRightInd/>
              <w:rPr>
                <w:rFonts w:ascii="Arial" w:hAnsi="Arial" w:cs="Arial"/>
                <w:sz w:val="18"/>
                <w:szCs w:val="18"/>
                <w:lang w:val="en-GB"/>
              </w:rPr>
            </w:pPr>
          </w:p>
          <w:p w14:paraId="2D0801F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some Range States in Central Asia, the Middle East , and Asia (as far east as China).</w:t>
            </w:r>
          </w:p>
        </w:tc>
        <w:tc>
          <w:tcPr>
            <w:tcW w:w="1252" w:type="dxa"/>
          </w:tcPr>
          <w:p w14:paraId="273FDB9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238" w:type="dxa"/>
          </w:tcPr>
          <w:p w14:paraId="57D6E8B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12" w:type="dxa"/>
          </w:tcPr>
          <w:p w14:paraId="6AA9D625"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10892F5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79EA1E0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National databases; common bird monitoring; turtle-dove specific surveys.</w:t>
            </w:r>
          </w:p>
        </w:tc>
      </w:tr>
      <w:tr w:rsidR="00C96521" w:rsidRPr="006437E1" w14:paraId="01C3791F" w14:textId="77777777" w:rsidTr="00C96521">
        <w:tc>
          <w:tcPr>
            <w:tcW w:w="2291" w:type="dxa"/>
            <w:vMerge/>
          </w:tcPr>
          <w:p w14:paraId="53C19CCD"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45A946A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7.2.2</w:t>
            </w:r>
          </w:p>
          <w:p w14:paraId="0A07666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Ensure that national monitoring schemes include turtle-dove specific surveys in order to enable more </w:t>
            </w:r>
            <w:r w:rsidRPr="006437E1">
              <w:rPr>
                <w:rFonts w:ascii="Arial" w:hAnsi="Arial" w:cs="Arial"/>
                <w:sz w:val="18"/>
                <w:szCs w:val="18"/>
                <w:lang w:val="en-GB"/>
              </w:rPr>
              <w:lastRenderedPageBreak/>
              <w:t>robust estimates of national, regional and international population sizes and trends, and modelling of recent and potential changes is possible.</w:t>
            </w:r>
          </w:p>
          <w:p w14:paraId="58EF738C" w14:textId="77777777" w:rsidR="00C96521" w:rsidRPr="006437E1" w:rsidRDefault="00C96521" w:rsidP="00C96521">
            <w:pPr>
              <w:widowControl/>
              <w:autoSpaceDE/>
              <w:autoSpaceDN/>
              <w:adjustRightInd/>
              <w:rPr>
                <w:rFonts w:ascii="Arial" w:hAnsi="Arial" w:cs="Arial"/>
                <w:sz w:val="18"/>
                <w:szCs w:val="18"/>
                <w:lang w:val="en-GB"/>
              </w:rPr>
            </w:pPr>
          </w:p>
          <w:p w14:paraId="7530B9A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but in particular those currently with poor population and trend estimates, especially Turkey, eastern Europe, and into Asia.</w:t>
            </w:r>
          </w:p>
        </w:tc>
        <w:tc>
          <w:tcPr>
            <w:tcW w:w="1252" w:type="dxa"/>
          </w:tcPr>
          <w:p w14:paraId="694FBFF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238" w:type="dxa"/>
          </w:tcPr>
          <w:p w14:paraId="338467D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79902EF1"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2B65C83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lastRenderedPageBreak/>
              <w:t>ACADEMIC INSTITUTIONS</w:t>
            </w:r>
            <w:r w:rsidRPr="006437E1">
              <w:rPr>
                <w:rFonts w:ascii="Arial" w:hAnsi="Arial" w:cs="Arial"/>
                <w:sz w:val="18"/>
                <w:szCs w:val="18"/>
                <w:lang w:val="en-GB"/>
              </w:rPr>
              <w:t>, national hunting federations, national wildlife agencies.</w:t>
            </w:r>
          </w:p>
        </w:tc>
        <w:tc>
          <w:tcPr>
            <w:tcW w:w="2378" w:type="dxa"/>
          </w:tcPr>
          <w:p w14:paraId="7ABEB8C6" w14:textId="73A42C6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National databases; common bird monitoring;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 xml:space="preserve">specific </w:t>
            </w:r>
            <w:r w:rsidRPr="006437E1">
              <w:rPr>
                <w:rFonts w:ascii="Arial" w:hAnsi="Arial" w:cs="Arial"/>
                <w:sz w:val="18"/>
                <w:szCs w:val="18"/>
                <w:lang w:val="en-GB"/>
              </w:rPr>
              <w:lastRenderedPageBreak/>
              <w:t>surveys; Article 12 reporting under Birds Directive.</w:t>
            </w:r>
          </w:p>
        </w:tc>
      </w:tr>
      <w:tr w:rsidR="00C96521" w:rsidRPr="006437E1" w14:paraId="5B1A74A2" w14:textId="77777777" w:rsidTr="00C96521">
        <w:tc>
          <w:tcPr>
            <w:tcW w:w="2291" w:type="dxa"/>
            <w:vMerge/>
          </w:tcPr>
          <w:p w14:paraId="430A5109"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7DD397A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7.2.3</w:t>
            </w:r>
          </w:p>
          <w:p w14:paraId="396D6976" w14:textId="3D3BE8F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Develop targeted data collection on population size and trends of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populations in sub-Saharan Africa and collate information into a single database.</w:t>
            </w:r>
          </w:p>
          <w:p w14:paraId="3573A983" w14:textId="77777777" w:rsidR="00C96521" w:rsidRPr="006437E1" w:rsidRDefault="00C96521" w:rsidP="00C96521">
            <w:pPr>
              <w:widowControl/>
              <w:autoSpaceDE/>
              <w:autoSpaceDN/>
              <w:adjustRightInd/>
              <w:rPr>
                <w:rFonts w:ascii="Arial" w:hAnsi="Arial" w:cs="Arial"/>
                <w:sz w:val="18"/>
                <w:szCs w:val="18"/>
                <w:lang w:val="en-GB"/>
              </w:rPr>
            </w:pPr>
          </w:p>
          <w:p w14:paraId="313AD1A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in sub-Saharan Africa</w:t>
            </w:r>
          </w:p>
        </w:tc>
        <w:tc>
          <w:tcPr>
            <w:tcW w:w="1252" w:type="dxa"/>
          </w:tcPr>
          <w:p w14:paraId="388A671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30A27CC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6499D5CD"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7CAC0EC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6FC10645" w14:textId="4A5B963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National databases; common bird monitoring structures;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specific surveys.</w:t>
            </w:r>
          </w:p>
        </w:tc>
      </w:tr>
      <w:tr w:rsidR="00C96521" w:rsidRPr="006437E1" w14:paraId="52C4BCAE" w14:textId="77777777" w:rsidTr="00C96521">
        <w:tc>
          <w:tcPr>
            <w:tcW w:w="2291" w:type="dxa"/>
          </w:tcPr>
          <w:p w14:paraId="20F9568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7.3 More complete knowledge of sub-species distributions and movements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18792D3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7.3.1</w:t>
            </w:r>
          </w:p>
          <w:p w14:paraId="7BC79AD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research to determine movements and population sizes and trends for the turtle-dove sub-species, including isotope and genetic research in eastern Europe.</w:t>
            </w:r>
          </w:p>
          <w:p w14:paraId="338B6B51" w14:textId="77777777" w:rsidR="00C96521" w:rsidRPr="006437E1" w:rsidRDefault="00C96521" w:rsidP="00C96521">
            <w:pPr>
              <w:widowControl/>
              <w:autoSpaceDE/>
              <w:autoSpaceDN/>
              <w:adjustRightInd/>
              <w:rPr>
                <w:rFonts w:ascii="Arial" w:hAnsi="Arial" w:cs="Arial"/>
                <w:sz w:val="18"/>
                <w:szCs w:val="18"/>
                <w:lang w:val="en-GB"/>
              </w:rPr>
            </w:pPr>
          </w:p>
          <w:p w14:paraId="06A0D42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Applicable to: those Range States holding less well-studied sub-species (in particular, but not confined to, </w:t>
            </w:r>
            <w:r w:rsidRPr="006437E1">
              <w:rPr>
                <w:rFonts w:ascii="Arial" w:hAnsi="Arial" w:cs="Arial"/>
                <w:i/>
                <w:sz w:val="18"/>
                <w:szCs w:val="18"/>
                <w:lang w:val="en-GB"/>
              </w:rPr>
              <w:t>S. t. hoggara</w:t>
            </w:r>
            <w:r w:rsidRPr="006437E1">
              <w:rPr>
                <w:rFonts w:ascii="Arial" w:hAnsi="Arial" w:cs="Arial"/>
                <w:sz w:val="18"/>
                <w:szCs w:val="18"/>
                <w:lang w:val="en-GB"/>
              </w:rPr>
              <w:t xml:space="preserve"> and </w:t>
            </w:r>
            <w:r w:rsidRPr="006437E1">
              <w:rPr>
                <w:rFonts w:ascii="Arial" w:hAnsi="Arial" w:cs="Arial"/>
                <w:i/>
                <w:sz w:val="18"/>
                <w:szCs w:val="18"/>
                <w:lang w:val="en-GB"/>
              </w:rPr>
              <w:t>S. t. rufescens</w:t>
            </w:r>
            <w:r w:rsidRPr="006437E1">
              <w:rPr>
                <w:rFonts w:ascii="Arial" w:hAnsi="Arial" w:cs="Arial"/>
                <w:sz w:val="18"/>
                <w:szCs w:val="18"/>
                <w:lang w:val="en-GB"/>
              </w:rPr>
              <w:t>).</w:t>
            </w:r>
          </w:p>
        </w:tc>
        <w:tc>
          <w:tcPr>
            <w:tcW w:w="1252" w:type="dxa"/>
          </w:tcPr>
          <w:p w14:paraId="62F87C5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238" w:type="dxa"/>
          </w:tcPr>
          <w:p w14:paraId="71C7061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7B40D307"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00ECA25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111D962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Actions 7.1.1-7.1.4</w:t>
            </w:r>
          </w:p>
          <w:p w14:paraId="37159A1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7.2.1-7.23</w:t>
            </w:r>
          </w:p>
        </w:tc>
      </w:tr>
      <w:tr w:rsidR="00C96521" w:rsidRPr="006437E1" w14:paraId="0F27393C" w14:textId="77777777" w:rsidTr="00C96521">
        <w:tc>
          <w:tcPr>
            <w:tcW w:w="2291" w:type="dxa"/>
            <w:vMerge w:val="restart"/>
          </w:tcPr>
          <w:p w14:paraId="60874569" w14:textId="3FA66F8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7.4 Greater understanding of the key components needed in a </w:t>
            </w:r>
            <w:r w:rsidR="005028F9" w:rsidRPr="006437E1">
              <w:rPr>
                <w:rFonts w:ascii="Arial" w:hAnsi="Arial" w:cs="Arial"/>
                <w:sz w:val="18"/>
                <w:szCs w:val="18"/>
                <w:lang w:val="en-GB"/>
              </w:rPr>
              <w:t xml:space="preserve">Turtle Dove‘s </w:t>
            </w:r>
            <w:r w:rsidRPr="006437E1">
              <w:rPr>
                <w:rFonts w:ascii="Arial" w:hAnsi="Arial" w:cs="Arial"/>
                <w:sz w:val="18"/>
                <w:szCs w:val="18"/>
                <w:lang w:val="en-GB"/>
              </w:rPr>
              <w:t>habitat by [</w:t>
            </w:r>
            <w:r w:rsidRPr="006437E1">
              <w:rPr>
                <w:rFonts w:ascii="Arial" w:hAnsi="Arial" w:cs="Arial"/>
                <w:i/>
                <w:sz w:val="18"/>
                <w:szCs w:val="18"/>
                <w:lang w:val="en-GB"/>
              </w:rPr>
              <w:t>2020</w:t>
            </w:r>
            <w:r w:rsidRPr="006437E1">
              <w:rPr>
                <w:rFonts w:ascii="Arial" w:hAnsi="Arial" w:cs="Arial"/>
                <w:sz w:val="18"/>
                <w:szCs w:val="18"/>
                <w:lang w:val="en-GB"/>
              </w:rPr>
              <w:t>].</w:t>
            </w:r>
          </w:p>
          <w:p w14:paraId="407EC40E" w14:textId="77777777" w:rsidR="00C96521" w:rsidRPr="006437E1" w:rsidRDefault="00C96521" w:rsidP="00C96521">
            <w:pPr>
              <w:widowControl/>
              <w:autoSpaceDE/>
              <w:autoSpaceDN/>
              <w:adjustRightInd/>
              <w:rPr>
                <w:rFonts w:ascii="Arial" w:hAnsi="Arial" w:cs="Arial"/>
                <w:sz w:val="18"/>
                <w:szCs w:val="18"/>
                <w:lang w:val="en-GB"/>
              </w:rPr>
            </w:pPr>
          </w:p>
          <w:p w14:paraId="5A34310A"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1F4A325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7.4.1</w:t>
            </w:r>
          </w:p>
          <w:p w14:paraId="7C78ED3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Improve knowledge of turtle-dove habitat associations and dietary needs, and undertake regional comparisons in population change compared to agricultural change.  </w:t>
            </w:r>
          </w:p>
          <w:p w14:paraId="4630719A" w14:textId="77777777" w:rsidR="00C96521" w:rsidRPr="006437E1" w:rsidRDefault="00C96521" w:rsidP="00C96521">
            <w:pPr>
              <w:widowControl/>
              <w:autoSpaceDE/>
              <w:autoSpaceDN/>
              <w:adjustRightInd/>
              <w:rPr>
                <w:rFonts w:ascii="Arial" w:hAnsi="Arial" w:cs="Arial"/>
                <w:sz w:val="18"/>
                <w:szCs w:val="18"/>
                <w:lang w:val="en-GB"/>
              </w:rPr>
            </w:pPr>
          </w:p>
          <w:p w14:paraId="4B83041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7C4032A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45E4242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5C4B02BE"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44B51D6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73368F6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successful prescriptions for turtle-doves; research papers; hunting bag samples.</w:t>
            </w:r>
          </w:p>
        </w:tc>
      </w:tr>
      <w:tr w:rsidR="00C96521" w:rsidRPr="006437E1" w14:paraId="12989FE0" w14:textId="77777777" w:rsidTr="00C96521">
        <w:tc>
          <w:tcPr>
            <w:tcW w:w="2291" w:type="dxa"/>
            <w:vMerge/>
          </w:tcPr>
          <w:p w14:paraId="6ECB60E0"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0B50666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7.4.2</w:t>
            </w:r>
          </w:p>
          <w:p w14:paraId="2675BFD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tracking studies to determine small-scale movements of birds within their breeding area in different habitats (forest, agricultural landscapes).</w:t>
            </w:r>
          </w:p>
          <w:p w14:paraId="0E4E1C1D" w14:textId="77777777" w:rsidR="00C96521" w:rsidRPr="006437E1" w:rsidRDefault="00C96521" w:rsidP="00C96521">
            <w:pPr>
              <w:widowControl/>
              <w:autoSpaceDE/>
              <w:autoSpaceDN/>
              <w:adjustRightInd/>
              <w:rPr>
                <w:rFonts w:ascii="Arial" w:hAnsi="Arial" w:cs="Arial"/>
                <w:sz w:val="18"/>
                <w:szCs w:val="18"/>
                <w:lang w:val="en-GB"/>
              </w:rPr>
            </w:pPr>
          </w:p>
          <w:p w14:paraId="6599390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422EDAF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1A9288B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02930E80"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5EA0055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3BF8AC7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Actions 7.1.1-7.1.4</w:t>
            </w:r>
          </w:p>
          <w:p w14:paraId="4DFD89B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7.4.1</w:t>
            </w:r>
          </w:p>
        </w:tc>
      </w:tr>
      <w:tr w:rsidR="00C96521" w:rsidRPr="006437E1" w14:paraId="4FB42B65" w14:textId="77777777" w:rsidTr="00C96521">
        <w:tc>
          <w:tcPr>
            <w:tcW w:w="2291" w:type="dxa"/>
            <w:vMerge/>
          </w:tcPr>
          <w:p w14:paraId="043A13EB"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431AD30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7.4.3</w:t>
            </w:r>
          </w:p>
          <w:p w14:paraId="771F416E" w14:textId="46A2906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Conduct a Sahel-wide inventory of features that contribute to good quality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 xml:space="preserve">habitat, </w:t>
            </w:r>
            <w:r w:rsidRPr="006437E1">
              <w:rPr>
                <w:rFonts w:ascii="Arial" w:hAnsi="Arial" w:cs="Arial"/>
                <w:sz w:val="18"/>
                <w:szCs w:val="18"/>
                <w:lang w:val="en-GB"/>
              </w:rPr>
              <w:lastRenderedPageBreak/>
              <w:t>including roosting sites, wetlands and seasonally-flooded acacia stands.</w:t>
            </w:r>
          </w:p>
          <w:p w14:paraId="051E2382" w14:textId="77777777" w:rsidR="00C96521" w:rsidRPr="006437E1" w:rsidRDefault="00C96521" w:rsidP="00C96521">
            <w:pPr>
              <w:widowControl/>
              <w:autoSpaceDE/>
              <w:autoSpaceDN/>
              <w:adjustRightInd/>
              <w:rPr>
                <w:rFonts w:ascii="Arial" w:hAnsi="Arial" w:cs="Arial"/>
                <w:sz w:val="18"/>
                <w:szCs w:val="18"/>
                <w:lang w:val="en-GB"/>
              </w:rPr>
            </w:pPr>
          </w:p>
          <w:p w14:paraId="7044E02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 in sub-Saharan Africa.</w:t>
            </w:r>
          </w:p>
        </w:tc>
        <w:tc>
          <w:tcPr>
            <w:tcW w:w="1252" w:type="dxa"/>
          </w:tcPr>
          <w:p w14:paraId="1D5845A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238" w:type="dxa"/>
          </w:tcPr>
          <w:p w14:paraId="5E742F4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2A47291D"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0701015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lastRenderedPageBreak/>
              <w:t>ACADEMIC INSTITUTIONS</w:t>
            </w:r>
            <w:r w:rsidRPr="006437E1">
              <w:rPr>
                <w:rFonts w:ascii="Arial" w:hAnsi="Arial" w:cs="Arial"/>
                <w:sz w:val="18"/>
                <w:szCs w:val="18"/>
                <w:lang w:val="en-GB"/>
              </w:rPr>
              <w:t>, national hunting federations, national wildlife agencies.</w:t>
            </w:r>
          </w:p>
        </w:tc>
        <w:tc>
          <w:tcPr>
            <w:tcW w:w="2378" w:type="dxa"/>
          </w:tcPr>
          <w:p w14:paraId="4C9D759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Ramsar, CBD, UNCCD, CMS, EU Joint Research </w:t>
            </w:r>
            <w:r w:rsidRPr="006437E1">
              <w:rPr>
                <w:rFonts w:ascii="Arial" w:hAnsi="Arial" w:cs="Arial"/>
                <w:sz w:val="18"/>
                <w:szCs w:val="18"/>
                <w:lang w:val="en-GB"/>
              </w:rPr>
              <w:lastRenderedPageBreak/>
              <w:t>Centre for Remote Sensing.</w:t>
            </w:r>
          </w:p>
        </w:tc>
      </w:tr>
      <w:tr w:rsidR="00C96521" w:rsidRPr="006437E1" w14:paraId="098AA5F7" w14:textId="77777777" w:rsidTr="00C96521">
        <w:tc>
          <w:tcPr>
            <w:tcW w:w="2291" w:type="dxa"/>
          </w:tcPr>
          <w:p w14:paraId="4DF194DC" w14:textId="054A5A09"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7.5 Greater understanding of </w:t>
            </w:r>
            <w:r w:rsidR="005028F9" w:rsidRPr="006437E1">
              <w:rPr>
                <w:rFonts w:ascii="Arial" w:hAnsi="Arial" w:cs="Arial"/>
                <w:sz w:val="18"/>
                <w:szCs w:val="18"/>
                <w:lang w:val="en-GB"/>
              </w:rPr>
              <w:t>Turtle Dove</w:t>
            </w:r>
            <w:r w:rsidRPr="006437E1">
              <w:rPr>
                <w:rFonts w:ascii="Arial" w:hAnsi="Arial" w:cs="Arial"/>
                <w:sz w:val="18"/>
                <w:szCs w:val="18"/>
                <w:lang w:val="en-GB"/>
              </w:rPr>
              <w:t xml:space="preserve"> survival and breeding productivity by [</w:t>
            </w:r>
            <w:r w:rsidRPr="006437E1">
              <w:rPr>
                <w:rFonts w:ascii="Arial" w:hAnsi="Arial" w:cs="Arial"/>
                <w:i/>
                <w:sz w:val="18"/>
                <w:szCs w:val="18"/>
                <w:lang w:val="en-GB"/>
              </w:rPr>
              <w:t>2020</w:t>
            </w:r>
            <w:r w:rsidRPr="006437E1">
              <w:rPr>
                <w:rFonts w:ascii="Arial" w:hAnsi="Arial" w:cs="Arial"/>
                <w:sz w:val="18"/>
                <w:szCs w:val="18"/>
                <w:lang w:val="en-GB"/>
              </w:rPr>
              <w:t>].</w:t>
            </w:r>
          </w:p>
        </w:tc>
        <w:tc>
          <w:tcPr>
            <w:tcW w:w="4404" w:type="dxa"/>
          </w:tcPr>
          <w:p w14:paraId="47E8AD9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7.5.1</w:t>
            </w:r>
          </w:p>
          <w:p w14:paraId="44584263" w14:textId="709B487F"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Put in place long-term monitoring programmes on annual survival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capture-mark-recapture) and breeding productivity.</w:t>
            </w:r>
          </w:p>
          <w:p w14:paraId="08F7A337" w14:textId="77777777" w:rsidR="00C96521" w:rsidRPr="006437E1" w:rsidRDefault="00C96521" w:rsidP="00C96521">
            <w:pPr>
              <w:widowControl/>
              <w:autoSpaceDE/>
              <w:autoSpaceDN/>
              <w:adjustRightInd/>
              <w:rPr>
                <w:rFonts w:ascii="Arial" w:hAnsi="Arial" w:cs="Arial"/>
                <w:sz w:val="18"/>
                <w:szCs w:val="18"/>
                <w:lang w:val="en-GB"/>
              </w:rPr>
            </w:pPr>
          </w:p>
          <w:p w14:paraId="1F3D20E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07238F3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7A3AEAC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414DC968"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6034710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56E0CFA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Research papers; hunting bag samples.</w:t>
            </w:r>
          </w:p>
        </w:tc>
      </w:tr>
      <w:tr w:rsidR="00C96521" w:rsidRPr="006437E1" w14:paraId="79B64F96" w14:textId="77777777" w:rsidTr="00C96521">
        <w:tc>
          <w:tcPr>
            <w:tcW w:w="2291" w:type="dxa"/>
          </w:tcPr>
          <w:p w14:paraId="270DB0FA" w14:textId="09A49750"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7.6 Characterisation of ideal stop-over and wintering sites for </w:t>
            </w:r>
            <w:r w:rsidR="005028F9" w:rsidRPr="006437E1">
              <w:rPr>
                <w:rFonts w:ascii="Arial" w:hAnsi="Arial" w:cs="Arial"/>
                <w:sz w:val="18"/>
                <w:szCs w:val="18"/>
                <w:lang w:val="en-GB"/>
              </w:rPr>
              <w:t>Turtle Dove</w:t>
            </w:r>
            <w:r w:rsidRPr="006437E1">
              <w:rPr>
                <w:rFonts w:ascii="Arial" w:hAnsi="Arial" w:cs="Arial"/>
                <w:sz w:val="18"/>
                <w:szCs w:val="18"/>
                <w:lang w:val="en-GB"/>
              </w:rPr>
              <w:t xml:space="preserve">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534B1BC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7.6.1</w:t>
            </w:r>
          </w:p>
          <w:p w14:paraId="037624B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research to characterise key stop-over and wintering sites, and an assessment of remote sensing as a tool to predict further areas.</w:t>
            </w:r>
          </w:p>
          <w:p w14:paraId="666A945B" w14:textId="77777777" w:rsidR="00C96521" w:rsidRPr="006437E1" w:rsidRDefault="00C96521" w:rsidP="00C96521">
            <w:pPr>
              <w:widowControl/>
              <w:autoSpaceDE/>
              <w:autoSpaceDN/>
              <w:adjustRightInd/>
              <w:rPr>
                <w:rFonts w:ascii="Arial" w:hAnsi="Arial" w:cs="Arial"/>
                <w:sz w:val="18"/>
                <w:szCs w:val="18"/>
                <w:lang w:val="en-GB"/>
              </w:rPr>
            </w:pPr>
          </w:p>
          <w:p w14:paraId="21CA632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wintering Range States and those with key stop-over sites.</w:t>
            </w:r>
          </w:p>
        </w:tc>
        <w:tc>
          <w:tcPr>
            <w:tcW w:w="1252" w:type="dxa"/>
          </w:tcPr>
          <w:p w14:paraId="6C4A2E1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74D8577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2AA15CE8" w14:textId="77777777" w:rsidR="00C96521" w:rsidRPr="006437E1" w:rsidRDefault="00C96521" w:rsidP="00C96521">
            <w:pPr>
              <w:widowControl/>
              <w:autoSpaceDE/>
              <w:autoSpaceDN/>
              <w:adjustRightInd/>
              <w:rPr>
                <w:rFonts w:ascii="Arial" w:hAnsi="Arial" w:cs="Arial"/>
                <w:b/>
                <w:sz w:val="18"/>
                <w:szCs w:val="18"/>
                <w:lang w:val="en-GB"/>
              </w:rPr>
            </w:pPr>
            <w:r w:rsidRPr="006437E1">
              <w:rPr>
                <w:rFonts w:ascii="Arial" w:hAnsi="Arial" w:cs="Arial"/>
                <w:b/>
                <w:sz w:val="18"/>
                <w:szCs w:val="18"/>
                <w:lang w:val="en-GB"/>
              </w:rPr>
              <w:t xml:space="preserve">CONSERVATION NGOs, </w:t>
            </w:r>
          </w:p>
          <w:p w14:paraId="0B760BE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national hunting federations, national wildlife agencies.</w:t>
            </w:r>
          </w:p>
        </w:tc>
        <w:tc>
          <w:tcPr>
            <w:tcW w:w="2378" w:type="dxa"/>
          </w:tcPr>
          <w:p w14:paraId="4AB415D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Actions 7.1.1-7.1.3</w:t>
            </w:r>
          </w:p>
        </w:tc>
      </w:tr>
      <w:tr w:rsidR="00C96521" w:rsidRPr="006437E1" w14:paraId="66275FF3" w14:textId="77777777" w:rsidTr="00C96521">
        <w:tc>
          <w:tcPr>
            <w:tcW w:w="2291" w:type="dxa"/>
          </w:tcPr>
          <w:p w14:paraId="62182B1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7.7 Understanding of the country of origin of hunted birds [</w:t>
            </w:r>
            <w:r w:rsidRPr="006437E1">
              <w:rPr>
                <w:rFonts w:ascii="Arial" w:hAnsi="Arial" w:cs="Arial"/>
                <w:i/>
                <w:sz w:val="18"/>
                <w:szCs w:val="18"/>
                <w:lang w:val="en-GB"/>
              </w:rPr>
              <w:t>2020</w:t>
            </w:r>
            <w:r w:rsidRPr="006437E1">
              <w:rPr>
                <w:rFonts w:ascii="Arial" w:hAnsi="Arial" w:cs="Arial"/>
                <w:sz w:val="18"/>
                <w:szCs w:val="18"/>
                <w:lang w:val="en-GB"/>
              </w:rPr>
              <w:t>].</w:t>
            </w:r>
          </w:p>
        </w:tc>
        <w:tc>
          <w:tcPr>
            <w:tcW w:w="4404" w:type="dxa"/>
          </w:tcPr>
          <w:p w14:paraId="54393BD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7.7.1</w:t>
            </w:r>
          </w:p>
          <w:p w14:paraId="32BA5D7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Analyse new tracking and isotopic data to determine the origins of birds killed in each country.</w:t>
            </w:r>
          </w:p>
          <w:p w14:paraId="32A038FB" w14:textId="77777777" w:rsidR="00C96521" w:rsidRPr="006437E1" w:rsidRDefault="00C96521" w:rsidP="00C96521">
            <w:pPr>
              <w:widowControl/>
              <w:autoSpaceDE/>
              <w:autoSpaceDN/>
              <w:adjustRightInd/>
              <w:rPr>
                <w:rFonts w:ascii="Arial" w:hAnsi="Arial" w:cs="Arial"/>
                <w:sz w:val="18"/>
                <w:szCs w:val="18"/>
                <w:lang w:val="en-GB"/>
              </w:rPr>
            </w:pPr>
          </w:p>
          <w:p w14:paraId="47B6C91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Application: all Range States.</w:t>
            </w:r>
          </w:p>
        </w:tc>
        <w:tc>
          <w:tcPr>
            <w:tcW w:w="1252" w:type="dxa"/>
          </w:tcPr>
          <w:p w14:paraId="4A4DD51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26F3D93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73E136B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xml:space="preserve">, </w:t>
            </w:r>
            <w:r w:rsidRPr="006437E1">
              <w:rPr>
                <w:rFonts w:ascii="Arial" w:hAnsi="Arial" w:cs="Arial"/>
                <w:b/>
                <w:sz w:val="18"/>
                <w:szCs w:val="18"/>
                <w:lang w:val="en-GB"/>
              </w:rPr>
              <w:t>ACADEMIC INSTITUTIONS</w:t>
            </w:r>
            <w:r w:rsidRPr="006437E1">
              <w:rPr>
                <w:rFonts w:ascii="Arial" w:hAnsi="Arial" w:cs="Arial"/>
                <w:sz w:val="18"/>
                <w:szCs w:val="18"/>
                <w:lang w:val="en-GB"/>
              </w:rPr>
              <w:t>, FACE, national hunting federations.</w:t>
            </w:r>
          </w:p>
        </w:tc>
        <w:tc>
          <w:tcPr>
            <w:tcW w:w="2378" w:type="dxa"/>
          </w:tcPr>
          <w:p w14:paraId="21FC467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Actions 7.1.1-7.1.4</w:t>
            </w:r>
          </w:p>
        </w:tc>
      </w:tr>
      <w:tr w:rsidR="00C96521" w:rsidRPr="006437E1" w14:paraId="21CF08D6" w14:textId="77777777" w:rsidTr="00C96521">
        <w:tc>
          <w:tcPr>
            <w:tcW w:w="2291" w:type="dxa"/>
          </w:tcPr>
          <w:p w14:paraId="0F98D3A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7.8 More robust figures for hunting tourism by [</w:t>
            </w:r>
            <w:r w:rsidRPr="006437E1">
              <w:rPr>
                <w:rFonts w:ascii="Arial" w:hAnsi="Arial" w:cs="Arial"/>
                <w:i/>
                <w:sz w:val="18"/>
                <w:szCs w:val="18"/>
                <w:lang w:val="en-GB"/>
              </w:rPr>
              <w:t>2020</w:t>
            </w:r>
            <w:r w:rsidRPr="006437E1">
              <w:rPr>
                <w:rFonts w:ascii="Arial" w:hAnsi="Arial" w:cs="Arial"/>
                <w:sz w:val="18"/>
                <w:szCs w:val="18"/>
                <w:lang w:val="en-GB"/>
              </w:rPr>
              <w:t>].</w:t>
            </w:r>
          </w:p>
        </w:tc>
        <w:tc>
          <w:tcPr>
            <w:tcW w:w="4404" w:type="dxa"/>
          </w:tcPr>
          <w:p w14:paraId="74FBA5F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7.8.1</w:t>
            </w:r>
          </w:p>
          <w:p w14:paraId="751B1D2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Collect and analyse data on hunting tourism to develop more accurate estimates of yearly take.</w:t>
            </w:r>
          </w:p>
          <w:p w14:paraId="2C3AE10D" w14:textId="77777777" w:rsidR="00C96521" w:rsidRPr="006437E1" w:rsidRDefault="00C96521" w:rsidP="00C96521">
            <w:pPr>
              <w:widowControl/>
              <w:autoSpaceDE/>
              <w:autoSpaceDN/>
              <w:adjustRightInd/>
              <w:rPr>
                <w:rFonts w:ascii="Arial" w:hAnsi="Arial" w:cs="Arial"/>
                <w:sz w:val="18"/>
                <w:szCs w:val="18"/>
                <w:lang w:val="en-GB"/>
              </w:rPr>
            </w:pPr>
          </w:p>
          <w:p w14:paraId="69D86EE3" w14:textId="77777777" w:rsidR="00C96521" w:rsidRPr="006437E1" w:rsidRDefault="00C96521" w:rsidP="00C96521">
            <w:pPr>
              <w:widowControl/>
              <w:autoSpaceDE/>
              <w:autoSpaceDN/>
              <w:adjustRightInd/>
              <w:rPr>
                <w:rFonts w:ascii="Arial" w:hAnsi="Arial" w:cs="Arial"/>
                <w:sz w:val="18"/>
                <w:szCs w:val="18"/>
                <w:lang w:val="en-GB"/>
              </w:rPr>
            </w:pPr>
          </w:p>
          <w:p w14:paraId="2F22D907" w14:textId="77777777" w:rsidR="00C96521" w:rsidRPr="006437E1" w:rsidRDefault="00C96521" w:rsidP="00C96521">
            <w:pPr>
              <w:widowControl/>
              <w:autoSpaceDE/>
              <w:autoSpaceDN/>
              <w:adjustRightInd/>
              <w:rPr>
                <w:rFonts w:ascii="Arial" w:hAnsi="Arial" w:cs="Arial"/>
                <w:sz w:val="18"/>
                <w:szCs w:val="18"/>
                <w:lang w:val="en-GB"/>
              </w:rPr>
            </w:pPr>
          </w:p>
          <w:p w14:paraId="66EC9DDC" w14:textId="77777777" w:rsidR="00C96521" w:rsidRPr="006437E1" w:rsidRDefault="00C96521" w:rsidP="00C96521">
            <w:pPr>
              <w:widowControl/>
              <w:autoSpaceDE/>
              <w:autoSpaceDN/>
              <w:adjustRightInd/>
              <w:rPr>
                <w:rFonts w:ascii="Arial" w:hAnsi="Arial" w:cs="Arial"/>
                <w:sz w:val="18"/>
                <w:szCs w:val="18"/>
                <w:lang w:val="en-GB"/>
              </w:rPr>
            </w:pPr>
          </w:p>
          <w:p w14:paraId="1E70E33B" w14:textId="77777777" w:rsidR="00C96521" w:rsidRPr="006437E1" w:rsidRDefault="00C96521" w:rsidP="00C96521">
            <w:pPr>
              <w:widowControl/>
              <w:autoSpaceDE/>
              <w:autoSpaceDN/>
              <w:adjustRightInd/>
              <w:rPr>
                <w:rFonts w:ascii="Arial" w:hAnsi="Arial" w:cs="Arial"/>
                <w:sz w:val="18"/>
                <w:szCs w:val="18"/>
                <w:lang w:val="en-GB"/>
              </w:rPr>
            </w:pPr>
          </w:p>
          <w:p w14:paraId="6BCA0DE5" w14:textId="77777777" w:rsidR="00C96521" w:rsidRPr="006437E1" w:rsidRDefault="00C96521" w:rsidP="00C96521">
            <w:pPr>
              <w:widowControl/>
              <w:autoSpaceDE/>
              <w:autoSpaceDN/>
              <w:adjustRightInd/>
              <w:rPr>
                <w:rFonts w:ascii="Arial" w:hAnsi="Arial" w:cs="Arial"/>
                <w:sz w:val="18"/>
                <w:szCs w:val="18"/>
                <w:lang w:val="en-GB"/>
              </w:rPr>
            </w:pPr>
          </w:p>
          <w:p w14:paraId="418404A0" w14:textId="77777777" w:rsidR="00C96521" w:rsidRPr="006437E1" w:rsidRDefault="00C96521" w:rsidP="00C96521">
            <w:pPr>
              <w:widowControl/>
              <w:autoSpaceDE/>
              <w:autoSpaceDN/>
              <w:adjustRightInd/>
              <w:rPr>
                <w:rFonts w:ascii="Arial" w:hAnsi="Arial" w:cs="Arial"/>
                <w:sz w:val="18"/>
                <w:szCs w:val="18"/>
                <w:lang w:val="en-GB"/>
              </w:rPr>
            </w:pPr>
          </w:p>
          <w:p w14:paraId="00B2407A" w14:textId="77777777" w:rsidR="00C96521" w:rsidRPr="006437E1" w:rsidRDefault="00C96521" w:rsidP="00C96521">
            <w:pPr>
              <w:widowControl/>
              <w:autoSpaceDE/>
              <w:autoSpaceDN/>
              <w:adjustRightInd/>
              <w:rPr>
                <w:rFonts w:ascii="Arial" w:hAnsi="Arial" w:cs="Arial"/>
                <w:sz w:val="18"/>
                <w:szCs w:val="18"/>
                <w:lang w:val="en-GB"/>
              </w:rPr>
            </w:pPr>
          </w:p>
          <w:p w14:paraId="51602D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71B80BB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3CA7529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7A191BB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xml:space="preserve">, </w:t>
            </w:r>
            <w:r w:rsidRPr="006437E1">
              <w:rPr>
                <w:rFonts w:ascii="Arial" w:hAnsi="Arial" w:cs="Arial"/>
                <w:b/>
                <w:sz w:val="18"/>
                <w:szCs w:val="18"/>
                <w:lang w:val="en-GB"/>
              </w:rPr>
              <w:t>ACADEMIC INSTITUTIONS</w:t>
            </w:r>
            <w:r w:rsidRPr="006437E1">
              <w:rPr>
                <w:rFonts w:ascii="Arial" w:hAnsi="Arial" w:cs="Arial"/>
                <w:sz w:val="18"/>
                <w:szCs w:val="18"/>
                <w:lang w:val="en-GB"/>
              </w:rPr>
              <w:t>, FACE, national hunting federations.</w:t>
            </w:r>
          </w:p>
        </w:tc>
        <w:tc>
          <w:tcPr>
            <w:tcW w:w="2378" w:type="dxa"/>
          </w:tcPr>
          <w:p w14:paraId="3049FF2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National reports to the Berne Convention, EU Road-Map, CMS MIKT, IMPEL, National Action Plans, Nature Directives Fitness Check Guide; EU Sustainable Hunting Guide, existing tagging projects and research, reports and data from NGOs and national authorities.</w:t>
            </w:r>
          </w:p>
        </w:tc>
      </w:tr>
      <w:tr w:rsidR="00C96521" w:rsidRPr="006437E1" w14:paraId="3586FBFA" w14:textId="77777777" w:rsidTr="00C96521">
        <w:tc>
          <w:tcPr>
            <w:tcW w:w="2291" w:type="dxa"/>
            <w:vMerge w:val="restart"/>
          </w:tcPr>
          <w:p w14:paraId="1E92C90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7.9 More robust figures for illegal killing by [</w:t>
            </w:r>
            <w:r w:rsidRPr="006437E1">
              <w:rPr>
                <w:rFonts w:ascii="Arial" w:hAnsi="Arial" w:cs="Arial"/>
                <w:i/>
                <w:sz w:val="18"/>
                <w:szCs w:val="18"/>
                <w:lang w:val="en-GB"/>
              </w:rPr>
              <w:t>2020</w:t>
            </w:r>
            <w:r w:rsidRPr="006437E1">
              <w:rPr>
                <w:rFonts w:ascii="Arial" w:hAnsi="Arial" w:cs="Arial"/>
                <w:sz w:val="18"/>
                <w:szCs w:val="18"/>
                <w:lang w:val="en-GB"/>
              </w:rPr>
              <w:t>].</w:t>
            </w:r>
          </w:p>
        </w:tc>
        <w:tc>
          <w:tcPr>
            <w:tcW w:w="4404" w:type="dxa"/>
          </w:tcPr>
          <w:p w14:paraId="00367F0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7.9.1</w:t>
            </w:r>
          </w:p>
          <w:p w14:paraId="45B45B47" w14:textId="2B3A9878"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Collect and analyse data on illegal killing of </w:t>
            </w:r>
            <w:r w:rsidR="005028F9" w:rsidRPr="006437E1">
              <w:rPr>
                <w:rFonts w:ascii="Arial" w:hAnsi="Arial" w:cs="Arial"/>
                <w:sz w:val="18"/>
                <w:szCs w:val="18"/>
                <w:lang w:val="en-GB"/>
              </w:rPr>
              <w:t>Turtle Dove</w:t>
            </w:r>
            <w:r w:rsidRPr="006437E1">
              <w:rPr>
                <w:rFonts w:ascii="Arial" w:hAnsi="Arial" w:cs="Arial"/>
                <w:sz w:val="18"/>
                <w:szCs w:val="18"/>
                <w:lang w:val="en-GB"/>
              </w:rPr>
              <w:t xml:space="preserve"> to develop more accurate estimates of yearly take.</w:t>
            </w:r>
          </w:p>
          <w:p w14:paraId="331E98EC" w14:textId="77777777" w:rsidR="00C96521" w:rsidRPr="006437E1" w:rsidRDefault="00C96521" w:rsidP="00C96521">
            <w:pPr>
              <w:widowControl/>
              <w:autoSpaceDE/>
              <w:autoSpaceDN/>
              <w:adjustRightInd/>
              <w:rPr>
                <w:rFonts w:ascii="Arial" w:hAnsi="Arial" w:cs="Arial"/>
                <w:sz w:val="18"/>
                <w:szCs w:val="18"/>
                <w:lang w:val="en-GB"/>
              </w:rPr>
            </w:pPr>
          </w:p>
          <w:p w14:paraId="37DD6DB3" w14:textId="77777777" w:rsidR="00C96521" w:rsidRPr="006437E1" w:rsidRDefault="00C96521" w:rsidP="00C96521">
            <w:pPr>
              <w:widowControl/>
              <w:autoSpaceDE/>
              <w:autoSpaceDN/>
              <w:adjustRightInd/>
              <w:rPr>
                <w:rFonts w:ascii="Arial" w:hAnsi="Arial" w:cs="Arial"/>
                <w:sz w:val="18"/>
                <w:szCs w:val="18"/>
                <w:lang w:val="en-GB"/>
              </w:rPr>
            </w:pPr>
          </w:p>
          <w:p w14:paraId="44C64F4F" w14:textId="77777777" w:rsidR="00C96521" w:rsidRPr="006437E1" w:rsidRDefault="00C96521" w:rsidP="00C96521">
            <w:pPr>
              <w:widowControl/>
              <w:autoSpaceDE/>
              <w:autoSpaceDN/>
              <w:adjustRightInd/>
              <w:rPr>
                <w:rFonts w:ascii="Arial" w:hAnsi="Arial" w:cs="Arial"/>
                <w:sz w:val="18"/>
                <w:szCs w:val="18"/>
                <w:lang w:val="en-GB"/>
              </w:rPr>
            </w:pPr>
          </w:p>
          <w:p w14:paraId="06DD5707" w14:textId="77777777" w:rsidR="00C96521" w:rsidRPr="006437E1" w:rsidRDefault="00C96521" w:rsidP="00C96521">
            <w:pPr>
              <w:widowControl/>
              <w:autoSpaceDE/>
              <w:autoSpaceDN/>
              <w:adjustRightInd/>
              <w:rPr>
                <w:rFonts w:ascii="Arial" w:hAnsi="Arial" w:cs="Arial"/>
                <w:sz w:val="18"/>
                <w:szCs w:val="18"/>
                <w:lang w:val="en-GB"/>
              </w:rPr>
            </w:pPr>
          </w:p>
          <w:p w14:paraId="74606C66" w14:textId="77777777" w:rsidR="00C96521" w:rsidRPr="006437E1" w:rsidRDefault="00C96521" w:rsidP="00C96521">
            <w:pPr>
              <w:widowControl/>
              <w:autoSpaceDE/>
              <w:autoSpaceDN/>
              <w:adjustRightInd/>
              <w:rPr>
                <w:rFonts w:ascii="Arial" w:hAnsi="Arial" w:cs="Arial"/>
                <w:sz w:val="18"/>
                <w:szCs w:val="18"/>
                <w:lang w:val="en-GB"/>
              </w:rPr>
            </w:pPr>
          </w:p>
          <w:p w14:paraId="322B827C" w14:textId="77777777" w:rsidR="00C96521" w:rsidRPr="006437E1" w:rsidRDefault="00C96521" w:rsidP="00C96521">
            <w:pPr>
              <w:widowControl/>
              <w:autoSpaceDE/>
              <w:autoSpaceDN/>
              <w:adjustRightInd/>
              <w:rPr>
                <w:rFonts w:ascii="Arial" w:hAnsi="Arial" w:cs="Arial"/>
                <w:sz w:val="18"/>
                <w:szCs w:val="18"/>
                <w:lang w:val="en-GB"/>
              </w:rPr>
            </w:pPr>
          </w:p>
          <w:p w14:paraId="4A39AB95" w14:textId="77777777" w:rsidR="00C96521" w:rsidRPr="006437E1" w:rsidRDefault="00C96521" w:rsidP="00C96521">
            <w:pPr>
              <w:widowControl/>
              <w:autoSpaceDE/>
              <w:autoSpaceDN/>
              <w:adjustRightInd/>
              <w:rPr>
                <w:rFonts w:ascii="Arial" w:hAnsi="Arial" w:cs="Arial"/>
                <w:sz w:val="18"/>
                <w:szCs w:val="18"/>
                <w:lang w:val="en-GB"/>
              </w:rPr>
            </w:pPr>
          </w:p>
          <w:p w14:paraId="2178597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210DA22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High</w:t>
            </w:r>
          </w:p>
        </w:tc>
        <w:tc>
          <w:tcPr>
            <w:tcW w:w="1238" w:type="dxa"/>
          </w:tcPr>
          <w:p w14:paraId="231327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Short</w:t>
            </w:r>
          </w:p>
        </w:tc>
        <w:tc>
          <w:tcPr>
            <w:tcW w:w="2612" w:type="dxa"/>
          </w:tcPr>
          <w:p w14:paraId="30D8CE4F"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NATIONAL GOVERNMENTS</w:t>
            </w:r>
            <w:r w:rsidRPr="006437E1">
              <w:rPr>
                <w:rFonts w:ascii="Arial" w:hAnsi="Arial" w:cs="Arial"/>
                <w:sz w:val="18"/>
                <w:szCs w:val="18"/>
                <w:lang w:val="en-GB"/>
              </w:rPr>
              <w:t xml:space="preserve">, </w:t>
            </w:r>
            <w:r w:rsidRPr="006437E1">
              <w:rPr>
                <w:rFonts w:ascii="Arial" w:hAnsi="Arial" w:cs="Arial"/>
                <w:b/>
                <w:sz w:val="18"/>
                <w:szCs w:val="18"/>
                <w:lang w:val="en-GB"/>
              </w:rPr>
              <w:t>ACADEMIC INSTITUTIONS</w:t>
            </w:r>
            <w:r w:rsidRPr="006437E1">
              <w:rPr>
                <w:rFonts w:ascii="Arial" w:hAnsi="Arial" w:cs="Arial"/>
                <w:sz w:val="18"/>
                <w:szCs w:val="18"/>
                <w:lang w:val="en-GB"/>
              </w:rPr>
              <w:t>, FACE, national hunting federations.</w:t>
            </w:r>
          </w:p>
        </w:tc>
        <w:tc>
          <w:tcPr>
            <w:tcW w:w="2378" w:type="dxa"/>
          </w:tcPr>
          <w:p w14:paraId="086F6BC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National reports to the Berne Convention, EU Road-Map, CMS MIKT, IMPEL, National Action Plans, Nature Directives Fitness Check Guide; EU Sustainable Hunting </w:t>
            </w:r>
            <w:r w:rsidRPr="006437E1">
              <w:rPr>
                <w:rFonts w:ascii="Arial" w:hAnsi="Arial" w:cs="Arial"/>
                <w:sz w:val="18"/>
                <w:szCs w:val="18"/>
                <w:lang w:val="en-GB"/>
              </w:rPr>
              <w:lastRenderedPageBreak/>
              <w:t>Guide, existing tagging projects and research, reports and data from NGOs and national authorities.</w:t>
            </w:r>
          </w:p>
        </w:tc>
      </w:tr>
      <w:tr w:rsidR="00C96521" w:rsidRPr="006437E1" w14:paraId="0D253D09" w14:textId="77777777" w:rsidTr="00C96521">
        <w:tc>
          <w:tcPr>
            <w:tcW w:w="2291" w:type="dxa"/>
            <w:vMerge/>
          </w:tcPr>
          <w:p w14:paraId="167D6643"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63C8D3E8"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7.9.2</w:t>
            </w:r>
          </w:p>
          <w:p w14:paraId="2A7654A2" w14:textId="66B9EF9F"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Undertake a socio-economic study on the reasons that people illegally kill and the role of the turtle-dove in their lives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their personal economy).</w:t>
            </w:r>
          </w:p>
          <w:p w14:paraId="18998D2A" w14:textId="77777777" w:rsidR="00C96521" w:rsidRPr="006437E1" w:rsidRDefault="00C96521" w:rsidP="00C96521">
            <w:pPr>
              <w:widowControl/>
              <w:autoSpaceDE/>
              <w:autoSpaceDN/>
              <w:adjustRightInd/>
              <w:rPr>
                <w:rFonts w:ascii="Arial" w:hAnsi="Arial" w:cs="Arial"/>
                <w:sz w:val="18"/>
                <w:szCs w:val="18"/>
                <w:lang w:val="en-GB"/>
              </w:rPr>
            </w:pPr>
          </w:p>
          <w:p w14:paraId="55C9549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27BEA72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High</w:t>
            </w:r>
          </w:p>
        </w:tc>
        <w:tc>
          <w:tcPr>
            <w:tcW w:w="1238" w:type="dxa"/>
          </w:tcPr>
          <w:p w14:paraId="58205B6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6C5ED0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FACE, national hunting federations, national wildlife agencies.</w:t>
            </w:r>
          </w:p>
        </w:tc>
        <w:tc>
          <w:tcPr>
            <w:tcW w:w="2378" w:type="dxa"/>
          </w:tcPr>
          <w:p w14:paraId="0C6B584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literature on subsistence hunting, illegal killing.</w:t>
            </w:r>
          </w:p>
        </w:tc>
      </w:tr>
      <w:tr w:rsidR="00C96521" w:rsidRPr="006437E1" w14:paraId="5F72ADF8" w14:textId="77777777" w:rsidTr="00C96521">
        <w:tc>
          <w:tcPr>
            <w:tcW w:w="2291" w:type="dxa"/>
          </w:tcPr>
          <w:p w14:paraId="68A33512" w14:textId="0955BD69"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7.10 Understanding of the role of disease/parasites in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mortality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5837D33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7.10.1</w:t>
            </w:r>
          </w:p>
          <w:p w14:paraId="70AF09D2" w14:textId="740ADFE6"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Undertake research on the effects of disease (in particular </w:t>
            </w:r>
            <w:r w:rsidRPr="006437E1">
              <w:rPr>
                <w:rFonts w:ascii="Arial" w:hAnsi="Arial" w:cs="Arial"/>
                <w:i/>
                <w:sz w:val="18"/>
                <w:szCs w:val="18"/>
                <w:lang w:val="en-GB"/>
              </w:rPr>
              <w:t>Trichomonas gallinae</w:t>
            </w:r>
            <w:r w:rsidRPr="006437E1">
              <w:rPr>
                <w:rFonts w:ascii="Arial" w:hAnsi="Arial" w:cs="Arial"/>
                <w:sz w:val="18"/>
                <w:szCs w:val="18"/>
                <w:lang w:val="en-GB"/>
              </w:rPr>
              <w:t xml:space="preserve">) and parasites on the mortality and fitness of </w:t>
            </w:r>
            <w:r w:rsidR="005028F9" w:rsidRPr="006437E1">
              <w:rPr>
                <w:rFonts w:ascii="Arial" w:hAnsi="Arial" w:cs="Arial"/>
                <w:sz w:val="18"/>
                <w:szCs w:val="18"/>
                <w:lang w:val="en-GB"/>
              </w:rPr>
              <w:t>Turtle Doves</w:t>
            </w:r>
            <w:r w:rsidRPr="006437E1">
              <w:rPr>
                <w:rFonts w:ascii="Arial" w:hAnsi="Arial" w:cs="Arial"/>
                <w:sz w:val="18"/>
                <w:szCs w:val="18"/>
                <w:lang w:val="en-GB"/>
              </w:rPr>
              <w:t>, and whether or not there is a population-level effect.</w:t>
            </w:r>
          </w:p>
          <w:p w14:paraId="0618AE82" w14:textId="77777777" w:rsidR="00C96521" w:rsidRPr="006437E1" w:rsidRDefault="00C96521" w:rsidP="00C96521">
            <w:pPr>
              <w:widowControl/>
              <w:autoSpaceDE/>
              <w:autoSpaceDN/>
              <w:adjustRightInd/>
              <w:rPr>
                <w:rFonts w:ascii="Arial" w:hAnsi="Arial" w:cs="Arial"/>
                <w:sz w:val="18"/>
                <w:szCs w:val="18"/>
                <w:lang w:val="en-GB"/>
              </w:rPr>
            </w:pPr>
          </w:p>
          <w:p w14:paraId="7BEB766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132980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3A35208D"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232E82B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hunting federations, national wildlife agencies.</w:t>
            </w:r>
          </w:p>
        </w:tc>
        <w:tc>
          <w:tcPr>
            <w:tcW w:w="2378" w:type="dxa"/>
          </w:tcPr>
          <w:p w14:paraId="4A595084"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Rapid sampling by hunters; existing studies on disease and parasitology.</w:t>
            </w:r>
          </w:p>
        </w:tc>
      </w:tr>
      <w:tr w:rsidR="00C96521" w:rsidRPr="006437E1" w14:paraId="6EC247E2" w14:textId="77777777" w:rsidTr="00C96521">
        <w:tc>
          <w:tcPr>
            <w:tcW w:w="2291" w:type="dxa"/>
            <w:vMerge w:val="restart"/>
          </w:tcPr>
          <w:p w14:paraId="4D88F103" w14:textId="2D688D78"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7.11 Understanding of the role of poisoning in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mortality or productivity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1992EBD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7.11.1</w:t>
            </w:r>
          </w:p>
          <w:p w14:paraId="346E523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Research the effects of pesticide/herbicide ingestion on mortality, fertility, and immune response.</w:t>
            </w:r>
          </w:p>
          <w:p w14:paraId="07553A9D" w14:textId="77777777" w:rsidR="00C96521" w:rsidRPr="006437E1" w:rsidRDefault="00C96521" w:rsidP="00C96521">
            <w:pPr>
              <w:widowControl/>
              <w:autoSpaceDE/>
              <w:autoSpaceDN/>
              <w:adjustRightInd/>
              <w:rPr>
                <w:rFonts w:ascii="Arial" w:hAnsi="Arial" w:cs="Arial"/>
                <w:sz w:val="18"/>
                <w:szCs w:val="18"/>
                <w:lang w:val="en-GB"/>
              </w:rPr>
            </w:pPr>
          </w:p>
          <w:p w14:paraId="6BB64DB5" w14:textId="77777777" w:rsidR="00C96521" w:rsidRPr="006437E1" w:rsidRDefault="00C96521" w:rsidP="00C96521">
            <w:pPr>
              <w:widowControl/>
              <w:autoSpaceDE/>
              <w:autoSpaceDN/>
              <w:adjustRightInd/>
              <w:rPr>
                <w:rFonts w:ascii="Arial" w:hAnsi="Arial" w:cs="Arial"/>
                <w:sz w:val="18"/>
                <w:szCs w:val="18"/>
                <w:lang w:val="en-GB"/>
              </w:rPr>
            </w:pPr>
          </w:p>
          <w:p w14:paraId="4BD00D31" w14:textId="77777777" w:rsidR="00C96521" w:rsidRPr="006437E1" w:rsidRDefault="00C96521" w:rsidP="00C96521">
            <w:pPr>
              <w:widowControl/>
              <w:autoSpaceDE/>
              <w:autoSpaceDN/>
              <w:adjustRightInd/>
              <w:rPr>
                <w:rFonts w:ascii="Arial" w:hAnsi="Arial" w:cs="Arial"/>
                <w:sz w:val="18"/>
                <w:szCs w:val="18"/>
                <w:lang w:val="en-GB"/>
              </w:rPr>
            </w:pPr>
          </w:p>
          <w:p w14:paraId="0796F522" w14:textId="77777777" w:rsidR="00C96521" w:rsidRPr="006437E1" w:rsidRDefault="00C96521" w:rsidP="00C96521">
            <w:pPr>
              <w:widowControl/>
              <w:autoSpaceDE/>
              <w:autoSpaceDN/>
              <w:adjustRightInd/>
              <w:rPr>
                <w:rFonts w:ascii="Arial" w:hAnsi="Arial" w:cs="Arial"/>
                <w:sz w:val="18"/>
                <w:szCs w:val="18"/>
                <w:lang w:val="en-GB"/>
              </w:rPr>
            </w:pPr>
          </w:p>
          <w:p w14:paraId="4546D52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496BC45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4657CD3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2612" w:type="dxa"/>
          </w:tcPr>
          <w:p w14:paraId="3167A24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wildlife agencies.</w:t>
            </w:r>
          </w:p>
        </w:tc>
        <w:tc>
          <w:tcPr>
            <w:tcW w:w="2378" w:type="dxa"/>
          </w:tcPr>
          <w:p w14:paraId="6FC835B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Rapid sampling by hunters; existing studies on the effects of poisons, including lead; CMS Action Plan on Poisoning; ENEC (European Network against Environmental Crime)</w:t>
            </w:r>
          </w:p>
        </w:tc>
      </w:tr>
      <w:tr w:rsidR="00C96521" w:rsidRPr="006437E1" w14:paraId="39DADD87" w14:textId="77777777" w:rsidTr="00C96521">
        <w:tc>
          <w:tcPr>
            <w:tcW w:w="2291" w:type="dxa"/>
            <w:vMerge/>
          </w:tcPr>
          <w:p w14:paraId="2E4C9A2B" w14:textId="77777777" w:rsidR="00C96521" w:rsidRPr="006437E1" w:rsidRDefault="00C96521" w:rsidP="00C96521">
            <w:pPr>
              <w:widowControl/>
              <w:autoSpaceDE/>
              <w:autoSpaceDN/>
              <w:adjustRightInd/>
              <w:rPr>
                <w:rFonts w:ascii="Arial" w:hAnsi="Arial" w:cs="Arial"/>
                <w:sz w:val="18"/>
                <w:szCs w:val="18"/>
                <w:lang w:val="en-GB"/>
              </w:rPr>
            </w:pPr>
          </w:p>
        </w:tc>
        <w:tc>
          <w:tcPr>
            <w:tcW w:w="4404" w:type="dxa"/>
          </w:tcPr>
          <w:p w14:paraId="4BC34135"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7.11.2</w:t>
            </w:r>
          </w:p>
          <w:p w14:paraId="1CA96313"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Survey the use of pesticides and herbicides in key wintering and stop-over locations.</w:t>
            </w:r>
          </w:p>
          <w:p w14:paraId="294A9B0F" w14:textId="77777777" w:rsidR="00C96521" w:rsidRPr="006437E1" w:rsidRDefault="00C96521" w:rsidP="00C96521">
            <w:pPr>
              <w:widowControl/>
              <w:autoSpaceDE/>
              <w:autoSpaceDN/>
              <w:adjustRightInd/>
              <w:rPr>
                <w:rFonts w:ascii="Arial" w:hAnsi="Arial" w:cs="Arial"/>
                <w:sz w:val="18"/>
                <w:szCs w:val="18"/>
                <w:lang w:val="en-GB"/>
              </w:rPr>
            </w:pPr>
          </w:p>
          <w:p w14:paraId="2E2B490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mainly North and West Africa, and in particular quelea and locust control in the Sahel; key European stop-over areas.</w:t>
            </w:r>
          </w:p>
        </w:tc>
        <w:tc>
          <w:tcPr>
            <w:tcW w:w="1252" w:type="dxa"/>
          </w:tcPr>
          <w:p w14:paraId="4D9E067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Medium</w:t>
            </w:r>
          </w:p>
        </w:tc>
        <w:tc>
          <w:tcPr>
            <w:tcW w:w="1238" w:type="dxa"/>
          </w:tcPr>
          <w:p w14:paraId="426B949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12" w:type="dxa"/>
          </w:tcPr>
          <w:p w14:paraId="342F707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wildlife agencies.</w:t>
            </w:r>
          </w:p>
        </w:tc>
        <w:tc>
          <w:tcPr>
            <w:tcW w:w="2378" w:type="dxa"/>
          </w:tcPr>
          <w:p w14:paraId="1AFB683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CMS Guidelines on Poisoning; national databases; national and local government.</w:t>
            </w:r>
          </w:p>
        </w:tc>
      </w:tr>
      <w:tr w:rsidR="00C96521" w:rsidRPr="006437E1" w14:paraId="6997FCF7" w14:textId="77777777" w:rsidTr="00C96521">
        <w:tc>
          <w:tcPr>
            <w:tcW w:w="2291" w:type="dxa"/>
          </w:tcPr>
          <w:p w14:paraId="1C715711" w14:textId="2F1B5D4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7.12 Understanding of the role of collisions in </w:t>
            </w:r>
            <w:r w:rsidR="005028F9" w:rsidRPr="006437E1">
              <w:rPr>
                <w:rFonts w:ascii="Arial" w:hAnsi="Arial" w:cs="Arial"/>
                <w:sz w:val="18"/>
                <w:szCs w:val="18"/>
                <w:lang w:val="en-GB"/>
              </w:rPr>
              <w:t>Turtle Dove</w:t>
            </w:r>
            <w:r w:rsidRPr="006437E1">
              <w:rPr>
                <w:rFonts w:ascii="Arial" w:hAnsi="Arial" w:cs="Arial"/>
                <w:sz w:val="18"/>
                <w:szCs w:val="18"/>
                <w:lang w:val="en-GB"/>
              </w:rPr>
              <w:t xml:space="preserve"> mortality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4325E48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7.12.1</w:t>
            </w:r>
          </w:p>
          <w:p w14:paraId="1FBD7945" w14:textId="029869DB"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Carry out a literature search to determine if there is any evidence that collisions with wind and electrical infrastructure could have a significant impact on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numbers.</w:t>
            </w:r>
          </w:p>
          <w:p w14:paraId="42E21E90" w14:textId="77777777" w:rsidR="00C96521" w:rsidRPr="006437E1" w:rsidRDefault="00C96521" w:rsidP="00C96521">
            <w:pPr>
              <w:widowControl/>
              <w:autoSpaceDE/>
              <w:autoSpaceDN/>
              <w:adjustRightInd/>
              <w:rPr>
                <w:rFonts w:ascii="Arial" w:hAnsi="Arial" w:cs="Arial"/>
                <w:sz w:val="18"/>
                <w:szCs w:val="18"/>
                <w:lang w:val="en-GB"/>
              </w:rPr>
            </w:pPr>
          </w:p>
          <w:p w14:paraId="77BB53A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68840EB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238" w:type="dxa"/>
          </w:tcPr>
          <w:p w14:paraId="2D36855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12" w:type="dxa"/>
          </w:tcPr>
          <w:p w14:paraId="1FA606D1"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wildlife agencies.</w:t>
            </w:r>
          </w:p>
        </w:tc>
        <w:tc>
          <w:tcPr>
            <w:tcW w:w="2378" w:type="dxa"/>
          </w:tcPr>
          <w:p w14:paraId="3F6039D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literature and databases on collisions.</w:t>
            </w:r>
          </w:p>
        </w:tc>
      </w:tr>
      <w:tr w:rsidR="00C96521" w:rsidRPr="006437E1" w14:paraId="43094799" w14:textId="77777777" w:rsidTr="00C96521">
        <w:tc>
          <w:tcPr>
            <w:tcW w:w="2291" w:type="dxa"/>
          </w:tcPr>
          <w:p w14:paraId="06D08659" w14:textId="0FC294AA"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lastRenderedPageBreak/>
              <w:t xml:space="preserve">7.13 Understanding of the role of predation in </w:t>
            </w:r>
            <w:r w:rsidR="005028F9" w:rsidRPr="006437E1">
              <w:rPr>
                <w:rFonts w:ascii="Arial" w:hAnsi="Arial" w:cs="Arial"/>
                <w:sz w:val="18"/>
                <w:szCs w:val="18"/>
                <w:lang w:val="en-GB"/>
              </w:rPr>
              <w:t>Turtle Dove</w:t>
            </w:r>
            <w:r w:rsidRPr="006437E1">
              <w:rPr>
                <w:rFonts w:ascii="Arial" w:hAnsi="Arial" w:cs="Arial"/>
                <w:sz w:val="18"/>
                <w:szCs w:val="18"/>
                <w:lang w:val="en-GB"/>
              </w:rPr>
              <w:t xml:space="preserve"> mortality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08BEA60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7.13.1</w:t>
            </w:r>
          </w:p>
          <w:p w14:paraId="14F51086"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Research the effects of predation (eg snakes, invasive raccoons, cats, corvids) on turtle-dove mortality.</w:t>
            </w:r>
          </w:p>
          <w:p w14:paraId="1887A951" w14:textId="77777777" w:rsidR="00C96521" w:rsidRPr="006437E1" w:rsidRDefault="00C96521" w:rsidP="00C96521">
            <w:pPr>
              <w:widowControl/>
              <w:autoSpaceDE/>
              <w:autoSpaceDN/>
              <w:adjustRightInd/>
              <w:rPr>
                <w:rFonts w:ascii="Arial" w:hAnsi="Arial" w:cs="Arial"/>
                <w:sz w:val="18"/>
                <w:szCs w:val="18"/>
                <w:lang w:val="en-GB"/>
              </w:rPr>
            </w:pPr>
          </w:p>
          <w:p w14:paraId="27774A97"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2675453E"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238" w:type="dxa"/>
          </w:tcPr>
          <w:p w14:paraId="7BEE32D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12" w:type="dxa"/>
          </w:tcPr>
          <w:p w14:paraId="7C2046D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wildlife agencies.</w:t>
            </w:r>
          </w:p>
        </w:tc>
        <w:tc>
          <w:tcPr>
            <w:tcW w:w="2378" w:type="dxa"/>
          </w:tcPr>
          <w:p w14:paraId="7D4B0B9B"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literature on predation.</w:t>
            </w:r>
          </w:p>
        </w:tc>
      </w:tr>
      <w:tr w:rsidR="00C96521" w:rsidRPr="006437E1" w14:paraId="555C6432" w14:textId="77777777" w:rsidTr="00C96521">
        <w:tc>
          <w:tcPr>
            <w:tcW w:w="2291" w:type="dxa"/>
          </w:tcPr>
          <w:p w14:paraId="560C9006" w14:textId="512B1FA8"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7.14 Understanding of the role of competition in </w:t>
            </w:r>
            <w:r w:rsidR="005028F9" w:rsidRPr="006437E1">
              <w:rPr>
                <w:rFonts w:ascii="Arial" w:hAnsi="Arial" w:cs="Arial"/>
                <w:sz w:val="18"/>
                <w:szCs w:val="18"/>
                <w:lang w:val="en-GB"/>
              </w:rPr>
              <w:t xml:space="preserve">Turtle Dove </w:t>
            </w:r>
            <w:r w:rsidRPr="006437E1">
              <w:rPr>
                <w:rFonts w:ascii="Arial" w:hAnsi="Arial" w:cs="Arial"/>
                <w:sz w:val="18"/>
                <w:szCs w:val="18"/>
                <w:lang w:val="en-GB"/>
              </w:rPr>
              <w:t>productivity by [</w:t>
            </w:r>
            <w:r w:rsidRPr="006437E1">
              <w:rPr>
                <w:rFonts w:ascii="Arial" w:hAnsi="Arial" w:cs="Arial"/>
                <w:i/>
                <w:sz w:val="18"/>
                <w:szCs w:val="18"/>
                <w:lang w:val="en-GB"/>
              </w:rPr>
              <w:t>2025</w:t>
            </w:r>
            <w:r w:rsidRPr="006437E1">
              <w:rPr>
                <w:rFonts w:ascii="Arial" w:hAnsi="Arial" w:cs="Arial"/>
                <w:sz w:val="18"/>
                <w:szCs w:val="18"/>
                <w:lang w:val="en-GB"/>
              </w:rPr>
              <w:t>].</w:t>
            </w:r>
          </w:p>
        </w:tc>
        <w:tc>
          <w:tcPr>
            <w:tcW w:w="4404" w:type="dxa"/>
          </w:tcPr>
          <w:p w14:paraId="3AFE0F0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Action 7.14.1</w:t>
            </w:r>
          </w:p>
          <w:p w14:paraId="3F94032B" w14:textId="49717C5E"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 xml:space="preserve">Conduct detailed analysis of evidence of competition with </w:t>
            </w:r>
            <w:r w:rsidR="005028F9" w:rsidRPr="006437E1">
              <w:rPr>
                <w:rFonts w:ascii="Arial" w:hAnsi="Arial" w:cs="Arial"/>
                <w:sz w:val="18"/>
                <w:szCs w:val="18"/>
                <w:lang w:val="en-GB"/>
              </w:rPr>
              <w:t>C</w:t>
            </w:r>
            <w:r w:rsidRPr="006437E1">
              <w:rPr>
                <w:rFonts w:ascii="Arial" w:hAnsi="Arial" w:cs="Arial"/>
                <w:sz w:val="18"/>
                <w:szCs w:val="18"/>
                <w:lang w:val="en-GB"/>
              </w:rPr>
              <w:t xml:space="preserve">ollared </w:t>
            </w:r>
            <w:r w:rsidR="005028F9" w:rsidRPr="006437E1">
              <w:rPr>
                <w:rFonts w:ascii="Arial" w:hAnsi="Arial" w:cs="Arial"/>
                <w:sz w:val="18"/>
                <w:szCs w:val="18"/>
                <w:lang w:val="en-GB"/>
              </w:rPr>
              <w:t>D</w:t>
            </w:r>
            <w:r w:rsidRPr="006437E1">
              <w:rPr>
                <w:rFonts w:ascii="Arial" w:hAnsi="Arial" w:cs="Arial"/>
                <w:sz w:val="18"/>
                <w:szCs w:val="18"/>
                <w:lang w:val="en-GB"/>
              </w:rPr>
              <w:t>ove and other species (e</w:t>
            </w:r>
            <w:r w:rsidR="005028F9" w:rsidRPr="006437E1">
              <w:rPr>
                <w:rFonts w:ascii="Arial" w:hAnsi="Arial" w:cs="Arial"/>
                <w:sz w:val="18"/>
                <w:szCs w:val="18"/>
                <w:lang w:val="en-GB"/>
              </w:rPr>
              <w:t>.</w:t>
            </w:r>
            <w:r w:rsidRPr="006437E1">
              <w:rPr>
                <w:rFonts w:ascii="Arial" w:hAnsi="Arial" w:cs="Arial"/>
                <w:sz w:val="18"/>
                <w:szCs w:val="18"/>
                <w:lang w:val="en-GB"/>
              </w:rPr>
              <w:t>g</w:t>
            </w:r>
            <w:r w:rsidR="005028F9" w:rsidRPr="006437E1">
              <w:rPr>
                <w:rFonts w:ascii="Arial" w:hAnsi="Arial" w:cs="Arial"/>
                <w:sz w:val="18"/>
                <w:szCs w:val="18"/>
                <w:lang w:val="en-GB"/>
              </w:rPr>
              <w:t>.</w:t>
            </w:r>
            <w:r w:rsidRPr="006437E1">
              <w:rPr>
                <w:rFonts w:ascii="Arial" w:hAnsi="Arial" w:cs="Arial"/>
                <w:sz w:val="18"/>
                <w:szCs w:val="18"/>
                <w:lang w:val="en-GB"/>
              </w:rPr>
              <w:t xml:space="preserve"> </w:t>
            </w:r>
            <w:r w:rsidR="005028F9" w:rsidRPr="006437E1">
              <w:rPr>
                <w:rFonts w:ascii="Arial" w:hAnsi="Arial" w:cs="Arial"/>
                <w:sz w:val="18"/>
                <w:szCs w:val="18"/>
                <w:lang w:val="en-GB"/>
              </w:rPr>
              <w:t>W</w:t>
            </w:r>
            <w:r w:rsidRPr="006437E1">
              <w:rPr>
                <w:rFonts w:ascii="Arial" w:hAnsi="Arial" w:cs="Arial"/>
                <w:sz w:val="18"/>
                <w:szCs w:val="18"/>
                <w:lang w:val="en-GB"/>
              </w:rPr>
              <w:t xml:space="preserve">ood </w:t>
            </w:r>
            <w:r w:rsidR="005028F9" w:rsidRPr="006437E1">
              <w:rPr>
                <w:rFonts w:ascii="Arial" w:hAnsi="Arial" w:cs="Arial"/>
                <w:sz w:val="18"/>
                <w:szCs w:val="18"/>
                <w:lang w:val="en-GB"/>
              </w:rPr>
              <w:t>P</w:t>
            </w:r>
            <w:r w:rsidRPr="006437E1">
              <w:rPr>
                <w:rFonts w:ascii="Arial" w:hAnsi="Arial" w:cs="Arial"/>
                <w:sz w:val="18"/>
                <w:szCs w:val="18"/>
                <w:lang w:val="en-GB"/>
              </w:rPr>
              <w:t xml:space="preserve">igeon, </w:t>
            </w:r>
            <w:r w:rsidR="005028F9" w:rsidRPr="006437E1">
              <w:rPr>
                <w:rFonts w:ascii="Arial" w:hAnsi="Arial" w:cs="Arial"/>
                <w:sz w:val="18"/>
                <w:szCs w:val="18"/>
                <w:lang w:val="en-GB"/>
              </w:rPr>
              <w:t>L</w:t>
            </w:r>
            <w:r w:rsidRPr="006437E1">
              <w:rPr>
                <w:rFonts w:ascii="Arial" w:hAnsi="Arial" w:cs="Arial"/>
                <w:sz w:val="18"/>
                <w:szCs w:val="18"/>
                <w:lang w:val="en-GB"/>
              </w:rPr>
              <w:t xml:space="preserve">aughing </w:t>
            </w:r>
            <w:r w:rsidR="005028F9" w:rsidRPr="006437E1">
              <w:rPr>
                <w:rFonts w:ascii="Arial" w:hAnsi="Arial" w:cs="Arial"/>
                <w:sz w:val="18"/>
                <w:szCs w:val="18"/>
                <w:lang w:val="en-GB"/>
              </w:rPr>
              <w:t>D</w:t>
            </w:r>
            <w:r w:rsidRPr="006437E1">
              <w:rPr>
                <w:rFonts w:ascii="Arial" w:hAnsi="Arial" w:cs="Arial"/>
                <w:sz w:val="18"/>
                <w:szCs w:val="18"/>
                <w:lang w:val="en-GB"/>
              </w:rPr>
              <w:t>ove).</w:t>
            </w:r>
          </w:p>
          <w:p w14:paraId="2C4A7139" w14:textId="77777777" w:rsidR="00C96521" w:rsidRPr="006437E1" w:rsidRDefault="00C96521" w:rsidP="00C96521">
            <w:pPr>
              <w:widowControl/>
              <w:autoSpaceDE/>
              <w:autoSpaceDN/>
              <w:adjustRightInd/>
              <w:rPr>
                <w:rFonts w:ascii="Arial" w:hAnsi="Arial" w:cs="Arial"/>
                <w:sz w:val="18"/>
                <w:szCs w:val="18"/>
                <w:lang w:val="en-GB"/>
              </w:rPr>
            </w:pPr>
          </w:p>
          <w:p w14:paraId="3EE66110"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Applicable to: all Range States.</w:t>
            </w:r>
          </w:p>
        </w:tc>
        <w:tc>
          <w:tcPr>
            <w:tcW w:w="1252" w:type="dxa"/>
          </w:tcPr>
          <w:p w14:paraId="272675FC"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Low</w:t>
            </w:r>
          </w:p>
        </w:tc>
        <w:tc>
          <w:tcPr>
            <w:tcW w:w="1238" w:type="dxa"/>
          </w:tcPr>
          <w:p w14:paraId="09890FDA"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Long</w:t>
            </w:r>
          </w:p>
        </w:tc>
        <w:tc>
          <w:tcPr>
            <w:tcW w:w="2612" w:type="dxa"/>
          </w:tcPr>
          <w:p w14:paraId="6A31E6B9"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b/>
                <w:sz w:val="18"/>
                <w:szCs w:val="18"/>
                <w:lang w:val="en-GB"/>
              </w:rPr>
              <w:t>ACADEMIC INSTITUTIONS</w:t>
            </w:r>
            <w:r w:rsidRPr="006437E1">
              <w:rPr>
                <w:rFonts w:ascii="Arial" w:hAnsi="Arial" w:cs="Arial"/>
                <w:sz w:val="18"/>
                <w:szCs w:val="18"/>
                <w:lang w:val="en-GB"/>
              </w:rPr>
              <w:t xml:space="preserve">, </w:t>
            </w:r>
            <w:r w:rsidRPr="006437E1">
              <w:rPr>
                <w:rFonts w:ascii="Arial" w:hAnsi="Arial" w:cs="Arial"/>
                <w:b/>
                <w:sz w:val="18"/>
                <w:szCs w:val="18"/>
                <w:lang w:val="en-GB"/>
              </w:rPr>
              <w:t>CONSERVATION NGOs</w:t>
            </w:r>
            <w:r w:rsidRPr="006437E1">
              <w:rPr>
                <w:rFonts w:ascii="Arial" w:hAnsi="Arial" w:cs="Arial"/>
                <w:sz w:val="18"/>
                <w:szCs w:val="18"/>
                <w:lang w:val="en-GB"/>
              </w:rPr>
              <w:t>, national wildlife agencies.</w:t>
            </w:r>
          </w:p>
        </w:tc>
        <w:tc>
          <w:tcPr>
            <w:tcW w:w="2378" w:type="dxa"/>
          </w:tcPr>
          <w:p w14:paraId="176D40D2" w14:textId="77777777" w:rsidR="00C96521" w:rsidRPr="006437E1" w:rsidRDefault="00C96521" w:rsidP="00C96521">
            <w:pPr>
              <w:widowControl/>
              <w:autoSpaceDE/>
              <w:autoSpaceDN/>
              <w:adjustRightInd/>
              <w:rPr>
                <w:rFonts w:ascii="Arial" w:hAnsi="Arial" w:cs="Arial"/>
                <w:sz w:val="18"/>
                <w:szCs w:val="18"/>
                <w:lang w:val="en-GB"/>
              </w:rPr>
            </w:pPr>
            <w:r w:rsidRPr="006437E1">
              <w:rPr>
                <w:rFonts w:ascii="Arial" w:hAnsi="Arial" w:cs="Arial"/>
                <w:sz w:val="18"/>
                <w:szCs w:val="18"/>
                <w:lang w:val="en-GB"/>
              </w:rPr>
              <w:t>Existing literature on competition.</w:t>
            </w:r>
          </w:p>
        </w:tc>
      </w:tr>
    </w:tbl>
    <w:p w14:paraId="547CBCF0" w14:textId="77777777" w:rsidR="00C96521" w:rsidRPr="00C96521" w:rsidRDefault="00C96521" w:rsidP="00C96521">
      <w:pPr>
        <w:widowControl/>
        <w:autoSpaceDE/>
        <w:autoSpaceDN/>
        <w:adjustRightInd/>
        <w:spacing w:before="120" w:line="276" w:lineRule="auto"/>
        <w:rPr>
          <w:rFonts w:eastAsia="MS Mincho" w:cs="Arial"/>
          <w:szCs w:val="18"/>
          <w:lang w:val="en-GB" w:eastAsia="ja-JP"/>
        </w:rPr>
      </w:pPr>
    </w:p>
    <w:p w14:paraId="506916CF" w14:textId="77777777" w:rsidR="00C96521" w:rsidRPr="00C96521" w:rsidRDefault="00C96521" w:rsidP="00C96521">
      <w:pPr>
        <w:widowControl/>
        <w:autoSpaceDE/>
        <w:autoSpaceDN/>
        <w:adjustRightInd/>
        <w:spacing w:line="276" w:lineRule="auto"/>
        <w:rPr>
          <w:rFonts w:eastAsia="MS Gothic"/>
          <w:b/>
          <w:bCs/>
          <w:color w:val="365F91"/>
          <w:sz w:val="32"/>
          <w:szCs w:val="28"/>
          <w:lang w:val="en-GB" w:eastAsia="ja-JP"/>
        </w:rPr>
      </w:pPr>
      <w:r w:rsidRPr="00C96521">
        <w:rPr>
          <w:rFonts w:eastAsia="MS Mincho"/>
          <w:sz w:val="20"/>
          <w:szCs w:val="22"/>
          <w:lang w:val="en-GB" w:eastAsia="ja-JP"/>
        </w:rPr>
        <w:br w:type="page"/>
      </w:r>
    </w:p>
    <w:p w14:paraId="6A9CD1F2"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sectPr w:rsidR="00C96521" w:rsidRPr="00C96521" w:rsidSect="00C96521">
          <w:pgSz w:w="16840" w:h="11920" w:orient="landscape"/>
          <w:pgMar w:top="1300" w:right="920" w:bottom="1300" w:left="1276" w:header="730" w:footer="738" w:gutter="0"/>
          <w:cols w:space="720"/>
          <w:docGrid w:linePitch="299"/>
        </w:sectPr>
      </w:pPr>
    </w:p>
    <w:p w14:paraId="1D2F2D73"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16" w:name="_Toc478646901"/>
      <w:r w:rsidRPr="00C96521">
        <w:rPr>
          <w:rFonts w:eastAsia="MS Gothic"/>
          <w:b/>
          <w:bCs/>
          <w:color w:val="365F91"/>
          <w:sz w:val="32"/>
          <w:szCs w:val="28"/>
          <w:lang w:val="en-GB" w:eastAsia="ja-JP"/>
        </w:rPr>
        <w:lastRenderedPageBreak/>
        <w:t>Annex 1 - BIOLOGICAL ASSESSMENT</w:t>
      </w:r>
      <w:bookmarkEnd w:id="16"/>
    </w:p>
    <w:p w14:paraId="35EF43E8"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7" w:name="_Toc478646902"/>
      <w:r w:rsidRPr="00C96521">
        <w:rPr>
          <w:rFonts w:ascii="Cambria" w:eastAsia="MS Gothic" w:hAnsi="Cambria"/>
          <w:b/>
          <w:bCs/>
          <w:color w:val="4F81BD"/>
          <w:sz w:val="26"/>
          <w:szCs w:val="26"/>
          <w:lang w:val="en-GB" w:eastAsia="ja-JP"/>
        </w:rPr>
        <w:t>Distribution throughout the annual cycle</w:t>
      </w:r>
      <w:bookmarkEnd w:id="17"/>
      <w:r w:rsidRPr="00C96521">
        <w:rPr>
          <w:rFonts w:ascii="Cambria" w:eastAsia="MS Gothic" w:hAnsi="Cambria"/>
          <w:b/>
          <w:bCs/>
          <w:color w:val="4F81BD"/>
          <w:sz w:val="26"/>
          <w:szCs w:val="26"/>
          <w:lang w:val="en-GB" w:eastAsia="ja-JP"/>
        </w:rPr>
        <w:t xml:space="preserve"> </w:t>
      </w:r>
    </w:p>
    <w:p w14:paraId="370CFEC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974741" w14:textId="2C83DEC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Capture-recapture data suggest that there are three main migratory flyways for </w:t>
      </w:r>
      <w:r w:rsidR="005028F9">
        <w:rPr>
          <w:rFonts w:eastAsia="MS Mincho"/>
          <w:sz w:val="20"/>
          <w:szCs w:val="22"/>
          <w:lang w:val="en-GB" w:eastAsia="ja-JP"/>
        </w:rPr>
        <w:t xml:space="preserve">the </w:t>
      </w:r>
      <w:r w:rsidR="005028F9" w:rsidRPr="005D4262">
        <w:rPr>
          <w:rFonts w:cs="Arial"/>
          <w:szCs w:val="18"/>
          <w:lang w:val="en-GB"/>
        </w:rPr>
        <w:t>Turtle</w:t>
      </w:r>
      <w:r w:rsidR="005028F9">
        <w:rPr>
          <w:rFonts w:cs="Arial"/>
          <w:szCs w:val="18"/>
          <w:lang w:val="en-GB"/>
        </w:rPr>
        <w:t xml:space="preserve"> D</w:t>
      </w:r>
      <w:r w:rsidR="005028F9" w:rsidRPr="005D4262">
        <w:rPr>
          <w:rFonts w:cs="Arial"/>
          <w:szCs w:val="18"/>
          <w:lang w:val="en-GB"/>
        </w:rPr>
        <w:t>ove</w:t>
      </w:r>
      <w:r w:rsidRPr="00C96521">
        <w:rPr>
          <w:rFonts w:eastAsia="MS Mincho"/>
          <w:sz w:val="20"/>
          <w:szCs w:val="22"/>
          <w:lang w:val="en-GB" w:eastAsia="ja-JP"/>
        </w:rPr>
        <w:t xml:space="preserve">: western, central and eastern European (Marx </w:t>
      </w:r>
      <w:r w:rsidRPr="00C96521">
        <w:rPr>
          <w:rFonts w:eastAsia="MS Mincho"/>
          <w:i/>
          <w:sz w:val="20"/>
          <w:szCs w:val="22"/>
          <w:lang w:val="en-GB" w:eastAsia="ja-JP"/>
        </w:rPr>
        <w:t>et al</w:t>
      </w:r>
      <w:r w:rsidRPr="00C96521">
        <w:rPr>
          <w:rFonts w:eastAsia="MS Mincho"/>
          <w:sz w:val="20"/>
          <w:szCs w:val="22"/>
          <w:lang w:val="en-GB" w:eastAsia="ja-JP"/>
        </w:rPr>
        <w:t xml:space="preserve"> 2016). A very large proportion (62-94</w:t>
      </w:r>
      <w:r w:rsidR="005028F9">
        <w:rPr>
          <w:rFonts w:eastAsia="MS Mincho"/>
          <w:sz w:val="20"/>
          <w:szCs w:val="22"/>
          <w:lang w:val="en-GB" w:eastAsia="ja-JP"/>
        </w:rPr>
        <w:t xml:space="preserve"> per cent</w:t>
      </w:r>
      <w:r w:rsidRPr="00C96521">
        <w:rPr>
          <w:rFonts w:eastAsia="MS Mincho"/>
          <w:sz w:val="20"/>
          <w:szCs w:val="22"/>
          <w:lang w:val="en-GB" w:eastAsia="ja-JP"/>
        </w:rPr>
        <w:t>) of birds breeding in France, Germany and the UK follow the western flyway, while 56</w:t>
      </w:r>
      <w:r w:rsidR="005028F9">
        <w:rPr>
          <w:rFonts w:eastAsia="MS Mincho"/>
          <w:sz w:val="20"/>
          <w:szCs w:val="22"/>
          <w:lang w:val="en-GB" w:eastAsia="ja-JP"/>
        </w:rPr>
        <w:t xml:space="preserve"> per cent</w:t>
      </w:r>
      <w:r w:rsidRPr="00C96521">
        <w:rPr>
          <w:rFonts w:eastAsia="MS Mincho"/>
          <w:sz w:val="20"/>
          <w:szCs w:val="22"/>
          <w:lang w:val="en-GB" w:eastAsia="ja-JP"/>
        </w:rPr>
        <w:t xml:space="preserve"> of birds breeding in the Czech Republic use the central flyway and 55</w:t>
      </w:r>
      <w:r w:rsidR="005028F9">
        <w:rPr>
          <w:rFonts w:eastAsia="MS Mincho"/>
          <w:sz w:val="20"/>
          <w:szCs w:val="22"/>
          <w:lang w:val="en-GB" w:eastAsia="ja-JP"/>
        </w:rPr>
        <w:t xml:space="preserve"> per cent</w:t>
      </w:r>
      <w:r w:rsidRPr="00C96521">
        <w:rPr>
          <w:rFonts w:eastAsia="MS Mincho"/>
          <w:sz w:val="20"/>
          <w:szCs w:val="22"/>
          <w:lang w:val="en-GB" w:eastAsia="ja-JP"/>
        </w:rPr>
        <w:t xml:space="preserve"> birds breeding in Hungary use the eastern flyway, with overlap between the central and eastern flyways. See Figure 4 for the distribution of these flyways.</w:t>
      </w:r>
    </w:p>
    <w:p w14:paraId="2E95411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EEFA75D" w14:textId="77777777" w:rsidR="00C96521" w:rsidRPr="00C96521" w:rsidRDefault="00C96521" w:rsidP="00C96521">
      <w:pPr>
        <w:widowControl/>
        <w:autoSpaceDE/>
        <w:autoSpaceDN/>
        <w:adjustRightInd/>
        <w:spacing w:line="276" w:lineRule="auto"/>
        <w:jc w:val="center"/>
        <w:rPr>
          <w:rFonts w:eastAsia="MS Mincho"/>
          <w:sz w:val="20"/>
          <w:szCs w:val="22"/>
          <w:lang w:val="en-GB" w:eastAsia="ja-JP"/>
        </w:rPr>
      </w:pPr>
      <w:r w:rsidRPr="00C96521">
        <w:rPr>
          <w:rFonts w:eastAsia="MS Mincho"/>
          <w:noProof/>
          <w:sz w:val="20"/>
          <w:szCs w:val="22"/>
        </w:rPr>
        <w:drawing>
          <wp:inline distT="0" distB="0" distL="0" distR="0" wp14:anchorId="4F9DA35D" wp14:editId="6D9107AA">
            <wp:extent cx="5010150" cy="3009447"/>
            <wp:effectExtent l="1905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010150" cy="3009447"/>
                    </a:xfrm>
                    <a:prstGeom prst="rect">
                      <a:avLst/>
                    </a:prstGeom>
                    <a:noFill/>
                    <a:ln w="9525">
                      <a:noFill/>
                      <a:miter lim="800000"/>
                      <a:headEnd/>
                      <a:tailEnd/>
                    </a:ln>
                  </pic:spPr>
                </pic:pic>
              </a:graphicData>
            </a:graphic>
          </wp:inline>
        </w:drawing>
      </w:r>
    </w:p>
    <w:p w14:paraId="3AF46C9C" w14:textId="77777777" w:rsidR="00C96521" w:rsidRPr="00C96521" w:rsidRDefault="00C96521" w:rsidP="00C96521">
      <w:pPr>
        <w:widowControl/>
        <w:autoSpaceDE/>
        <w:autoSpaceDN/>
        <w:adjustRightInd/>
        <w:spacing w:line="276" w:lineRule="auto"/>
        <w:jc w:val="center"/>
        <w:rPr>
          <w:rFonts w:eastAsia="MS Mincho"/>
          <w:sz w:val="20"/>
          <w:szCs w:val="22"/>
          <w:lang w:val="en-GB" w:eastAsia="ja-JP"/>
        </w:rPr>
      </w:pPr>
    </w:p>
    <w:p w14:paraId="4DF75DA2"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 xml:space="preserve">Figure 4. Patterns of use of turtle-doves from five different countries (Czech Republic, France, Germany, Hungary and the UK) (figure from Marx </w:t>
      </w:r>
      <w:r w:rsidRPr="00C96521">
        <w:rPr>
          <w:rFonts w:eastAsia="MS Mincho"/>
          <w:sz w:val="20"/>
          <w:szCs w:val="22"/>
          <w:lang w:val="en-GB" w:eastAsia="ja-JP"/>
        </w:rPr>
        <w:t>et al</w:t>
      </w:r>
      <w:r w:rsidRPr="00C96521">
        <w:rPr>
          <w:rFonts w:eastAsia="MS Mincho"/>
          <w:i/>
          <w:sz w:val="20"/>
          <w:szCs w:val="22"/>
          <w:lang w:val="en-GB" w:eastAsia="ja-JP"/>
        </w:rPr>
        <w:t xml:space="preserve"> 2016). Line density kernels for 70% (red), 80% (yellow) and 90% (blue) of birds.</w:t>
      </w:r>
    </w:p>
    <w:p w14:paraId="25CFFC3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70AFD08" w14:textId="1E16E975"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The post-breeding migration towards Africa starts by the end of July and reaches its most intensive period at the end of August/beginning of September, the last birds being observed at the beginning of October (Snow and Perrins 1998). The western migratory route is across the Iberian Peninsula and Morocco, while other routes pass through Italy, Malta, Tunisia, and through Greece, Egypt, and the Middle</w:t>
      </w:r>
      <w:r w:rsidR="005028F9">
        <w:rPr>
          <w:rFonts w:eastAsia="MS Mincho" w:cs="Arial"/>
          <w:sz w:val="20"/>
          <w:szCs w:val="22"/>
          <w:lang w:val="en-GB" w:eastAsia="ja-JP"/>
        </w:rPr>
        <w:t xml:space="preserve"> </w:t>
      </w:r>
      <w:r w:rsidRPr="00C96521">
        <w:rPr>
          <w:rFonts w:eastAsia="MS Mincho" w:cs="Arial"/>
          <w:sz w:val="20"/>
          <w:szCs w:val="22"/>
          <w:lang w:val="en-GB" w:eastAsia="ja-JP"/>
        </w:rPr>
        <w:t>East (Cramp 1985, Rocha and Hidalgo 2002a). In the east, some birds are observed migrating west of the Caucasus during daylight hours, possibly suggesting an important migration route (Batumi Raptor Count 2015). The wintering area is entirely in Africa, and stretches from the 10</w:t>
      </w:r>
      <w:r w:rsidRPr="006437E1">
        <w:rPr>
          <w:rFonts w:eastAsia="MS Mincho" w:cs="Arial"/>
          <w:sz w:val="20"/>
          <w:szCs w:val="22"/>
          <w:vertAlign w:val="superscript"/>
          <w:lang w:val="en-GB" w:eastAsia="ja-JP"/>
        </w:rPr>
        <w:t>th</w:t>
      </w:r>
      <w:r w:rsidR="009E54BD">
        <w:rPr>
          <w:rFonts w:eastAsia="MS Mincho" w:cs="Arial"/>
          <w:sz w:val="20"/>
          <w:szCs w:val="22"/>
          <w:lang w:val="en-GB" w:eastAsia="ja-JP"/>
        </w:rPr>
        <w:t xml:space="preserve"> </w:t>
      </w:r>
      <w:r w:rsidRPr="00C96521">
        <w:rPr>
          <w:rFonts w:eastAsia="MS Mincho" w:cs="Arial"/>
          <w:sz w:val="20"/>
          <w:szCs w:val="22"/>
          <w:lang w:val="en-GB" w:eastAsia="ja-JP"/>
        </w:rPr>
        <w:t>parallel to the 20</w:t>
      </w:r>
      <w:r w:rsidRPr="006437E1">
        <w:rPr>
          <w:rFonts w:eastAsia="MS Mincho" w:cs="Arial"/>
          <w:sz w:val="20"/>
          <w:szCs w:val="22"/>
          <w:vertAlign w:val="superscript"/>
          <w:lang w:val="en-GB" w:eastAsia="ja-JP"/>
        </w:rPr>
        <w:t>th</w:t>
      </w:r>
      <w:r w:rsidR="009E54BD">
        <w:rPr>
          <w:rFonts w:eastAsia="MS Mincho" w:cs="Arial"/>
          <w:sz w:val="20"/>
          <w:szCs w:val="22"/>
          <w:lang w:val="en-GB" w:eastAsia="ja-JP"/>
        </w:rPr>
        <w:t xml:space="preserve"> </w:t>
      </w:r>
      <w:r w:rsidRPr="00C96521">
        <w:rPr>
          <w:rFonts w:eastAsia="MS Mincho" w:cs="Arial"/>
          <w:sz w:val="20"/>
          <w:szCs w:val="22"/>
          <w:lang w:val="en-GB" w:eastAsia="ja-JP"/>
        </w:rPr>
        <w:t xml:space="preserve">parallel North and corresponds to the Sahel-Sudan zone. </w:t>
      </w:r>
    </w:p>
    <w:p w14:paraId="3B99E0D7"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9537625" w14:textId="641A419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The western European populations migrate via the southwest of France and the Iberian Peninsula, where they are joined by birds breeding in Portugal and Spain, cross Morocco and Mauritania, and finally winter in the savannas of the western half of tropical Africa. Recent tagging and tracking studies have confirmed routes for western birds and shown that many use the south of Spain to make stopovers before arriving in North Africa and crossing the Sahara (SEO/BirdLife 2016b, Lormée </w:t>
      </w:r>
      <w:r w:rsidRPr="00C96521">
        <w:rPr>
          <w:rFonts w:eastAsia="MS Mincho" w:cs="Arial"/>
          <w:i/>
          <w:sz w:val="20"/>
          <w:szCs w:val="22"/>
          <w:lang w:val="en-GB" w:eastAsia="ja-JP"/>
        </w:rPr>
        <w:t>unpublished</w:t>
      </w:r>
      <w:r w:rsidRPr="00C96521">
        <w:rPr>
          <w:rFonts w:eastAsia="MS Mincho" w:cs="Arial"/>
          <w:sz w:val="20"/>
          <w:szCs w:val="22"/>
          <w:lang w:val="en-GB" w:eastAsia="ja-JP"/>
        </w:rPr>
        <w:t xml:space="preserve">, Lormée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 RSPB 2016). Senegal, </w:t>
      </w:r>
      <w:r w:rsidR="009E54BD">
        <w:rPr>
          <w:rFonts w:eastAsia="MS Mincho" w:cs="Arial"/>
          <w:sz w:val="20"/>
          <w:szCs w:val="22"/>
          <w:lang w:val="en-GB" w:eastAsia="ja-JP"/>
        </w:rPr>
        <w:t>t</w:t>
      </w:r>
      <w:r w:rsidR="009E54BD" w:rsidRPr="00C96521">
        <w:rPr>
          <w:rFonts w:eastAsia="MS Mincho" w:cs="Arial"/>
          <w:sz w:val="20"/>
          <w:szCs w:val="22"/>
          <w:lang w:val="en-GB" w:eastAsia="ja-JP"/>
        </w:rPr>
        <w:t xml:space="preserve">he </w:t>
      </w:r>
      <w:r w:rsidRPr="00C96521">
        <w:rPr>
          <w:rFonts w:eastAsia="MS Mincho" w:cs="Arial"/>
          <w:sz w:val="20"/>
          <w:szCs w:val="22"/>
          <w:lang w:val="en-GB" w:eastAsia="ja-JP"/>
        </w:rPr>
        <w:t xml:space="preserve">Gambia, Guinea Bissau, the north of Guinea </w:t>
      </w:r>
      <w:r w:rsidR="009E54BD">
        <w:rPr>
          <w:rFonts w:eastAsia="MS Mincho" w:cs="Arial"/>
          <w:sz w:val="20"/>
          <w:szCs w:val="22"/>
          <w:lang w:val="en-GB" w:eastAsia="ja-JP"/>
        </w:rPr>
        <w:t>(</w:t>
      </w:r>
      <w:r w:rsidR="009E54BD" w:rsidRPr="00C96521">
        <w:rPr>
          <w:rFonts w:eastAsia="MS Mincho" w:cs="Arial"/>
          <w:sz w:val="20"/>
          <w:szCs w:val="22"/>
          <w:lang w:val="en-GB" w:eastAsia="ja-JP"/>
        </w:rPr>
        <w:t>Conakry</w:t>
      </w:r>
      <w:r w:rsidR="009E54BD">
        <w:rPr>
          <w:rFonts w:eastAsia="MS Mincho" w:cs="Arial"/>
          <w:sz w:val="20"/>
          <w:szCs w:val="22"/>
          <w:lang w:val="en-GB" w:eastAsia="ja-JP"/>
        </w:rPr>
        <w:t>)</w:t>
      </w:r>
      <w:r w:rsidR="009E54BD"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and south-west Mali are considered to be the host countries for the greater part of these populations, but the species has also been recorded in many other African countries (southern Niger, Burkina Faso, northern Côte d’Ivoire, northern Ghana, northern Nigeria and northern Cameroon) (Aebischer 2002, Carvalho and Dias 2001, </w:t>
      </w:r>
      <w:r w:rsidRPr="00C96521">
        <w:rPr>
          <w:rFonts w:eastAsia="MS Mincho" w:cs="Arial"/>
          <w:sz w:val="20"/>
          <w:szCs w:val="22"/>
          <w:lang w:val="en-GB" w:eastAsia="ja-JP"/>
        </w:rPr>
        <w:lastRenderedPageBreak/>
        <w:t xml:space="preserve">2003). An analysis of migration routes of birds fitted with light-level geolocators in France found that the core wintering area covered western Mali, the Inner Niger Delta and the border of Mali and Mauritania while some birds are found in northern Guinea, north-west Burkina Faso and </w:t>
      </w:r>
      <w:r w:rsidR="009E54BD">
        <w:rPr>
          <w:rFonts w:eastAsia="MS Mincho" w:cs="Arial"/>
          <w:sz w:val="20"/>
          <w:szCs w:val="22"/>
          <w:lang w:val="en-GB" w:eastAsia="ja-JP"/>
        </w:rPr>
        <w:t>Cote d’Ivoire</w:t>
      </w:r>
      <w:r w:rsidRPr="00C96521">
        <w:rPr>
          <w:rFonts w:eastAsia="MS Mincho" w:cs="Arial"/>
          <w:sz w:val="20"/>
          <w:szCs w:val="22"/>
          <w:lang w:val="en-GB" w:eastAsia="ja-JP"/>
        </w:rPr>
        <w:t xml:space="preserve">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2013). In 2000, an estimated 22,000 </w:t>
      </w:r>
      <w:r w:rsidR="009E54BD">
        <w:rPr>
          <w:rFonts w:eastAsia="MS Mincho" w:cs="Arial"/>
          <w:sz w:val="20"/>
          <w:szCs w:val="22"/>
          <w:lang w:val="en-GB" w:eastAsia="ja-JP"/>
        </w:rPr>
        <w:t>T</w:t>
      </w:r>
      <w:r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Pr="00C96521">
        <w:rPr>
          <w:rFonts w:eastAsia="MS Mincho" w:cs="Arial"/>
          <w:sz w:val="20"/>
          <w:szCs w:val="22"/>
          <w:lang w:val="en-GB" w:eastAsia="ja-JP"/>
        </w:rPr>
        <w:t xml:space="preserve">oves were recorded at a site in south-east Mauritania, apparently roosting in an acacia-lined wadi adjacent to a lake (Joost Brouwer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In Senegal,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oves </w:t>
      </w:r>
      <w:r w:rsidRPr="00C96521">
        <w:rPr>
          <w:rFonts w:eastAsia="MS Mincho" w:cs="Arial"/>
          <w:sz w:val="20"/>
          <w:szCs w:val="22"/>
          <w:lang w:val="en-GB" w:eastAsia="ja-JP"/>
        </w:rPr>
        <w:t xml:space="preserve">arrive from late July to August-September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The first stops for the species in the Sahel region may be in the pastoral rather than the agricultural (cereal growing) zone (Joost Brouwer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In </w:t>
      </w:r>
      <w:r w:rsidR="009E54BD">
        <w:rPr>
          <w:rFonts w:eastAsia="MS Mincho" w:cs="Arial"/>
          <w:sz w:val="20"/>
          <w:szCs w:val="22"/>
          <w:lang w:val="en-GB" w:eastAsia="ja-JP"/>
        </w:rPr>
        <w:t>t</w:t>
      </w:r>
      <w:r w:rsidRPr="00C96521">
        <w:rPr>
          <w:rFonts w:eastAsia="MS Mincho" w:cs="Arial"/>
          <w:sz w:val="20"/>
          <w:szCs w:val="22"/>
          <w:lang w:val="en-GB" w:eastAsia="ja-JP"/>
        </w:rPr>
        <w:t xml:space="preserve">he Gambia, the species has been recorded in the dry season from September to May (Barlow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1997), while in Niger the species is scarce or absent even in suitable habitats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There are very few records related to Niger on the West African Bird DataBase, and many of these consist of groups of dead birds (Giraudoux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1986, WABDaB 2016). In Cameroon, the species is found in October and November, and again in February and March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Some individuals also winter in Morocco (Jarry 1994), but rarely in Europe. </w:t>
      </w:r>
    </w:p>
    <w:p w14:paraId="31E81B58"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06DD7C3" w14:textId="09F27F0E"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 more eastward migratory band of birds, probably mainly from Central Europe, stretches over Italy, Malta, Cyprus, Tunisia and Libya, and may winter in Sudan, Ethiopia and Chad, possibly reaching as far west as Mali and Burkina Faso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The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Dove</w:t>
      </w:r>
      <w:r w:rsidRPr="00C96521">
        <w:rPr>
          <w:rFonts w:eastAsia="MS Mincho" w:cs="Arial"/>
          <w:sz w:val="20"/>
          <w:szCs w:val="22"/>
          <w:lang w:val="en-GB" w:eastAsia="ja-JP"/>
        </w:rPr>
        <w:t xml:space="preserve">is described as an abundant winter visitor to Sudan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Bulgaria forms an important migratory crossroad with birds from a range of countries, including the Czech Republic, Hungary and Germany (Nankinov 1994, in Dubois 2002). At the Batumi Raptor Count in Georgia, migrating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oves </w:t>
      </w:r>
      <w:r w:rsidRPr="00C96521">
        <w:rPr>
          <w:rFonts w:eastAsia="MS Mincho" w:cs="Arial"/>
          <w:sz w:val="20"/>
          <w:szCs w:val="22"/>
          <w:lang w:val="en-GB" w:eastAsia="ja-JP"/>
        </w:rPr>
        <w:t xml:space="preserve">numbering hundreds of individuals were observed passing through in September and October 2016, possibly suggesting an important migration route in the Caucasus (Batumi Raptor Count 2016, Raffael Ayé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An analysis of ringing recoveries found that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oves </w:t>
      </w:r>
      <w:r w:rsidRPr="00C96521">
        <w:rPr>
          <w:rFonts w:eastAsia="MS Mincho" w:cs="Arial"/>
          <w:sz w:val="20"/>
          <w:szCs w:val="22"/>
          <w:lang w:val="en-GB" w:eastAsia="ja-JP"/>
        </w:rPr>
        <w:t>recovered in Malta had been ringed in a range of European countries. The largest percentage came from Italy (c</w:t>
      </w:r>
      <w:r w:rsidR="009E54BD">
        <w:rPr>
          <w:rFonts w:eastAsia="MS Mincho" w:cs="Arial"/>
          <w:sz w:val="20"/>
          <w:szCs w:val="22"/>
          <w:lang w:val="en-GB" w:eastAsia="ja-JP"/>
        </w:rPr>
        <w:t xml:space="preserve">. </w:t>
      </w:r>
      <w:r w:rsidRPr="00C96521">
        <w:rPr>
          <w:rFonts w:eastAsia="MS Mincho" w:cs="Arial"/>
          <w:sz w:val="20"/>
          <w:szCs w:val="22"/>
          <w:lang w:val="en-GB" w:eastAsia="ja-JP"/>
        </w:rPr>
        <w:t>50</w:t>
      </w:r>
      <w:r w:rsidR="009E54BD">
        <w:rPr>
          <w:rFonts w:eastAsia="MS Mincho" w:cs="Arial"/>
          <w:sz w:val="20"/>
          <w:szCs w:val="22"/>
          <w:lang w:val="en-GB" w:eastAsia="ja-JP"/>
        </w:rPr>
        <w:t xml:space="preserve"> per cent</w:t>
      </w:r>
      <w:r w:rsidRPr="00C96521">
        <w:rPr>
          <w:rFonts w:eastAsia="MS Mincho" w:cs="Arial"/>
          <w:sz w:val="20"/>
          <w:szCs w:val="22"/>
          <w:lang w:val="en-GB" w:eastAsia="ja-JP"/>
        </w:rPr>
        <w:t>), followed by the Czech Republic (c</w:t>
      </w:r>
      <w:r w:rsidR="009E54BD">
        <w:rPr>
          <w:rFonts w:eastAsia="MS Mincho" w:cs="Arial"/>
          <w:sz w:val="20"/>
          <w:szCs w:val="22"/>
          <w:lang w:val="en-GB" w:eastAsia="ja-JP"/>
        </w:rPr>
        <w:t xml:space="preserve">. </w:t>
      </w:r>
      <w:r w:rsidRPr="00C96521">
        <w:rPr>
          <w:rFonts w:eastAsia="MS Mincho" w:cs="Arial"/>
          <w:sz w:val="20"/>
          <w:szCs w:val="22"/>
          <w:lang w:val="en-GB" w:eastAsia="ja-JP"/>
        </w:rPr>
        <w:t>25</w:t>
      </w:r>
      <w:r w:rsidR="009E54BD">
        <w:rPr>
          <w:rFonts w:eastAsia="MS Mincho" w:cs="Arial"/>
          <w:sz w:val="20"/>
          <w:szCs w:val="22"/>
          <w:lang w:val="en-GB" w:eastAsia="ja-JP"/>
        </w:rPr>
        <w:t xml:space="preserve"> per cent</w:t>
      </w:r>
      <w:r w:rsidRPr="00C96521">
        <w:rPr>
          <w:rFonts w:eastAsia="MS Mincho" w:cs="Arial"/>
          <w:sz w:val="20"/>
          <w:szCs w:val="22"/>
          <w:lang w:val="en-GB" w:eastAsia="ja-JP"/>
        </w:rPr>
        <w:t>), Tunisia, Hungary, Germany, Poland, France, Croatia and Austria (Raine 2007).</w:t>
      </w:r>
    </w:p>
    <w:p w14:paraId="00FB10B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ABBCFEF" w14:textId="4A3473E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During pre-breeding migration the first observations of the species in Europe occur in late March and early April (Gargallo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2011), getting fully underway in late April. Towards the north of the range, migration reaches its peak during the first half of May and finishes mid-June. Data from the </w:t>
      </w:r>
      <w:r w:rsidR="009E54BD" w:rsidRPr="00C96521">
        <w:rPr>
          <w:rFonts w:eastAsia="MS Mincho" w:cs="Arial"/>
          <w:sz w:val="20"/>
          <w:szCs w:val="22"/>
          <w:lang w:val="en-GB" w:eastAsia="ja-JP"/>
        </w:rPr>
        <w:t>Iberian Peninsula</w:t>
      </w:r>
      <w:r w:rsidRPr="00C96521">
        <w:rPr>
          <w:rFonts w:eastAsia="MS Mincho" w:cs="Arial"/>
          <w:sz w:val="20"/>
          <w:szCs w:val="22"/>
          <w:lang w:val="en-GB" w:eastAsia="ja-JP"/>
        </w:rPr>
        <w:t xml:space="preserve"> suggest a late arrival to the breeding grounds, based on 10-year trend for Portugal (Feith 2011, 2013) and earlier autumn departure date (Montoya and Meson 1994, Montoya 2009). In Italy, the highest value of relative abundance based on birds ringed during return migration across the Mediterranean is at the beginning of May (Macchio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1999). A fast and significant increase in wing length of birds staging on Italian islands during their northbound migration across the Mediterranean is reported between the middle of April and the end of May, suggesting the passage of birds belonging to different geographical populations (Licheri and Spina 2005). Birds ringed in a range of countries, including Sweden, the Czech Republic, the western and southern Mediterranean, and Tunisia, have been recovered in Italy (Spina and Volponi 2008). The central Mediterranean is crossed by birds heading towards Central and Eastern Europe, as confirmed by direct recoveries and recoveries during the breeding season of birds ringed on Italian islands. In the UK, evidence shows that the median annual spring arrival date has not altered (Newson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 but the median annual autumn departure date has become earlier by eight days, resulting in a shortening of the breeding season (Browne and Aebischer 2003b).</w:t>
      </w:r>
    </w:p>
    <w:p w14:paraId="5224CCCE"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8D1DCFD" w14:textId="31A96446"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Early studies with </w:t>
      </w:r>
      <w:r w:rsidR="009E54BD" w:rsidRPr="00C96521">
        <w:rPr>
          <w:rFonts w:eastAsia="MS Mincho" w:cs="Arial"/>
          <w:sz w:val="20"/>
          <w:szCs w:val="22"/>
          <w:lang w:val="en-GB" w:eastAsia="ja-JP"/>
        </w:rPr>
        <w:t>miniaturi</w:t>
      </w:r>
      <w:r w:rsidR="009E54BD">
        <w:rPr>
          <w:rFonts w:eastAsia="MS Mincho" w:cs="Arial"/>
          <w:sz w:val="20"/>
          <w:szCs w:val="22"/>
          <w:lang w:val="en-GB" w:eastAsia="ja-JP"/>
        </w:rPr>
        <w:t>z</w:t>
      </w:r>
      <w:r w:rsidR="009E54BD" w:rsidRPr="00C96521">
        <w:rPr>
          <w:rFonts w:eastAsia="MS Mincho" w:cs="Arial"/>
          <w:sz w:val="20"/>
          <w:szCs w:val="22"/>
          <w:lang w:val="en-GB" w:eastAsia="ja-JP"/>
        </w:rPr>
        <w:t xml:space="preserve">ed </w:t>
      </w:r>
      <w:r w:rsidRPr="00C96521">
        <w:rPr>
          <w:rFonts w:eastAsia="MS Mincho" w:cs="Arial"/>
          <w:sz w:val="20"/>
          <w:szCs w:val="22"/>
          <w:lang w:val="en-GB" w:eastAsia="ja-JP"/>
        </w:rPr>
        <w:t xml:space="preserve">light-level geolocators attached to birds confirmed that turtle-doves breeding in western Europe winter in West Africa, and may make movements of several hundreds of kilometres during the wintering season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2013). This work also pointed to the possibility that the species undergoes a ‘loop migration’ whereby the post-breeding migration flyway is located further west than the northbound spring migration. Evidence of staging in North Africa for several weeks after crossing the Sahara also indicates that environmental conditions in these staging areas may play a pivotal role in population dynamics, for instance the quality and availability of staging posts in Central Sahara. Tracking data have also highlighted that birds use more limited areas for wintering than previously thought (Lormée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 Recent satellite tracking data from a bird tagged in the UK </w:t>
      </w:r>
      <w:r w:rsidRPr="00C96521">
        <w:rPr>
          <w:rFonts w:eastAsia="MS Mincho" w:cs="Arial"/>
          <w:sz w:val="20"/>
          <w:szCs w:val="22"/>
          <w:lang w:val="en-GB" w:eastAsia="ja-JP"/>
        </w:rPr>
        <w:lastRenderedPageBreak/>
        <w:t>support the proposal that the species may be philopatric to both its breeding and wintering grounds (RSPB 2016).</w:t>
      </w:r>
    </w:p>
    <w:p w14:paraId="5617D42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B332B91" w14:textId="26BB9F94" w:rsidR="00C96521" w:rsidRPr="00C96521" w:rsidRDefault="009E54BD" w:rsidP="00C96521">
      <w:pPr>
        <w:widowControl/>
        <w:autoSpaceDE/>
        <w:autoSpaceDN/>
        <w:adjustRightInd/>
        <w:spacing w:line="276" w:lineRule="auto"/>
        <w:rPr>
          <w:rFonts w:eastAsia="MS Mincho" w:cs="Arial"/>
          <w:sz w:val="20"/>
          <w:szCs w:val="22"/>
          <w:lang w:val="en-GB" w:eastAsia="ja-JP"/>
        </w:rPr>
      </w:pPr>
      <w:r>
        <w:rPr>
          <w:rFonts w:eastAsia="MS Mincho" w:cs="Arial"/>
          <w:sz w:val="20"/>
          <w:szCs w:val="22"/>
          <w:lang w:val="en-GB" w:eastAsia="ja-JP"/>
        </w:rPr>
        <w:t>T</w:t>
      </w:r>
      <w:r w:rsidRPr="00C96521">
        <w:rPr>
          <w:rFonts w:eastAsia="MS Mincho" w:cs="Arial"/>
          <w:sz w:val="20"/>
          <w:szCs w:val="22"/>
          <w:lang w:val="en-GB" w:eastAsia="ja-JP"/>
        </w:rPr>
        <w:t>urtle</w:t>
      </w:r>
      <w:r>
        <w:rPr>
          <w:rFonts w:eastAsia="MS Mincho" w:cs="Arial"/>
          <w:sz w:val="20"/>
          <w:szCs w:val="22"/>
          <w:lang w:val="en-GB" w:eastAsia="ja-JP"/>
        </w:rPr>
        <w:t xml:space="preserve"> D</w:t>
      </w:r>
      <w:r w:rsidRPr="00C96521">
        <w:rPr>
          <w:rFonts w:eastAsia="MS Mincho" w:cs="Arial"/>
          <w:sz w:val="20"/>
          <w:szCs w:val="22"/>
          <w:lang w:val="en-GB" w:eastAsia="ja-JP"/>
        </w:rPr>
        <w:t xml:space="preserve">oves </w:t>
      </w:r>
      <w:r w:rsidR="00C96521" w:rsidRPr="00C96521">
        <w:rPr>
          <w:rFonts w:eastAsia="MS Mincho" w:cs="Arial"/>
          <w:sz w:val="20"/>
          <w:szCs w:val="22"/>
          <w:lang w:val="en-GB" w:eastAsia="ja-JP"/>
        </w:rPr>
        <w:t xml:space="preserve">from central and eastern Europe seem to move south, possibly following a reverse loop migration, flying south-east in autumn, through the Balkans, Greece and European Turkey, and moving northwards in spring across the central Mediterranean (Spina and Volponi 2008, Lormée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2016). Within the Mediterranean region, the northward migration generally takes place between early April and mid-May with a peak in late April (Zwarts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2009). Those birds wintering south of </w:t>
      </w:r>
      <w:r>
        <w:rPr>
          <w:rFonts w:eastAsia="MS Mincho" w:cs="Arial"/>
          <w:sz w:val="20"/>
          <w:szCs w:val="22"/>
          <w:lang w:val="en-GB" w:eastAsia="ja-JP"/>
        </w:rPr>
        <w:t>t</w:t>
      </w:r>
      <w:r w:rsidR="00C96521" w:rsidRPr="00C96521">
        <w:rPr>
          <w:rFonts w:eastAsia="MS Mincho" w:cs="Arial"/>
          <w:sz w:val="20"/>
          <w:szCs w:val="22"/>
          <w:lang w:val="en-GB" w:eastAsia="ja-JP"/>
        </w:rPr>
        <w:t xml:space="preserve">he Gambia begin to move northwards from February heading towards northern Senegal (Zwarts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2009). The species congregates in the very north of the Sahel (prior to the Sahel droughts, numbers may have reached several millions in the Senegal Delta) where it increases its body mass in order to be able to make what was originally considered to be a non-stop crossing of the Sahara, North Africa, the Mediterranean Sea and much of southern Europe (Zwarts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2009). However, new information from birds tagged in France suggests that during the northbound Sahara crossing the birds take short breaks and then stop for several weeks north of the Sahara before crossing the Mediterranean Sea (Eraud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2013). Sites in Morocco and western Algeria represent likely stopovers before the Mediterranean crossing, and the species is known to use cereal crops on agricultural land in this region where it can improve its body condition prior to the crossing. The birds may have differing spring and autumn </w:t>
      </w:r>
      <w:r w:rsidRPr="00C96521">
        <w:rPr>
          <w:rFonts w:eastAsia="MS Mincho" w:cs="Arial"/>
          <w:sz w:val="20"/>
          <w:szCs w:val="22"/>
          <w:lang w:val="en-GB" w:eastAsia="ja-JP"/>
        </w:rPr>
        <w:t>migrati</w:t>
      </w:r>
      <w:r>
        <w:rPr>
          <w:rFonts w:eastAsia="MS Mincho" w:cs="Arial"/>
          <w:sz w:val="20"/>
          <w:szCs w:val="22"/>
          <w:lang w:val="en-GB" w:eastAsia="ja-JP"/>
        </w:rPr>
        <w:t>on</w:t>
      </w:r>
      <w:r w:rsidRPr="00C96521">
        <w:rPr>
          <w:rFonts w:eastAsia="MS Mincho" w:cs="Arial"/>
          <w:sz w:val="20"/>
          <w:szCs w:val="22"/>
          <w:lang w:val="en-GB" w:eastAsia="ja-JP"/>
        </w:rPr>
        <w:t xml:space="preserve"> </w:t>
      </w:r>
      <w:r w:rsidR="00C96521" w:rsidRPr="00C96521">
        <w:rPr>
          <w:rFonts w:eastAsia="MS Mincho" w:cs="Arial"/>
          <w:sz w:val="20"/>
          <w:szCs w:val="22"/>
          <w:lang w:val="en-GB" w:eastAsia="ja-JP"/>
        </w:rPr>
        <w:t xml:space="preserve">strategies as typically more are recorded on the northward spring migration than in the autumn migration period, suggesting they may be flying at a lower altitude or flying during daylight hours more often in spring than in autumn (Zwarts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2009). Tracking research shows that most of the migration occurs at night (Lormée </w:t>
      </w:r>
      <w:r w:rsidR="00C96521" w:rsidRPr="00C96521">
        <w:rPr>
          <w:rFonts w:eastAsia="MS Mincho" w:cs="Arial"/>
          <w:i/>
          <w:sz w:val="20"/>
          <w:szCs w:val="22"/>
          <w:lang w:val="en-GB" w:eastAsia="ja-JP"/>
        </w:rPr>
        <w:t>et al</w:t>
      </w:r>
      <w:r w:rsidR="00C96521" w:rsidRPr="00C96521">
        <w:rPr>
          <w:rFonts w:eastAsia="MS Mincho" w:cs="Arial"/>
          <w:sz w:val="20"/>
          <w:szCs w:val="22"/>
          <w:lang w:val="en-GB" w:eastAsia="ja-JP"/>
        </w:rPr>
        <w:t xml:space="preserve"> 2016).</w:t>
      </w:r>
    </w:p>
    <w:p w14:paraId="251B517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411ECF9" w14:textId="0A27C86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Figure 5 shows the breeding and pre-breeding migration periods for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oves </w:t>
      </w:r>
      <w:r w:rsidRPr="00C96521">
        <w:rPr>
          <w:rFonts w:eastAsia="MS Mincho" w:cs="Arial"/>
          <w:sz w:val="20"/>
          <w:szCs w:val="22"/>
          <w:lang w:val="en-GB" w:eastAsia="ja-JP"/>
        </w:rPr>
        <w:t xml:space="preserve">across the European Union. The beginning of pre-breeding migration is defined as running from the arrival of the first migrants, and breeding defined as lasting from the occupation of breeding sites (or in France, the occupation of territories by singing males) to the full flight of young birds. </w:t>
      </w:r>
    </w:p>
    <w:p w14:paraId="5EBCC7A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drawing>
          <wp:inline distT="0" distB="0" distL="0" distR="0" wp14:anchorId="6FDFFFA3" wp14:editId="7F5F0C38">
            <wp:extent cx="3906774" cy="4620513"/>
            <wp:effectExtent l="19050" t="0" r="0" b="0"/>
            <wp:docPr id="99" name="Picture 0" descr="BreedingSeas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edingSeasons.jpg"/>
                    <pic:cNvPicPr/>
                  </pic:nvPicPr>
                  <pic:blipFill>
                    <a:blip r:embed="rId37" cstate="print"/>
                    <a:stretch>
                      <a:fillRect/>
                    </a:stretch>
                  </pic:blipFill>
                  <pic:spPr>
                    <a:xfrm>
                      <a:off x="0" y="0"/>
                      <a:ext cx="3915140" cy="4630407"/>
                    </a:xfrm>
                    <a:prstGeom prst="rect">
                      <a:avLst/>
                    </a:prstGeom>
                  </pic:spPr>
                </pic:pic>
              </a:graphicData>
            </a:graphic>
          </wp:inline>
        </w:drawing>
      </w:r>
    </w:p>
    <w:p w14:paraId="0B44182E"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4E604D44" w14:textId="578B6B8A"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5. Breeding season (blocked) and pre-breeding migration (starred) of </w:t>
      </w:r>
      <w:r w:rsidR="009E54BD" w:rsidRPr="006437E1">
        <w:rPr>
          <w:rFonts w:eastAsia="MS Mincho" w:cs="Arial"/>
          <w:i/>
          <w:sz w:val="20"/>
          <w:szCs w:val="22"/>
          <w:lang w:val="en-GB" w:eastAsia="ja-JP"/>
        </w:rPr>
        <w:t>Turtle Doves</w:t>
      </w:r>
      <w:r w:rsidR="009E54BD" w:rsidRPr="00C96521">
        <w:rPr>
          <w:rFonts w:eastAsia="MS Mincho" w:cs="Arial"/>
          <w:sz w:val="20"/>
          <w:szCs w:val="22"/>
          <w:lang w:val="en-GB" w:eastAsia="ja-JP"/>
        </w:rPr>
        <w:t xml:space="preserve"> </w:t>
      </w:r>
      <w:r w:rsidRPr="00C96521">
        <w:rPr>
          <w:rFonts w:eastAsia="MS Mincho" w:cs="Arial"/>
          <w:i/>
          <w:sz w:val="20"/>
          <w:szCs w:val="22"/>
          <w:lang w:val="en-GB" w:eastAsia="ja-JP"/>
        </w:rPr>
        <w:t>in EU Member States (Ireland and Sweden not included), north to south order (EU 2008). It is acknowledged that the breeding period data need to be updated in a systematic way to reflect changes in arrival and departure dates since 2008 (for example, the species now arrives in Hungary in mid-April).</w:t>
      </w:r>
    </w:p>
    <w:p w14:paraId="5F80F827"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71BCD0D3" w14:textId="66339A00" w:rsidR="00C96521" w:rsidRPr="00C96521" w:rsidRDefault="009E54BD"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Migrat</w:t>
      </w:r>
      <w:r>
        <w:rPr>
          <w:rFonts w:eastAsia="MS Mincho" w:cs="Arial"/>
          <w:sz w:val="20"/>
          <w:szCs w:val="22"/>
          <w:lang w:val="en-GB" w:eastAsia="ja-JP"/>
        </w:rPr>
        <w:t>ion</w:t>
      </w:r>
      <w:r w:rsidRPr="00C96521">
        <w:rPr>
          <w:rFonts w:eastAsia="MS Mincho" w:cs="Arial"/>
          <w:sz w:val="20"/>
          <w:szCs w:val="22"/>
          <w:lang w:val="en-GB" w:eastAsia="ja-JP"/>
        </w:rPr>
        <w:t xml:space="preserve"> </w:t>
      </w:r>
      <w:r w:rsidR="00C96521" w:rsidRPr="00C96521">
        <w:rPr>
          <w:rFonts w:eastAsia="MS Mincho" w:cs="Arial"/>
          <w:sz w:val="20"/>
          <w:szCs w:val="22"/>
          <w:lang w:val="en-GB" w:eastAsia="ja-JP"/>
        </w:rPr>
        <w:t xml:space="preserve">movements of populations breeding in the eastern part of the range are poorly understood. Birds ringed on passage in Ukraine in August were found in the eastern Mediterranean by September (Dubois 2002). In autumn, several million individuals have been observed crossing a 100km wide area in the Bagdad region of Iraq (Dubois 2002). Birds that breed in Croatia or cross Croatia have been found in southern Italy and Malta (five recoveries in total). One juvenile was ringed on 30 August in Croatia and found 19 days later on Lampedusa, Italy (Sanja Barišić </w:t>
      </w:r>
      <w:r w:rsidR="00C96521" w:rsidRPr="00C96521">
        <w:rPr>
          <w:rFonts w:eastAsia="MS Mincho" w:cs="Arial"/>
          <w:i/>
          <w:sz w:val="20"/>
          <w:szCs w:val="22"/>
          <w:lang w:val="en-GB" w:eastAsia="ja-JP"/>
        </w:rPr>
        <w:t>pers comm</w:t>
      </w:r>
      <w:r w:rsidR="00C96521" w:rsidRPr="00C96521">
        <w:rPr>
          <w:rFonts w:eastAsia="MS Mincho" w:cs="Arial"/>
          <w:sz w:val="20"/>
          <w:szCs w:val="22"/>
          <w:lang w:val="en-GB" w:eastAsia="ja-JP"/>
        </w:rPr>
        <w:t xml:space="preserve">). Similarly, the migratory patterns of the breeding population of </w:t>
      </w:r>
      <w:r w:rsidR="00C96521" w:rsidRPr="00C96521">
        <w:rPr>
          <w:rFonts w:eastAsia="MS Mincho" w:cs="Arial"/>
          <w:i/>
          <w:sz w:val="20"/>
          <w:szCs w:val="22"/>
          <w:lang w:val="en-GB" w:eastAsia="ja-JP"/>
        </w:rPr>
        <w:t>S. t. arenicola</w:t>
      </w:r>
      <w:r w:rsidR="00C96521" w:rsidRPr="00C96521">
        <w:rPr>
          <w:rFonts w:eastAsia="MS Mincho" w:cs="Arial"/>
          <w:sz w:val="20"/>
          <w:szCs w:val="22"/>
          <w:lang w:val="en-GB" w:eastAsia="ja-JP"/>
        </w:rPr>
        <w:t xml:space="preserve"> are very poorly known, and it is not clear whether these individuals use the same wintering grounds as </w:t>
      </w:r>
      <w:r w:rsidR="00C96521" w:rsidRPr="00C96521">
        <w:rPr>
          <w:rFonts w:eastAsia="MS Mincho" w:cs="Arial"/>
          <w:i/>
          <w:sz w:val="20"/>
          <w:szCs w:val="22"/>
          <w:lang w:val="en-GB" w:eastAsia="ja-JP"/>
        </w:rPr>
        <w:t>S. t. turtur</w:t>
      </w:r>
      <w:r w:rsidR="00C96521" w:rsidRPr="00C96521">
        <w:rPr>
          <w:rFonts w:eastAsia="MS Mincho" w:cs="Arial"/>
          <w:sz w:val="20"/>
          <w:szCs w:val="22"/>
          <w:lang w:val="en-GB" w:eastAsia="ja-JP"/>
        </w:rPr>
        <w:t xml:space="preserve"> (Hanane 2017).</w:t>
      </w:r>
    </w:p>
    <w:p w14:paraId="73A414A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8B84691"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8" w:name="_Toc478646903"/>
      <w:r w:rsidRPr="00C96521">
        <w:rPr>
          <w:rFonts w:ascii="Cambria" w:eastAsia="MS Gothic" w:hAnsi="Cambria"/>
          <w:b/>
          <w:bCs/>
          <w:color w:val="4F81BD"/>
          <w:sz w:val="26"/>
          <w:szCs w:val="26"/>
          <w:lang w:val="en-GB" w:eastAsia="ja-JP"/>
        </w:rPr>
        <w:t>Habitat requirements</w:t>
      </w:r>
      <w:bookmarkEnd w:id="18"/>
    </w:p>
    <w:p w14:paraId="5078200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B71E0BF" w14:textId="77892EFB"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Generally, the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Dove </w:t>
      </w:r>
      <w:r w:rsidRPr="00C96521">
        <w:rPr>
          <w:rFonts w:eastAsia="MS Mincho" w:cs="Arial"/>
          <w:sz w:val="20"/>
          <w:szCs w:val="22"/>
          <w:lang w:val="en-GB" w:eastAsia="ja-JP"/>
        </w:rPr>
        <w:t xml:space="preserve">nests in bushes/trees in landscapes with a rich, patchy habitat of open cultivated land for feeding, adjacent to wooded areas with trees and bushes in clumps (woods, copses, groves) or lines (riparian woodlands, hedges). </w:t>
      </w:r>
    </w:p>
    <w:p w14:paraId="4AC7D34E"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F0241F5" w14:textId="660FA43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the Mediterranean region, the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Dove</w:t>
      </w:r>
      <w:r w:rsidR="009E54BD"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may use a range of habitat types including woodland and orchards (Dias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2013). In the Iberian Peninsula, birds appear to prefer olive (</w:t>
      </w:r>
      <w:r w:rsidRPr="00C96521">
        <w:rPr>
          <w:rFonts w:eastAsia="MS Mincho" w:cs="Arial"/>
          <w:i/>
          <w:sz w:val="20"/>
          <w:szCs w:val="22"/>
          <w:lang w:val="en-GB" w:eastAsia="ja-JP"/>
        </w:rPr>
        <w:t>Olea europaea</w:t>
      </w:r>
      <w:r w:rsidRPr="00C96521">
        <w:rPr>
          <w:rFonts w:eastAsia="MS Mincho" w:cs="Arial"/>
          <w:sz w:val="20"/>
          <w:szCs w:val="22"/>
          <w:lang w:val="en-GB" w:eastAsia="ja-JP"/>
        </w:rPr>
        <w:t>) trees and evergreen/holm oak (</w:t>
      </w:r>
      <w:r w:rsidRPr="00C96521">
        <w:rPr>
          <w:rFonts w:eastAsia="MS Mincho" w:cs="Arial"/>
          <w:i/>
          <w:sz w:val="20"/>
          <w:szCs w:val="22"/>
          <w:lang w:val="en-GB" w:eastAsia="ja-JP"/>
        </w:rPr>
        <w:t>Quercus ilex</w:t>
      </w:r>
      <w:r w:rsidRPr="00C96521">
        <w:rPr>
          <w:rFonts w:eastAsia="MS Mincho" w:cs="Arial"/>
          <w:sz w:val="20"/>
          <w:szCs w:val="22"/>
          <w:lang w:val="en-GB" w:eastAsia="ja-JP"/>
        </w:rPr>
        <w:t xml:space="preserve">) (Icona 1989) over intensive orchards (Purroy 1997), abundance decreasing as cover increases, with abundance lower on open farmland owing to a scarcity of nesting sites (de Buruaga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2012). Abundance is also positively correlated to tree cover, particularly broadleaved forests and pine stands without woody understory, to cover by permanent crops, and to the density of woody linear habitats (Dias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2013). In Spain, a greater number of wild seed species was found in the diet in contrast to previous studies performed in farmland. </w:t>
      </w:r>
      <w:r w:rsidRPr="00C96521">
        <w:rPr>
          <w:rFonts w:eastAsia="MS Mincho" w:cs="Arial"/>
          <w:i/>
          <w:iCs/>
          <w:sz w:val="20"/>
          <w:szCs w:val="22"/>
          <w:lang w:val="en-GB" w:eastAsia="ja-JP"/>
        </w:rPr>
        <w:t>Echium plantagineum</w:t>
      </w:r>
      <w:r w:rsidRPr="00C96521">
        <w:rPr>
          <w:rFonts w:eastAsia="MS Mincho" w:cs="Arial"/>
          <w:sz w:val="20"/>
          <w:szCs w:val="22"/>
          <w:lang w:val="en-GB" w:eastAsia="ja-JP"/>
        </w:rPr>
        <w:t xml:space="preserve"> and </w:t>
      </w:r>
      <w:r w:rsidRPr="00C96521">
        <w:rPr>
          <w:rFonts w:eastAsia="MS Mincho" w:cs="Arial"/>
          <w:i/>
          <w:iCs/>
          <w:sz w:val="20"/>
          <w:szCs w:val="22"/>
          <w:lang w:val="en-GB" w:eastAsia="ja-JP"/>
        </w:rPr>
        <w:t>Amaranthus deflexus</w:t>
      </w:r>
      <w:r w:rsidRPr="00C96521">
        <w:rPr>
          <w:rFonts w:eastAsia="MS Mincho" w:cs="Arial"/>
          <w:sz w:val="20"/>
          <w:szCs w:val="22"/>
          <w:lang w:val="en-GB" w:eastAsia="ja-JP"/>
        </w:rPr>
        <w:t xml:space="preserve"> could be important seed sources for turtle-doves in Mediterranean forest. Additionally, herbaceous species whose seeds ripen earlier in the season may play an important role in turtle-dove reproductive performance, since they are frequently the only food sources available in the first half of the breeding season </w:t>
      </w:r>
      <w:r w:rsidRPr="00C96521">
        <w:rPr>
          <w:rFonts w:eastAsia="MS Mincho" w:cs="Arial"/>
          <w:sz w:val="20"/>
          <w:szCs w:val="20"/>
          <w:lang w:val="en-GB" w:eastAsia="ja-JP"/>
        </w:rPr>
        <w:t>(Gutiérrez-Galán and Alonso 2016)</w:t>
      </w:r>
      <w:r w:rsidRPr="00C96521">
        <w:rPr>
          <w:rFonts w:ascii="AdvOT46dcae81" w:eastAsia="MS Mincho" w:hAnsi="AdvOT46dcae81" w:cs="AdvOT46dcae81"/>
          <w:sz w:val="20"/>
          <w:szCs w:val="20"/>
          <w:lang w:val="en-GB" w:eastAsia="es-ES"/>
        </w:rPr>
        <w:t xml:space="preserve">. </w:t>
      </w:r>
      <w:r w:rsidRPr="00C96521">
        <w:rPr>
          <w:rFonts w:eastAsia="MS Mincho" w:cs="Arial"/>
          <w:sz w:val="20"/>
          <w:szCs w:val="22"/>
          <w:lang w:val="en-GB" w:eastAsia="ja-JP"/>
        </w:rPr>
        <w:t>In north-eastern Greece, the species prefers breeding in forest stands with a high density of medium-sized pines (</w:t>
      </w:r>
      <w:r w:rsidRPr="00C96521">
        <w:rPr>
          <w:rFonts w:eastAsia="MS Mincho" w:cs="Arial"/>
          <w:i/>
          <w:sz w:val="20"/>
          <w:szCs w:val="22"/>
          <w:lang w:val="en-GB" w:eastAsia="ja-JP"/>
        </w:rPr>
        <w:t>Pinus sp</w:t>
      </w:r>
      <w:r w:rsidRPr="00C96521">
        <w:rPr>
          <w:rFonts w:eastAsia="MS Mincho" w:cs="Arial"/>
          <w:sz w:val="20"/>
          <w:szCs w:val="22"/>
          <w:lang w:val="en-GB" w:eastAsia="ja-JP"/>
        </w:rPr>
        <w:t xml:space="preserve">) (21-30 cm in diameter at chest height) and a high percentage of canopy closure in the intermediate tree layer; it also avoids forest stands with a high percentage of canopy cover of shrubs (Bakaloudis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In Cyprus, the turtle-dove mainly breeds in wooded farmland with Turkish pine (</w:t>
      </w:r>
      <w:r w:rsidRPr="00C96521">
        <w:rPr>
          <w:rFonts w:eastAsia="MS Mincho" w:cs="Arial"/>
          <w:i/>
          <w:sz w:val="20"/>
          <w:szCs w:val="22"/>
          <w:lang w:val="en-GB" w:eastAsia="ja-JP"/>
        </w:rPr>
        <w:t>Pinus brutia</w:t>
      </w:r>
      <w:r w:rsidRPr="00C96521">
        <w:rPr>
          <w:rFonts w:eastAsia="MS Mincho" w:cs="Arial"/>
          <w:sz w:val="20"/>
          <w:szCs w:val="22"/>
          <w:lang w:val="en-GB" w:eastAsia="ja-JP"/>
        </w:rPr>
        <w:t>), olives, and almonds (</w:t>
      </w:r>
      <w:r w:rsidRPr="00C96521">
        <w:rPr>
          <w:rFonts w:eastAsia="MS Mincho" w:cs="Arial"/>
          <w:i/>
          <w:sz w:val="20"/>
          <w:szCs w:val="22"/>
          <w:lang w:val="en-GB" w:eastAsia="ja-JP"/>
        </w:rPr>
        <w:t>Prunus dulcis</w:t>
      </w:r>
      <w:r w:rsidRPr="00C96521">
        <w:rPr>
          <w:rFonts w:eastAsia="MS Mincho" w:cs="Arial"/>
          <w:sz w:val="20"/>
          <w:szCs w:val="22"/>
          <w:lang w:val="en-GB" w:eastAsia="ja-JP"/>
        </w:rPr>
        <w:t xml:space="preserve">) as the main nesting trees (Nicos Kassinis </w:t>
      </w:r>
      <w:r w:rsidRPr="00C96521">
        <w:rPr>
          <w:rFonts w:eastAsia="MS Mincho" w:cs="Arial"/>
          <w:i/>
          <w:sz w:val="20"/>
          <w:szCs w:val="22"/>
          <w:lang w:val="en-GB" w:eastAsia="ja-JP"/>
        </w:rPr>
        <w:t>unpublished</w:t>
      </w:r>
      <w:r w:rsidRPr="00C96521">
        <w:rPr>
          <w:rFonts w:eastAsia="MS Mincho" w:cs="Arial"/>
          <w:sz w:val="20"/>
          <w:szCs w:val="22"/>
          <w:lang w:val="en-GB" w:eastAsia="ja-JP"/>
        </w:rPr>
        <w:t xml:space="preserve">). </w:t>
      </w:r>
    </w:p>
    <w:p w14:paraId="44A9400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C0B09DE" w14:textId="1AF1384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Further north, hawthorn (</w:t>
      </w:r>
      <w:r w:rsidRPr="00C96521">
        <w:rPr>
          <w:rFonts w:eastAsia="MS Mincho" w:cs="Arial"/>
          <w:i/>
          <w:sz w:val="20"/>
          <w:szCs w:val="22"/>
          <w:lang w:val="en-GB" w:eastAsia="ja-JP"/>
        </w:rPr>
        <w:t>Crataegus monogyna</w:t>
      </w:r>
      <w:r w:rsidRPr="00C96521">
        <w:rPr>
          <w:rFonts w:eastAsia="MS Mincho" w:cs="Arial"/>
          <w:sz w:val="20"/>
          <w:szCs w:val="22"/>
          <w:lang w:val="en-GB" w:eastAsia="ja-JP"/>
        </w:rPr>
        <w:t>), hazel (</w:t>
      </w:r>
      <w:r w:rsidRPr="00C96521">
        <w:rPr>
          <w:rFonts w:eastAsia="MS Mincho" w:cs="Arial"/>
          <w:i/>
          <w:sz w:val="20"/>
          <w:szCs w:val="22"/>
          <w:lang w:val="en-GB" w:eastAsia="ja-JP"/>
        </w:rPr>
        <w:t>Corylus avellana</w:t>
      </w:r>
      <w:r w:rsidRPr="00C96521">
        <w:rPr>
          <w:rFonts w:eastAsia="MS Mincho" w:cs="Arial"/>
          <w:sz w:val="20"/>
          <w:szCs w:val="22"/>
          <w:lang w:val="en-GB" w:eastAsia="ja-JP"/>
        </w:rPr>
        <w:t>), blackthorn (</w:t>
      </w:r>
      <w:r w:rsidRPr="00C96521">
        <w:rPr>
          <w:rFonts w:eastAsia="MS Mincho" w:cs="Arial"/>
          <w:i/>
          <w:sz w:val="20"/>
          <w:szCs w:val="22"/>
          <w:lang w:val="en-GB" w:eastAsia="ja-JP"/>
        </w:rPr>
        <w:t>Prunus spinosa</w:t>
      </w:r>
      <w:r w:rsidRPr="00C96521">
        <w:rPr>
          <w:rFonts w:eastAsia="MS Mincho" w:cs="Arial"/>
          <w:sz w:val="20"/>
          <w:szCs w:val="22"/>
          <w:lang w:val="en-GB" w:eastAsia="ja-JP"/>
        </w:rPr>
        <w:t>) and elder (</w:t>
      </w:r>
      <w:r w:rsidRPr="00C96521">
        <w:rPr>
          <w:rFonts w:eastAsia="MS Mincho" w:cs="Arial"/>
          <w:i/>
          <w:sz w:val="20"/>
          <w:szCs w:val="22"/>
          <w:lang w:val="en-GB" w:eastAsia="ja-JP"/>
        </w:rPr>
        <w:t>Sambucus nigra</w:t>
      </w:r>
      <w:r w:rsidRPr="00C96521">
        <w:rPr>
          <w:rFonts w:eastAsia="MS Mincho" w:cs="Arial"/>
          <w:sz w:val="20"/>
          <w:szCs w:val="22"/>
          <w:lang w:val="en-GB" w:eastAsia="ja-JP"/>
        </w:rPr>
        <w:t>) provide most nesting sites, with attractiveness increasing when associated with brambles (</w:t>
      </w:r>
      <w:r w:rsidRPr="00C96521">
        <w:rPr>
          <w:rFonts w:eastAsia="MS Mincho" w:cs="Arial"/>
          <w:i/>
          <w:sz w:val="20"/>
          <w:szCs w:val="22"/>
          <w:lang w:val="en-GB" w:eastAsia="ja-JP"/>
        </w:rPr>
        <w:t>Rubus sp</w:t>
      </w:r>
      <w:r w:rsidRPr="00C96521">
        <w:rPr>
          <w:rFonts w:eastAsia="MS Mincho" w:cs="Arial"/>
          <w:sz w:val="20"/>
          <w:szCs w:val="22"/>
          <w:lang w:val="en-GB" w:eastAsia="ja-JP"/>
        </w:rPr>
        <w:t xml:space="preserve">) and other climbing plants, which can reinforce the structure of vegetation for the construction and protection of the nest (Murton 1968, Aubineau and Boutin 1998, Brown and Aebischer 2004). In north-western Europe, patchy woodland and farmland with hedges and wood plots are the main habitats, and again open farmland provides few nesting sites, although bare and fallow land have a positive influence as feeding areas (van den Brink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1996, Dunn and Morris 2012), as do dehesa (a traditional Mediterranean silvo-pastoral system) with cereals in Iberia (Rocha and Hidalgo 2002a). The small Danish population inhabits young coniferous plantations on sandy soils (J</w:t>
      </w:r>
      <w:r w:rsidR="009E54BD">
        <w:rPr>
          <w:rFonts w:eastAsia="MS Mincho" w:cs="Arial"/>
          <w:sz w:val="20"/>
          <w:szCs w:val="22"/>
          <w:lang w:val="en-GB" w:eastAsia="ja-JP"/>
        </w:rPr>
        <w:t>.</w:t>
      </w:r>
      <w:r w:rsidRPr="00C96521">
        <w:rPr>
          <w:rFonts w:eastAsia="MS Mincho" w:cs="Arial"/>
          <w:sz w:val="20"/>
          <w:szCs w:val="22"/>
          <w:lang w:val="en-GB" w:eastAsia="ja-JP"/>
        </w:rPr>
        <w:t xml:space="preserve"> Tofft </w:t>
      </w:r>
      <w:r w:rsidRPr="00C96521">
        <w:rPr>
          <w:rFonts w:eastAsia="MS Mincho" w:cs="Arial"/>
          <w:i/>
          <w:sz w:val="20"/>
          <w:szCs w:val="22"/>
          <w:lang w:val="en-GB" w:eastAsia="ja-JP"/>
        </w:rPr>
        <w:t>unpublished</w:t>
      </w:r>
      <w:r w:rsidRPr="00C96521">
        <w:rPr>
          <w:rFonts w:eastAsia="MS Mincho" w:cs="Arial"/>
          <w:sz w:val="20"/>
          <w:szCs w:val="22"/>
          <w:lang w:val="en-GB" w:eastAsia="ja-JP"/>
        </w:rPr>
        <w:t xml:space="preserve">), while in Estonia the species breeds mainly at forest edges close to farmland, and can also be found in forest clear-cuts (Jaanus Elts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w:t>
      </w:r>
    </w:p>
    <w:p w14:paraId="3E8646A4"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050D5DF" w14:textId="76841D72"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the Baltic States, Belarus, </w:t>
      </w:r>
      <w:r w:rsidR="009E54BD">
        <w:rPr>
          <w:rFonts w:eastAsia="MS Mincho" w:cs="Arial"/>
          <w:sz w:val="20"/>
          <w:szCs w:val="22"/>
          <w:lang w:val="en-GB" w:eastAsia="ja-JP"/>
        </w:rPr>
        <w:t xml:space="preserve">the </w:t>
      </w:r>
      <w:r w:rsidRPr="00C96521">
        <w:rPr>
          <w:rFonts w:eastAsia="MS Mincho" w:cs="Arial"/>
          <w:sz w:val="20"/>
          <w:szCs w:val="22"/>
          <w:lang w:val="en-GB" w:eastAsia="ja-JP"/>
        </w:rPr>
        <w:t>Russia</w:t>
      </w:r>
      <w:r w:rsidR="009E54BD">
        <w:rPr>
          <w:rFonts w:eastAsia="MS Mincho" w:cs="Arial"/>
          <w:sz w:val="20"/>
          <w:szCs w:val="22"/>
          <w:lang w:val="en-GB" w:eastAsia="ja-JP"/>
        </w:rPr>
        <w:t>n Federation</w:t>
      </w:r>
      <w:r w:rsidRPr="00C96521">
        <w:rPr>
          <w:rFonts w:eastAsia="MS Mincho" w:cs="Arial"/>
          <w:sz w:val="20"/>
          <w:szCs w:val="22"/>
          <w:lang w:val="en-GB" w:eastAsia="ja-JP"/>
        </w:rPr>
        <w:t xml:space="preserve">, and Ukraine, the species typically uses forest habitats composed of scattered pine forests or other coniferous trees in the north of the range and more </w:t>
      </w:r>
      <w:r w:rsidRPr="00C96521">
        <w:rPr>
          <w:rFonts w:eastAsia="MS Mincho" w:cs="Arial"/>
          <w:sz w:val="20"/>
          <w:szCs w:val="22"/>
          <w:lang w:val="en-GB" w:eastAsia="ja-JP"/>
        </w:rPr>
        <w:lastRenderedPageBreak/>
        <w:t>deciduous forests in the south (Rouxel 2000). However, it avoids dense coniferous forests and mature timber. In Kazakhstan it is known to nest in desert habitats provided trees or shrubs and water sources are present or nearby (Rouxel 2000).</w:t>
      </w:r>
    </w:p>
    <w:p w14:paraId="7829B31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2C936F9" w14:textId="3B97EC2B"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Morocco, the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 </w:t>
      </w:r>
      <w:r w:rsidRPr="00C96521">
        <w:rPr>
          <w:rFonts w:eastAsia="MS Mincho" w:cs="Arial"/>
          <w:sz w:val="20"/>
          <w:szCs w:val="22"/>
          <w:lang w:val="en-GB" w:eastAsia="ja-JP"/>
        </w:rPr>
        <w:t>breeds in olive and orange (</w:t>
      </w:r>
      <w:r w:rsidRPr="00C96521">
        <w:rPr>
          <w:rFonts w:eastAsia="MS Mincho" w:cs="Arial"/>
          <w:i/>
          <w:sz w:val="20"/>
          <w:szCs w:val="22"/>
          <w:lang w:val="en-GB" w:eastAsia="ja-JP"/>
        </w:rPr>
        <w:t>Citrus</w:t>
      </w:r>
      <w:r w:rsidRPr="00C96521">
        <w:rPr>
          <w:rFonts w:eastAsia="MS Mincho" w:cs="Arial"/>
          <w:sz w:val="20"/>
          <w:szCs w:val="22"/>
          <w:lang w:val="en-GB" w:eastAsia="ja-JP"/>
        </w:rPr>
        <w:t xml:space="preserve"> </w:t>
      </w:r>
      <w:r w:rsidRPr="00C96521">
        <w:rPr>
          <w:rFonts w:eastAsia="MS Mincho" w:cs="Arial"/>
          <w:i/>
          <w:sz w:val="20"/>
          <w:szCs w:val="22"/>
          <w:lang w:val="en-GB" w:eastAsia="ja-JP"/>
        </w:rPr>
        <w:t>sp</w:t>
      </w:r>
      <w:r w:rsidRPr="00C96521">
        <w:rPr>
          <w:rFonts w:eastAsia="MS Mincho" w:cs="Arial"/>
          <w:sz w:val="20"/>
          <w:szCs w:val="22"/>
          <w:lang w:val="en-GB" w:eastAsia="ja-JP"/>
        </w:rPr>
        <w:t>) orchards. Large areas of olive groves in Morocco are found in close proximity to irrigated areas with available water and cereal crops providing suitable foraging and nesting sites for the species (Hanane 2012a). However, a recent study found the density of nests was 68</w:t>
      </w:r>
      <w:r w:rsidR="009E54BD">
        <w:rPr>
          <w:rFonts w:eastAsia="MS Mincho" w:cs="Arial"/>
          <w:sz w:val="20"/>
          <w:szCs w:val="22"/>
          <w:lang w:val="en-GB" w:eastAsia="ja-JP"/>
        </w:rPr>
        <w:t xml:space="preserve"> per cent</w:t>
      </w:r>
      <w:r w:rsidRPr="00C96521">
        <w:rPr>
          <w:rFonts w:eastAsia="MS Mincho" w:cs="Arial"/>
          <w:sz w:val="20"/>
          <w:szCs w:val="22"/>
          <w:lang w:val="en-GB" w:eastAsia="ja-JP"/>
        </w:rPr>
        <w:t xml:space="preserve"> higher in orange than olive orchards (Hanane 2016a). Landscapes of fruit orchards, cereal crops and available water sources in North Africa represent favourable breeding and foraging habitat for the species (Hanane 2012b, Kafi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2015). Irrigated orchards in Morocco support large numbers of turtle-dove (~60,000 pairs in the Tadla area alone) (Hanane 2012b), while the importance of areas outside of irrigation is unknown (Hanane 2017).</w:t>
      </w:r>
    </w:p>
    <w:p w14:paraId="2C4EEDC3"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B041CB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The species also feeds on cultivated cereals, with seeds that remain on the ground post-harvest forming an important resource before migration (Dubois 2002, Dias and Fontoura 1996). A loss of agricultural weeds, bare and fallow land may have reduced food availability for the species.</w:t>
      </w:r>
    </w:p>
    <w:p w14:paraId="17CD9DC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6299482" w14:textId="454A1C5D"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Suitable wintering habitat appears to be defined by an abundant food supply, available drinking water and large trees or patches of woodland. Where one of these three key factors is absent, the species will typically only use the habitat temporarily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In winter, the amount of cereal seeds produced annually in the Mali-Senegal area has been suggested to be a significant predictor of survival rate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at least in the short-term, although cereal production increased in West Africa since the 1970s and turtle-dove populations have continued to decline (Raffael Ayé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Birds tend to use </w:t>
      </w:r>
      <w:r w:rsidRPr="00C96521">
        <w:rPr>
          <w:rFonts w:eastAsia="MS Mincho" w:cs="Arial"/>
          <w:i/>
          <w:sz w:val="20"/>
          <w:szCs w:val="22"/>
          <w:lang w:val="en-GB" w:eastAsia="ja-JP"/>
        </w:rPr>
        <w:t>Acacia</w:t>
      </w:r>
      <w:r w:rsidRPr="00C96521">
        <w:rPr>
          <w:rFonts w:eastAsia="MS Mincho" w:cs="Arial"/>
          <w:sz w:val="20"/>
          <w:szCs w:val="22"/>
          <w:lang w:val="en-GB" w:eastAsia="ja-JP"/>
        </w:rPr>
        <w:t xml:space="preserve"> </w:t>
      </w:r>
      <w:r w:rsidRPr="00C96521">
        <w:rPr>
          <w:rFonts w:eastAsia="MS Mincho" w:cs="Arial"/>
          <w:i/>
          <w:sz w:val="20"/>
          <w:szCs w:val="22"/>
          <w:lang w:val="en-GB" w:eastAsia="ja-JP"/>
        </w:rPr>
        <w:t>sp</w:t>
      </w:r>
      <w:r w:rsidRPr="00C96521">
        <w:rPr>
          <w:rFonts w:eastAsia="MS Mincho" w:cs="Arial"/>
          <w:sz w:val="20"/>
          <w:szCs w:val="22"/>
          <w:lang w:val="en-GB" w:eastAsia="ja-JP"/>
        </w:rPr>
        <w:t xml:space="preserve"> scrub as their major roosting sites and tracking has confirmed that a readily available water source, cultivated sorghum (</w:t>
      </w:r>
      <w:r w:rsidRPr="00C96521">
        <w:rPr>
          <w:rFonts w:eastAsia="MS Mincho" w:cs="Arial"/>
          <w:i/>
          <w:sz w:val="20"/>
          <w:szCs w:val="22"/>
          <w:lang w:val="en-GB" w:eastAsia="ja-JP"/>
        </w:rPr>
        <w:t>Sorghum</w:t>
      </w:r>
      <w:r w:rsidRPr="00C96521">
        <w:rPr>
          <w:rFonts w:eastAsia="MS Mincho" w:cs="Arial"/>
          <w:sz w:val="20"/>
          <w:szCs w:val="22"/>
          <w:lang w:val="en-GB" w:eastAsia="ja-JP"/>
        </w:rPr>
        <w:t xml:space="preserve"> </w:t>
      </w:r>
      <w:r w:rsidRPr="00C96521">
        <w:rPr>
          <w:rFonts w:eastAsia="MS Mincho" w:cs="Arial"/>
          <w:i/>
          <w:sz w:val="20"/>
          <w:szCs w:val="22"/>
          <w:lang w:val="en-GB" w:eastAsia="ja-JP"/>
        </w:rPr>
        <w:t>sp</w:t>
      </w:r>
      <w:r w:rsidRPr="00C96521">
        <w:rPr>
          <w:rFonts w:eastAsia="MS Mincho" w:cs="Arial"/>
          <w:sz w:val="20"/>
          <w:szCs w:val="22"/>
          <w:lang w:val="en-GB" w:eastAsia="ja-JP"/>
        </w:rPr>
        <w:t>), millet and peanut (</w:t>
      </w:r>
      <w:r w:rsidRPr="00C96521">
        <w:rPr>
          <w:rFonts w:eastAsia="MS Mincho" w:cs="Arial"/>
          <w:i/>
          <w:sz w:val="20"/>
          <w:szCs w:val="22"/>
          <w:lang w:val="en-GB" w:eastAsia="ja-JP"/>
        </w:rPr>
        <w:t>Arachis hypogaea</w:t>
      </w:r>
      <w:r w:rsidRPr="00C96521">
        <w:rPr>
          <w:rFonts w:eastAsia="MS Mincho" w:cs="Arial"/>
          <w:sz w:val="20"/>
          <w:szCs w:val="22"/>
          <w:lang w:val="en-GB" w:eastAsia="ja-JP"/>
        </w:rPr>
        <w:t xml:space="preserve">) fields, or natural scrubby grassland may be important for the species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RSPB 2016). On the wintering grounds, the species is known to feed on a diverse range of grains including: </w:t>
      </w:r>
      <w:r w:rsidRPr="00C96521">
        <w:rPr>
          <w:rFonts w:eastAsia="MS Mincho" w:cs="Arial"/>
          <w:i/>
          <w:sz w:val="20"/>
          <w:szCs w:val="22"/>
          <w:lang w:val="en-GB" w:eastAsia="ja-JP"/>
        </w:rPr>
        <w:t>Panicum laetum, Tribulus terrestris</w:t>
      </w:r>
      <w:r w:rsidRPr="00C96521">
        <w:rPr>
          <w:rFonts w:eastAsia="MS Mincho" w:cs="Arial"/>
          <w:sz w:val="20"/>
          <w:szCs w:val="22"/>
          <w:lang w:val="en-GB" w:eastAsia="ja-JP"/>
        </w:rPr>
        <w:t xml:space="preserve"> and </w:t>
      </w:r>
      <w:r w:rsidRPr="00C96521">
        <w:rPr>
          <w:rFonts w:eastAsia="MS Mincho" w:cs="Arial"/>
          <w:i/>
          <w:sz w:val="20"/>
          <w:szCs w:val="22"/>
          <w:lang w:val="en-GB" w:eastAsia="ja-JP"/>
        </w:rPr>
        <w:t>Echinocloa colona</w:t>
      </w:r>
      <w:r w:rsidRPr="00C96521">
        <w:rPr>
          <w:rFonts w:eastAsia="MS Mincho" w:cs="Arial"/>
          <w:sz w:val="20"/>
          <w:szCs w:val="22"/>
          <w:lang w:val="en-GB" w:eastAsia="ja-JP"/>
        </w:rPr>
        <w:t xml:space="preserve"> (Dubois 2002). In years with low rainfall </w:t>
      </w:r>
      <w:r w:rsidRPr="00C96521">
        <w:rPr>
          <w:rFonts w:eastAsia="MS Mincho" w:cs="Arial"/>
          <w:i/>
          <w:sz w:val="20"/>
          <w:szCs w:val="22"/>
          <w:lang w:val="en-GB" w:eastAsia="ja-JP"/>
        </w:rPr>
        <w:t>T. terrestris</w:t>
      </w:r>
      <w:r w:rsidRPr="00C96521">
        <w:rPr>
          <w:rFonts w:eastAsia="MS Mincho" w:cs="Arial"/>
          <w:sz w:val="20"/>
          <w:szCs w:val="22"/>
          <w:lang w:val="en-GB" w:eastAsia="ja-JP"/>
        </w:rPr>
        <w:t xml:space="preserve"> becomes more prevalent in the species’ diet, but it is of low nutritional value (Dubois 2002,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Spilt rice grain (</w:t>
      </w:r>
      <w:r w:rsidRPr="00C96521">
        <w:rPr>
          <w:rFonts w:eastAsia="MS Mincho" w:cs="Arial"/>
          <w:i/>
          <w:sz w:val="20"/>
          <w:szCs w:val="22"/>
          <w:lang w:val="en-GB" w:eastAsia="ja-JP"/>
        </w:rPr>
        <w:t>Oryza</w:t>
      </w:r>
      <w:r w:rsidRPr="00C96521">
        <w:rPr>
          <w:rFonts w:eastAsia="MS Mincho" w:cs="Arial"/>
          <w:sz w:val="20"/>
          <w:szCs w:val="22"/>
          <w:lang w:val="en-GB" w:eastAsia="ja-JP"/>
        </w:rPr>
        <w:t xml:space="preserve"> </w:t>
      </w:r>
      <w:r w:rsidRPr="00C96521">
        <w:rPr>
          <w:rFonts w:eastAsia="MS Mincho" w:cs="Arial"/>
          <w:i/>
          <w:sz w:val="20"/>
          <w:szCs w:val="22"/>
          <w:lang w:val="en-GB" w:eastAsia="ja-JP"/>
        </w:rPr>
        <w:t>sp</w:t>
      </w:r>
      <w:r w:rsidRPr="00C96521">
        <w:rPr>
          <w:rFonts w:eastAsia="MS Mincho" w:cs="Arial"/>
          <w:sz w:val="20"/>
          <w:szCs w:val="22"/>
          <w:lang w:val="en-GB" w:eastAsia="ja-JP"/>
        </w:rPr>
        <w:t xml:space="preserve">) in time of drought is also of vital importance. In Senegal, the species uses rice fields where it feeds on grass seeds prior to harvest and spilt grains following harvest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In Burkina Faso and Guinea Bissau, the species has been observed at wetland sites and rice fields and is known to roost in stands of </w:t>
      </w:r>
      <w:r w:rsidRPr="00C96521">
        <w:rPr>
          <w:rFonts w:eastAsia="MS Mincho" w:cs="Arial"/>
          <w:i/>
          <w:sz w:val="20"/>
          <w:szCs w:val="22"/>
          <w:lang w:val="en-GB" w:eastAsia="ja-JP"/>
        </w:rPr>
        <w:t>Acacia seyal</w:t>
      </w:r>
      <w:r w:rsidRPr="00C96521">
        <w:rPr>
          <w:rFonts w:eastAsia="MS Mincho" w:cs="Arial"/>
          <w:sz w:val="20"/>
          <w:szCs w:val="22"/>
          <w:lang w:val="en-GB" w:eastAsia="ja-JP"/>
        </w:rPr>
        <w:t xml:space="preserve"> (Carvalho and Dias 2003,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In both Nigeria and Mali, birds have been seen feeding on open treeless plains in the heat of the middle of the day, possibly a strategy either to avoid competition with other dove and pigeon species or to fatten up before the northward migration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although in October-December in parts of the Sahel it is not excessively hot in the middle of the day, so turtle-dove may not be exposed to extreme temperatures (Joost Brouwer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In </w:t>
      </w:r>
      <w:r w:rsidR="009E54BD">
        <w:rPr>
          <w:rFonts w:eastAsia="MS Mincho" w:cs="Arial"/>
          <w:sz w:val="20"/>
          <w:szCs w:val="22"/>
          <w:lang w:val="en-GB" w:eastAsia="ja-JP"/>
        </w:rPr>
        <w:t>t</w:t>
      </w:r>
      <w:r w:rsidRPr="00C96521">
        <w:rPr>
          <w:rFonts w:eastAsia="MS Mincho" w:cs="Arial"/>
          <w:sz w:val="20"/>
          <w:szCs w:val="22"/>
          <w:lang w:val="en-GB" w:eastAsia="ja-JP"/>
        </w:rPr>
        <w:t xml:space="preserve">he Gambia, the species has been recorded resting in the shrubs </w:t>
      </w:r>
      <w:r w:rsidRPr="00C96521">
        <w:rPr>
          <w:rFonts w:eastAsia="MS Mincho" w:cs="Arial"/>
          <w:i/>
          <w:sz w:val="20"/>
          <w:szCs w:val="22"/>
          <w:lang w:val="en-GB" w:eastAsia="ja-JP"/>
        </w:rPr>
        <w:t>Tamarix senegalensis</w:t>
      </w:r>
      <w:r w:rsidRPr="00C96521">
        <w:rPr>
          <w:rFonts w:eastAsia="MS Mincho" w:cs="Arial"/>
          <w:sz w:val="20"/>
          <w:szCs w:val="22"/>
          <w:lang w:val="en-GB" w:eastAsia="ja-JP"/>
        </w:rPr>
        <w:t xml:space="preserve"> and </w:t>
      </w:r>
      <w:r w:rsidRPr="00C96521">
        <w:rPr>
          <w:rFonts w:eastAsia="MS Mincho" w:cs="Arial"/>
          <w:i/>
          <w:sz w:val="20"/>
          <w:szCs w:val="22"/>
          <w:lang w:val="en-GB" w:eastAsia="ja-JP"/>
        </w:rPr>
        <w:t xml:space="preserve">Mitragyna inermis </w:t>
      </w:r>
      <w:r w:rsidRPr="00C96521">
        <w:rPr>
          <w:rFonts w:eastAsia="MS Mincho" w:cs="Arial"/>
          <w:sz w:val="20"/>
          <w:szCs w:val="22"/>
          <w:lang w:val="en-GB" w:eastAsia="ja-JP"/>
        </w:rPr>
        <w:t xml:space="preserve">(Clive R Barlow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as well as in rice fields (Lamin Jobaate </w:t>
      </w:r>
      <w:r w:rsidRPr="00C96521">
        <w:rPr>
          <w:rFonts w:eastAsia="MS Mincho" w:cs="Arial"/>
          <w:i/>
          <w:sz w:val="20"/>
          <w:szCs w:val="22"/>
          <w:lang w:val="en-GB" w:eastAsia="ja-JP"/>
        </w:rPr>
        <w:t>pers comm</w:t>
      </w:r>
      <w:r w:rsidRPr="00C96521">
        <w:rPr>
          <w:rFonts w:eastAsia="MS Mincho" w:cs="Arial"/>
          <w:sz w:val="20"/>
          <w:szCs w:val="22"/>
          <w:lang w:val="en-GB" w:eastAsia="ja-JP"/>
        </w:rPr>
        <w:t>).</w:t>
      </w:r>
    </w:p>
    <w:p w14:paraId="44331D3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7F38BBB"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19" w:name="_Toc478646904"/>
      <w:r w:rsidRPr="00C96521">
        <w:rPr>
          <w:rFonts w:ascii="Cambria" w:eastAsia="MS Gothic" w:hAnsi="Cambria"/>
          <w:b/>
          <w:bCs/>
          <w:color w:val="4F81BD"/>
          <w:sz w:val="26"/>
          <w:szCs w:val="26"/>
          <w:lang w:val="en-GB" w:eastAsia="ja-JP"/>
        </w:rPr>
        <w:t>Breakdown of turtle-dove habitat use across Europe</w:t>
      </w:r>
      <w:bookmarkEnd w:id="19"/>
    </w:p>
    <w:p w14:paraId="5544883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12A3C1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France/Portugal/Spain</w:t>
      </w:r>
    </w:p>
    <w:p w14:paraId="0C4FE1E0"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6F990598"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In France, Portugal and Spain the species uses a mixture of habitats interspersed with agricultural land.</w:t>
      </w:r>
    </w:p>
    <w:p w14:paraId="5C78936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8BBA193"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sz w:val="20"/>
          <w:szCs w:val="22"/>
          <w:lang w:val="en-GB" w:eastAsia="ja-JP"/>
        </w:rPr>
        <w:t>In France, the species is reported to use fragmented landscapes, forest edges, woodland, copses (small groups of trees) and hedges (Bacon 2012), particularly those in close proximity to grain crops, oilseed rape (</w:t>
      </w:r>
      <w:r w:rsidRPr="00C96521">
        <w:rPr>
          <w:rFonts w:eastAsia="MS Mincho"/>
          <w:i/>
          <w:sz w:val="20"/>
          <w:szCs w:val="22"/>
          <w:lang w:val="en-GB" w:eastAsia="ja-JP"/>
        </w:rPr>
        <w:t xml:space="preserve">Brassica napus) </w:t>
      </w:r>
      <w:r w:rsidRPr="00C96521">
        <w:rPr>
          <w:rFonts w:eastAsia="MS Mincho"/>
          <w:sz w:val="20"/>
          <w:szCs w:val="22"/>
          <w:lang w:val="en-GB" w:eastAsia="ja-JP"/>
        </w:rPr>
        <w:t>and sunflower (</w:t>
      </w:r>
      <w:r w:rsidRPr="00C96521">
        <w:rPr>
          <w:rFonts w:eastAsia="MS Mincho"/>
          <w:i/>
          <w:sz w:val="20"/>
          <w:szCs w:val="22"/>
          <w:lang w:val="en-GB" w:eastAsia="ja-JP"/>
        </w:rPr>
        <w:t>Helianthus sp</w:t>
      </w:r>
      <w:r w:rsidRPr="00C96521">
        <w:rPr>
          <w:rFonts w:eastAsia="MS Mincho"/>
          <w:sz w:val="20"/>
          <w:szCs w:val="22"/>
          <w:lang w:val="en-GB" w:eastAsia="ja-JP"/>
        </w:rPr>
        <w:t xml:space="preserve">) fields (Dubois </w:t>
      </w:r>
      <w:r w:rsidRPr="00C96521">
        <w:rPr>
          <w:rFonts w:eastAsia="MS Mincho"/>
          <w:i/>
          <w:sz w:val="20"/>
          <w:szCs w:val="22"/>
          <w:lang w:val="en-GB" w:eastAsia="ja-JP"/>
        </w:rPr>
        <w:t>et al</w:t>
      </w:r>
      <w:r w:rsidRPr="00C96521">
        <w:rPr>
          <w:rFonts w:eastAsia="MS Mincho"/>
          <w:sz w:val="20"/>
          <w:szCs w:val="22"/>
          <w:lang w:val="en-GB" w:eastAsia="ja-JP"/>
        </w:rPr>
        <w:t xml:space="preserve"> 2008). It nests in shrubs, particularly thorny species such as hawthorn and blackthorn.</w:t>
      </w:r>
      <w:r w:rsidRPr="00C96521">
        <w:rPr>
          <w:rFonts w:eastAsia="MS Mincho" w:cs="Arial"/>
          <w:sz w:val="20"/>
          <w:szCs w:val="22"/>
          <w:lang w:val="en-GB" w:eastAsia="ja-JP"/>
        </w:rPr>
        <w:t xml:space="preserve"> The following plants have been identified as food sources for the species in France: </w:t>
      </w:r>
      <w:r w:rsidRPr="00C96521">
        <w:rPr>
          <w:rFonts w:eastAsia="MS Mincho" w:cs="Arial"/>
          <w:i/>
          <w:sz w:val="20"/>
          <w:szCs w:val="22"/>
          <w:lang w:val="en-GB" w:eastAsia="ja-JP"/>
        </w:rPr>
        <w:t xml:space="preserve">Vicia cracca, Galeopsis speciosa, Cirsium arvense, Ulmus laevis, Amaranthus retroflexus, Euphorbia virgata, Setaria glauca, Pinus sylvestris, Lycopsis arvensis, Fagopyrum sp, Reseda lutea, Silene vulgaris, </w:t>
      </w:r>
      <w:r w:rsidRPr="006437E1">
        <w:rPr>
          <w:rFonts w:eastAsia="MS Mincho" w:cs="Arial"/>
          <w:sz w:val="20"/>
          <w:szCs w:val="22"/>
          <w:lang w:val="en-GB" w:eastAsia="ja-JP"/>
        </w:rPr>
        <w:t>and</w:t>
      </w:r>
      <w:r w:rsidRPr="00C96521">
        <w:rPr>
          <w:rFonts w:eastAsia="MS Mincho" w:cs="Arial"/>
          <w:i/>
          <w:sz w:val="20"/>
          <w:szCs w:val="22"/>
          <w:lang w:val="en-GB" w:eastAsia="ja-JP"/>
        </w:rPr>
        <w:t xml:space="preserve"> Echinochloa crus-galli</w:t>
      </w:r>
      <w:r w:rsidRPr="00C96521">
        <w:rPr>
          <w:rFonts w:eastAsia="MS Mincho" w:cs="Arial"/>
          <w:sz w:val="20"/>
          <w:szCs w:val="22"/>
          <w:lang w:val="en-GB" w:eastAsia="ja-JP"/>
        </w:rPr>
        <w:t xml:space="preserve"> (Dubois 2002). </w:t>
      </w:r>
    </w:p>
    <w:p w14:paraId="71323EF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FA79820" w14:textId="43D42B4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Portugal, </w:t>
      </w:r>
      <w:r w:rsidR="009E54BD">
        <w:rPr>
          <w:rFonts w:eastAsia="MS Mincho"/>
          <w:sz w:val="20"/>
          <w:szCs w:val="22"/>
          <w:lang w:val="en-GB" w:eastAsia="ja-JP"/>
        </w:rPr>
        <w:t xml:space="preserve">the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 </w:t>
      </w:r>
      <w:r w:rsidRPr="00C96521">
        <w:rPr>
          <w:rFonts w:eastAsia="MS Mincho"/>
          <w:sz w:val="20"/>
          <w:szCs w:val="22"/>
          <w:lang w:val="en-GB" w:eastAsia="ja-JP"/>
        </w:rPr>
        <w:t xml:space="preserve">shows a preference for forests and agricultural landscapes with trees (Dias </w:t>
      </w:r>
      <w:r w:rsidRPr="00C96521">
        <w:rPr>
          <w:rFonts w:eastAsia="MS Mincho"/>
          <w:i/>
          <w:sz w:val="20"/>
          <w:szCs w:val="22"/>
          <w:lang w:val="en-GB" w:eastAsia="ja-JP"/>
        </w:rPr>
        <w:t>et al</w:t>
      </w:r>
      <w:r w:rsidRPr="00C96521">
        <w:rPr>
          <w:rFonts w:eastAsia="MS Mincho"/>
          <w:sz w:val="20"/>
          <w:szCs w:val="22"/>
          <w:lang w:val="en-GB" w:eastAsia="ja-JP"/>
        </w:rPr>
        <w:t xml:space="preserve"> 2013). Forested habitats are the main breeding habitat, pine forest with no shrub understorey and small patches of forest in complex patchy landscapes being the most important habitats for the species. In agricultural landscapes, permanent crops (e</w:t>
      </w:r>
      <w:r w:rsidR="009E54BD">
        <w:rPr>
          <w:rFonts w:eastAsia="MS Mincho"/>
          <w:sz w:val="20"/>
          <w:szCs w:val="22"/>
          <w:lang w:val="en-GB" w:eastAsia="ja-JP"/>
        </w:rPr>
        <w:t>.</w:t>
      </w:r>
      <w:r w:rsidRPr="00C96521">
        <w:rPr>
          <w:rFonts w:eastAsia="MS Mincho"/>
          <w:sz w:val="20"/>
          <w:szCs w:val="22"/>
          <w:lang w:val="en-GB" w:eastAsia="ja-JP"/>
        </w:rPr>
        <w:t>g</w:t>
      </w:r>
      <w:r w:rsidR="009E54BD">
        <w:rPr>
          <w:rFonts w:eastAsia="MS Mincho"/>
          <w:sz w:val="20"/>
          <w:szCs w:val="22"/>
          <w:lang w:val="en-GB" w:eastAsia="ja-JP"/>
        </w:rPr>
        <w:t>.</w:t>
      </w:r>
      <w:r w:rsidRPr="00C96521">
        <w:rPr>
          <w:rFonts w:eastAsia="MS Mincho"/>
          <w:sz w:val="20"/>
          <w:szCs w:val="22"/>
          <w:lang w:val="en-GB" w:eastAsia="ja-JP"/>
        </w:rPr>
        <w:t xml:space="preserve"> orchards, traditional olive groves, oranges) are also used for breeding. Abundance is positively associated with forest cover, particularly broadleaved forests, and by pine stands without woody under-storeys, permanent crops and with a high density of woody linear habitats (Dias </w:t>
      </w:r>
      <w:r w:rsidRPr="00C96521">
        <w:rPr>
          <w:rFonts w:eastAsia="MS Mincho"/>
          <w:i/>
          <w:sz w:val="20"/>
          <w:szCs w:val="22"/>
          <w:lang w:val="en-GB" w:eastAsia="ja-JP"/>
        </w:rPr>
        <w:t>et al</w:t>
      </w:r>
      <w:r w:rsidRPr="00C96521">
        <w:rPr>
          <w:rFonts w:eastAsia="MS Mincho"/>
          <w:sz w:val="20"/>
          <w:szCs w:val="22"/>
          <w:lang w:val="en-GB" w:eastAsia="ja-JP"/>
        </w:rPr>
        <w:t xml:space="preserve"> 2013). The absence of a woody under-storey mostly results from management to reduce fire risk. Broadleaved forests were primarily stands dominated by oak (</w:t>
      </w:r>
      <w:r w:rsidRPr="00C96521">
        <w:rPr>
          <w:rFonts w:eastAsia="MS Mincho"/>
          <w:i/>
          <w:sz w:val="20"/>
          <w:szCs w:val="22"/>
          <w:lang w:val="en-GB" w:eastAsia="ja-JP"/>
        </w:rPr>
        <w:t>Quercus</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permanent crops were mostly olive and other orchards, woody linear habitats were mostly tree lines, hedgerows and riparian galleries, which are often associated with agricultural habitats. In the south (Algarve), the species is more abundant in typical ‘Barrocal’ vegetation (a mixture of Mediterranean shrubs and trees). It nests in trees (pines, oaks and fruit trees) but also in woody shrubs with a complex array of branches (Dias 2016).</w:t>
      </w:r>
    </w:p>
    <w:p w14:paraId="4B83D53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B97BE21"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Spain, a recent analysis of common bird monitoring data found that regional population declines were significantly related to trends in forest and sunflower cover and pasture cover (SEO/BirdLife 2016a). Population declines were less strong in regions where the area of forests and sunflowers had increased and where pastures were more abundant. Important declines occurred in areas with a high cover of forested habitats as well as in agricultural areas. In the north of the country, forested areas were the principal breeding habitat for the turtle-dove population (Sáenz de Buruaga </w:t>
      </w:r>
      <w:r w:rsidRPr="00C96521">
        <w:rPr>
          <w:rFonts w:eastAsia="MS Mincho"/>
          <w:i/>
          <w:sz w:val="20"/>
          <w:szCs w:val="22"/>
          <w:lang w:val="en-GB" w:eastAsia="ja-JP"/>
        </w:rPr>
        <w:t>et al</w:t>
      </w:r>
      <w:r w:rsidRPr="00C96521">
        <w:rPr>
          <w:rFonts w:eastAsia="MS Mincho"/>
          <w:sz w:val="20"/>
          <w:szCs w:val="22"/>
          <w:lang w:val="en-GB" w:eastAsia="ja-JP"/>
        </w:rPr>
        <w:t xml:space="preserve"> 2012). Linear riparian forests had the highest numbers of turtle-doves followed by patches of open evergreen oak forest interspersed with crops. Farmland played a secondary role in terms of breeding habitat. The species was widely distributed in the study area in the 1980s, but 15 years later, the range had been reduced to four sectors: coastal, central plain, transitional valleys and the Ebro valley plain. Persistence in these areas may be related to turtle-doves favouring warm, temperate climates at low altitudes, as the areas from which they disappeared were mountainous and at higher altitude. Sáenz de Buruaga </w:t>
      </w:r>
      <w:r w:rsidRPr="00C96521">
        <w:rPr>
          <w:rFonts w:eastAsia="MS Mincho"/>
          <w:i/>
          <w:sz w:val="20"/>
          <w:szCs w:val="22"/>
          <w:lang w:val="en-GB" w:eastAsia="ja-JP"/>
        </w:rPr>
        <w:t>et al</w:t>
      </w:r>
      <w:r w:rsidRPr="00C96521">
        <w:rPr>
          <w:rFonts w:eastAsia="MS Mincho"/>
          <w:sz w:val="20"/>
          <w:szCs w:val="22"/>
          <w:lang w:val="en-GB" w:eastAsia="ja-JP"/>
        </w:rPr>
        <w:t xml:space="preserve"> (2012) suggest that preserving and extending open woodland patches within farmland and riparian woodlands would be a positive conservation measure for the species, potentially increasing availability of nest sites. In Catalonia, the species shows a preference for the following habitats: irrigated orchards, non-irrigated orchards, vineyards, cereal crops, cork oak (</w:t>
      </w:r>
      <w:r w:rsidRPr="00C96521">
        <w:rPr>
          <w:rFonts w:eastAsia="MS Mincho"/>
          <w:i/>
          <w:sz w:val="20"/>
          <w:szCs w:val="22"/>
          <w:lang w:val="en-GB" w:eastAsia="ja-JP"/>
        </w:rPr>
        <w:t>Quercus suber</w:t>
      </w:r>
      <w:r w:rsidRPr="00C96521">
        <w:rPr>
          <w:rFonts w:eastAsia="MS Mincho"/>
          <w:sz w:val="20"/>
          <w:szCs w:val="22"/>
          <w:lang w:val="en-GB" w:eastAsia="ja-JP"/>
        </w:rPr>
        <w:t>), forests of pine or exotics, Scots pine (</w:t>
      </w:r>
      <w:r w:rsidRPr="00C96521">
        <w:rPr>
          <w:rFonts w:eastAsia="MS Mincho"/>
          <w:i/>
          <w:sz w:val="20"/>
          <w:szCs w:val="22"/>
          <w:lang w:val="en-GB" w:eastAsia="ja-JP"/>
        </w:rPr>
        <w:t>Pinus sylvestris</w:t>
      </w:r>
      <w:r w:rsidRPr="00C96521">
        <w:rPr>
          <w:rFonts w:eastAsia="MS Mincho"/>
          <w:sz w:val="20"/>
          <w:szCs w:val="22"/>
          <w:lang w:val="en-GB" w:eastAsia="ja-JP"/>
        </w:rPr>
        <w:t>), and Aleppo pine (</w:t>
      </w:r>
      <w:r w:rsidRPr="00C96521">
        <w:rPr>
          <w:rFonts w:eastAsia="MS Mincho"/>
          <w:i/>
          <w:sz w:val="20"/>
          <w:szCs w:val="22"/>
          <w:lang w:val="en-GB" w:eastAsia="ja-JP"/>
        </w:rPr>
        <w:t>P. halepensis</w:t>
      </w:r>
      <w:r w:rsidRPr="00C96521">
        <w:rPr>
          <w:rFonts w:eastAsia="MS Mincho"/>
          <w:sz w:val="20"/>
          <w:szCs w:val="22"/>
          <w:lang w:val="en-GB" w:eastAsia="ja-JP"/>
        </w:rPr>
        <w:t>) (ICO 2016). It avoids the following habitats: beaches, wetlands, suburbs, urban areas, irrigated arable crops, rocky areas, alpine and subalpine meadows, Mediterranean scrub, Mediterranean grassland, beech (</w:t>
      </w:r>
      <w:r w:rsidRPr="00C96521">
        <w:rPr>
          <w:rFonts w:eastAsia="MS Mincho"/>
          <w:i/>
          <w:sz w:val="20"/>
          <w:szCs w:val="22"/>
          <w:lang w:val="en-GB" w:eastAsia="ja-JP"/>
        </w:rPr>
        <w:t>Fagus sp</w:t>
      </w:r>
      <w:r w:rsidRPr="00C96521">
        <w:rPr>
          <w:rFonts w:eastAsia="MS Mincho"/>
          <w:sz w:val="20"/>
          <w:szCs w:val="22"/>
          <w:lang w:val="en-GB" w:eastAsia="ja-JP"/>
        </w:rPr>
        <w:t>) forests and riparian forests, oak, evergreen oak, fir (</w:t>
      </w:r>
      <w:r w:rsidRPr="00C96521">
        <w:rPr>
          <w:rFonts w:eastAsia="MS Mincho"/>
          <w:i/>
          <w:sz w:val="20"/>
          <w:szCs w:val="22"/>
          <w:lang w:val="en-GB" w:eastAsia="ja-JP"/>
        </w:rPr>
        <w:t>Abies</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Scots pine, and black pine (</w:t>
      </w:r>
      <w:r w:rsidRPr="00C96521">
        <w:rPr>
          <w:rFonts w:eastAsia="MS Mincho"/>
          <w:i/>
          <w:sz w:val="20"/>
          <w:szCs w:val="22"/>
          <w:lang w:val="en-GB" w:eastAsia="ja-JP"/>
        </w:rPr>
        <w:t>P. nigra</w:t>
      </w:r>
      <w:r w:rsidRPr="00C96521">
        <w:rPr>
          <w:rFonts w:eastAsia="MS Mincho"/>
          <w:sz w:val="20"/>
          <w:szCs w:val="22"/>
          <w:lang w:val="en-GB" w:eastAsia="ja-JP"/>
        </w:rPr>
        <w:t>).</w:t>
      </w:r>
    </w:p>
    <w:p w14:paraId="2765CA5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71010A0" w14:textId="77777777" w:rsidR="00C96521" w:rsidRPr="008C00B8" w:rsidRDefault="00C96521" w:rsidP="00C96521">
      <w:pPr>
        <w:widowControl/>
        <w:autoSpaceDE/>
        <w:autoSpaceDN/>
        <w:adjustRightInd/>
        <w:spacing w:line="276" w:lineRule="auto"/>
        <w:rPr>
          <w:rFonts w:eastAsia="MS Mincho"/>
          <w:b/>
          <w:sz w:val="20"/>
          <w:szCs w:val="22"/>
          <w:lang w:val="de-DE" w:eastAsia="ja-JP"/>
        </w:rPr>
      </w:pPr>
      <w:r w:rsidRPr="008C00B8">
        <w:rPr>
          <w:rFonts w:eastAsia="MS Mincho"/>
          <w:b/>
          <w:sz w:val="20"/>
          <w:szCs w:val="22"/>
          <w:lang w:val="de-DE" w:eastAsia="ja-JP"/>
        </w:rPr>
        <w:t>Belgium/Denmark/Germany/Luxembourg/Netherlands/UK</w:t>
      </w:r>
    </w:p>
    <w:p w14:paraId="0E5A7344" w14:textId="77777777" w:rsidR="00C96521" w:rsidRPr="008C00B8" w:rsidRDefault="00C96521" w:rsidP="00C96521">
      <w:pPr>
        <w:widowControl/>
        <w:autoSpaceDE/>
        <w:autoSpaceDN/>
        <w:adjustRightInd/>
        <w:spacing w:line="276" w:lineRule="auto"/>
        <w:rPr>
          <w:rFonts w:eastAsia="MS Mincho"/>
          <w:i/>
          <w:sz w:val="20"/>
          <w:szCs w:val="22"/>
          <w:lang w:val="de-DE" w:eastAsia="ja-JP"/>
        </w:rPr>
      </w:pPr>
    </w:p>
    <w:p w14:paraId="3F04A077"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The species appears to use a mixture of agricultural and wooded areas in this group of countries. In one area in Germany, the species was found to prefer forested and grassland areas, and was more persistent in woody habitats with rich, less agricultural meadows.</w:t>
      </w:r>
    </w:p>
    <w:p w14:paraId="2F8CC7E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6DCC3A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Belgium, the species was recorded as nesting in woodland groves and edge, hedges, wet alder (</w:t>
      </w:r>
      <w:r w:rsidRPr="00C96521">
        <w:rPr>
          <w:rFonts w:eastAsia="MS Mincho"/>
          <w:i/>
          <w:sz w:val="20"/>
          <w:szCs w:val="22"/>
          <w:lang w:val="en-GB" w:eastAsia="ja-JP"/>
        </w:rPr>
        <w:t>Alnus</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xml:space="preserve">) groves, scrubby dunes, young pine forests and larger plantations providing there is sufficient undergrowth (Devillers </w:t>
      </w:r>
      <w:r w:rsidRPr="00C96521">
        <w:rPr>
          <w:rFonts w:eastAsia="MS Mincho"/>
          <w:i/>
          <w:sz w:val="20"/>
          <w:szCs w:val="22"/>
          <w:lang w:val="en-GB" w:eastAsia="ja-JP"/>
        </w:rPr>
        <w:t>et al</w:t>
      </w:r>
      <w:r w:rsidRPr="00C96521">
        <w:rPr>
          <w:rFonts w:eastAsia="MS Mincho"/>
          <w:sz w:val="20"/>
          <w:szCs w:val="22"/>
          <w:lang w:val="en-GB" w:eastAsia="ja-JP"/>
        </w:rPr>
        <w:t xml:space="preserve"> 1988). To a lesser extent, the species has also been recorded breeding in large gardens, parks, and orchards.</w:t>
      </w:r>
    </w:p>
    <w:p w14:paraId="1E49B68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CEB437D" w14:textId="464994B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 study was recently carried out in the Wetterau district of central Hessen, Germany, which involved re-surveying sites where the species had been present 14 years before (Quillfeldt </w:t>
      </w:r>
      <w:r w:rsidRPr="00C96521">
        <w:rPr>
          <w:rFonts w:eastAsia="MS Mincho"/>
          <w:i/>
          <w:sz w:val="20"/>
          <w:szCs w:val="22"/>
          <w:lang w:val="en-GB" w:eastAsia="ja-JP"/>
        </w:rPr>
        <w:t>et al</w:t>
      </w:r>
      <w:r w:rsidRPr="00C96521">
        <w:rPr>
          <w:rFonts w:eastAsia="MS Mincho"/>
          <w:sz w:val="20"/>
          <w:szCs w:val="22"/>
          <w:lang w:val="en-GB" w:eastAsia="ja-JP"/>
        </w:rPr>
        <w:t xml:space="preserve"> 2014). The study found that 31</w:t>
      </w:r>
      <w:r w:rsidR="009E54BD">
        <w:rPr>
          <w:rFonts w:eastAsia="MS Mincho"/>
          <w:sz w:val="20"/>
          <w:szCs w:val="22"/>
          <w:lang w:val="en-GB" w:eastAsia="ja-JP"/>
        </w:rPr>
        <w:t xml:space="preserve"> per cent</w:t>
      </w:r>
      <w:r w:rsidRPr="00C96521">
        <w:rPr>
          <w:rFonts w:eastAsia="MS Mincho"/>
          <w:sz w:val="20"/>
          <w:szCs w:val="22"/>
          <w:lang w:val="en-GB" w:eastAsia="ja-JP"/>
        </w:rPr>
        <w:t xml:space="preserve"> sites retained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oves</w:t>
      </w:r>
      <w:r w:rsidRPr="00C96521">
        <w:rPr>
          <w:rFonts w:eastAsia="MS Mincho"/>
          <w:sz w:val="20"/>
          <w:szCs w:val="22"/>
          <w:lang w:val="en-GB" w:eastAsia="ja-JP"/>
        </w:rPr>
        <w:t xml:space="preserve">. In the Taunusausläufern area, sites that retained </w:t>
      </w:r>
      <w:r w:rsidR="009E54BD">
        <w:rPr>
          <w:rFonts w:eastAsia="MS Mincho" w:cs="Arial"/>
          <w:sz w:val="20"/>
          <w:szCs w:val="22"/>
          <w:lang w:val="en-GB" w:eastAsia="ja-JP"/>
        </w:rPr>
        <w:t>T</w:t>
      </w:r>
      <w:r w:rsidR="009E54BD" w:rsidRPr="00C96521">
        <w:rPr>
          <w:rFonts w:eastAsia="MS Mincho" w:cs="Arial"/>
          <w:sz w:val="20"/>
          <w:szCs w:val="22"/>
          <w:lang w:val="en-GB" w:eastAsia="ja-JP"/>
        </w:rPr>
        <w:t>urtle</w:t>
      </w:r>
      <w:r w:rsidR="009E54BD">
        <w:rPr>
          <w:rFonts w:eastAsia="MS Mincho" w:cs="Arial"/>
          <w:sz w:val="20"/>
          <w:szCs w:val="22"/>
          <w:lang w:val="en-GB" w:eastAsia="ja-JP"/>
        </w:rPr>
        <w:t xml:space="preserve"> D</w:t>
      </w:r>
      <w:r w:rsidR="009E54BD" w:rsidRPr="00C96521">
        <w:rPr>
          <w:rFonts w:eastAsia="MS Mincho" w:cs="Arial"/>
          <w:sz w:val="20"/>
          <w:szCs w:val="22"/>
          <w:lang w:val="en-GB" w:eastAsia="ja-JP"/>
        </w:rPr>
        <w:t xml:space="preserve">oves </w:t>
      </w:r>
      <w:r w:rsidRPr="00C96521">
        <w:rPr>
          <w:rFonts w:eastAsia="MS Mincho"/>
          <w:sz w:val="20"/>
          <w:szCs w:val="22"/>
          <w:lang w:val="en-GB" w:eastAsia="ja-JP"/>
        </w:rPr>
        <w:t>had woody habitats and rich, less agricultural meadows. The species showed a preference for forested and grassland areas, and dense forested areas and mixed woodland were important for breeding. Grassland and forest meadows were important for foraging.</w:t>
      </w:r>
    </w:p>
    <w:p w14:paraId="3888D6F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4ABC9A6"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lastRenderedPageBreak/>
        <w:t xml:space="preserve">In the Netherlands, major breeding habitats for the species are younger polder forests (usually poplar, </w:t>
      </w:r>
      <w:r w:rsidRPr="00C96521">
        <w:rPr>
          <w:rFonts w:eastAsia="MS Mincho"/>
          <w:i/>
          <w:sz w:val="20"/>
          <w:szCs w:val="22"/>
          <w:lang w:val="en-GB" w:eastAsia="ja-JP"/>
        </w:rPr>
        <w:t>Populus</w:t>
      </w:r>
      <w:r w:rsidRPr="00C96521">
        <w:rPr>
          <w:rFonts w:eastAsia="MS Mincho"/>
          <w:sz w:val="20"/>
          <w:szCs w:val="22"/>
          <w:lang w:val="en-GB" w:eastAsia="ja-JP"/>
        </w:rPr>
        <w:t xml:space="preserve"> sp), hawthorn hedges, and streamside thickets (SOVON 2002). Arable land is important, particularly the edges which offer important foraging resources in the form of weed seeds. The species shows a preference for arable land over grassland and avoids very open areas.</w:t>
      </w:r>
    </w:p>
    <w:p w14:paraId="7D63D22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982DF56" w14:textId="6D5D57CB"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the UK, the species has been recorded using principally farmyards and break crops as foraging sites, and at these sites mainly fed on the weed strip around fields and on stubbles after harvest (Browne and Aebischer 2003a). In the same study, the species did not use clover (</w:t>
      </w:r>
      <w:r w:rsidRPr="00C96521">
        <w:rPr>
          <w:rFonts w:eastAsia="MS Mincho"/>
          <w:i/>
          <w:sz w:val="20"/>
          <w:szCs w:val="22"/>
          <w:lang w:val="en-GB" w:eastAsia="ja-JP"/>
        </w:rPr>
        <w:t>Trifolium</w:t>
      </w:r>
      <w:r w:rsidRPr="00C96521">
        <w:rPr>
          <w:rFonts w:eastAsia="MS Mincho"/>
          <w:sz w:val="20"/>
          <w:szCs w:val="22"/>
          <w:lang w:val="en-GB" w:eastAsia="ja-JP"/>
        </w:rPr>
        <w:t xml:space="preserve"> sp), ley or hay fields as it did in the late 1950s and early 1960s. Clover leys today are likely to contain far fewer weed species than in the 1950s/60s. Similarly, a difference in diet was identified, with diet in the 1950s/</w:t>
      </w:r>
      <w:r w:rsidR="009E54BD">
        <w:rPr>
          <w:rFonts w:eastAsia="MS Mincho"/>
          <w:sz w:val="20"/>
          <w:szCs w:val="22"/>
          <w:lang w:val="en-GB" w:eastAsia="ja-JP"/>
        </w:rPr>
        <w:t>’</w:t>
      </w:r>
      <w:r w:rsidRPr="00C96521">
        <w:rPr>
          <w:rFonts w:eastAsia="MS Mincho"/>
          <w:sz w:val="20"/>
          <w:szCs w:val="22"/>
          <w:lang w:val="en-GB" w:eastAsia="ja-JP"/>
        </w:rPr>
        <w:t>60s consisting of more than 95</w:t>
      </w:r>
      <w:r w:rsidR="009E54BD">
        <w:rPr>
          <w:rFonts w:eastAsia="MS Mincho"/>
          <w:sz w:val="20"/>
          <w:szCs w:val="22"/>
          <w:lang w:val="en-GB" w:eastAsia="ja-JP"/>
        </w:rPr>
        <w:t xml:space="preserve"> per cent</w:t>
      </w:r>
      <w:r w:rsidRPr="00C96521">
        <w:rPr>
          <w:rFonts w:eastAsia="MS Mincho"/>
          <w:sz w:val="20"/>
          <w:szCs w:val="22"/>
          <w:lang w:val="en-GB" w:eastAsia="ja-JP"/>
        </w:rPr>
        <w:t xml:space="preserve"> weed seeds, mainly fumitory (</w:t>
      </w:r>
      <w:r w:rsidRPr="00C96521">
        <w:rPr>
          <w:rFonts w:eastAsia="MS Mincho"/>
          <w:i/>
          <w:sz w:val="20"/>
          <w:szCs w:val="22"/>
          <w:lang w:val="en-GB" w:eastAsia="ja-JP"/>
        </w:rPr>
        <w:t>Fumaria officinalis</w:t>
      </w:r>
      <w:r w:rsidRPr="00C96521">
        <w:rPr>
          <w:rFonts w:eastAsia="MS Mincho"/>
          <w:sz w:val="20"/>
          <w:szCs w:val="22"/>
          <w:lang w:val="en-GB" w:eastAsia="ja-JP"/>
        </w:rPr>
        <w:t>), compared to just 40</w:t>
      </w:r>
      <w:r w:rsidR="009E54BD">
        <w:rPr>
          <w:rFonts w:eastAsia="MS Mincho"/>
          <w:sz w:val="20"/>
          <w:szCs w:val="22"/>
          <w:lang w:val="en-GB" w:eastAsia="ja-JP"/>
        </w:rPr>
        <w:t xml:space="preserve"> per cent</w:t>
      </w:r>
      <w:r w:rsidRPr="00C96521">
        <w:rPr>
          <w:rFonts w:eastAsia="MS Mincho"/>
          <w:sz w:val="20"/>
          <w:szCs w:val="22"/>
          <w:lang w:val="en-GB" w:eastAsia="ja-JP"/>
        </w:rPr>
        <w:t xml:space="preserve"> weed seeds in the late 1990s. Nestling diet in the late 1990s constituted almost 70</w:t>
      </w:r>
      <w:r w:rsidR="009E54BD">
        <w:rPr>
          <w:rFonts w:eastAsia="MS Mincho"/>
          <w:sz w:val="20"/>
          <w:szCs w:val="22"/>
          <w:lang w:val="en-GB" w:eastAsia="ja-JP"/>
        </w:rPr>
        <w:t xml:space="preserve"> per cent</w:t>
      </w:r>
      <w:r w:rsidRPr="00C96521">
        <w:rPr>
          <w:rFonts w:eastAsia="MS Mincho"/>
          <w:sz w:val="20"/>
          <w:szCs w:val="22"/>
          <w:lang w:val="en-GB" w:eastAsia="ja-JP"/>
        </w:rPr>
        <w:t xml:space="preserve"> seeds from cultivated plants (wheat </w:t>
      </w:r>
      <w:r w:rsidRPr="00C96521">
        <w:rPr>
          <w:rFonts w:eastAsia="MS Mincho"/>
          <w:i/>
          <w:sz w:val="20"/>
          <w:szCs w:val="22"/>
          <w:lang w:val="en-GB" w:eastAsia="ja-JP"/>
        </w:rPr>
        <w:t>Triticum sp</w:t>
      </w:r>
      <w:r w:rsidRPr="00C96521">
        <w:rPr>
          <w:rFonts w:eastAsia="MS Mincho"/>
          <w:sz w:val="20"/>
          <w:szCs w:val="22"/>
          <w:lang w:val="en-GB" w:eastAsia="ja-JP"/>
        </w:rPr>
        <w:t xml:space="preserve"> and rape) and adult diet 60</w:t>
      </w:r>
      <w:r w:rsidR="009E54BD">
        <w:rPr>
          <w:rFonts w:eastAsia="MS Mincho"/>
          <w:sz w:val="20"/>
          <w:szCs w:val="22"/>
          <w:lang w:val="en-GB" w:eastAsia="ja-JP"/>
        </w:rPr>
        <w:t xml:space="preserve"> per cent</w:t>
      </w:r>
      <w:r w:rsidRPr="00C96521">
        <w:rPr>
          <w:rFonts w:eastAsia="MS Mincho"/>
          <w:sz w:val="20"/>
          <w:szCs w:val="22"/>
          <w:lang w:val="en-GB" w:eastAsia="ja-JP"/>
        </w:rPr>
        <w:t xml:space="preserve"> cultivated seeds. These figures contrast strongly with diet in the 1950s/</w:t>
      </w:r>
      <w:r w:rsidR="009E54BD">
        <w:rPr>
          <w:rFonts w:eastAsia="MS Mincho"/>
          <w:sz w:val="20"/>
          <w:szCs w:val="22"/>
          <w:lang w:val="en-GB" w:eastAsia="ja-JP"/>
        </w:rPr>
        <w:t>’</w:t>
      </w:r>
      <w:r w:rsidRPr="00C96521">
        <w:rPr>
          <w:rFonts w:eastAsia="MS Mincho"/>
          <w:sz w:val="20"/>
          <w:szCs w:val="22"/>
          <w:lang w:val="en-GB" w:eastAsia="ja-JP"/>
        </w:rPr>
        <w:t>60s where seeds from cultivation made up just 23</w:t>
      </w:r>
      <w:r w:rsidR="009E54BD">
        <w:rPr>
          <w:rFonts w:eastAsia="MS Mincho"/>
          <w:sz w:val="20"/>
          <w:szCs w:val="22"/>
          <w:lang w:val="en-GB" w:eastAsia="ja-JP"/>
        </w:rPr>
        <w:t xml:space="preserve"> per cent</w:t>
      </w:r>
      <w:r w:rsidRPr="00C96521">
        <w:rPr>
          <w:rFonts w:eastAsia="MS Mincho"/>
          <w:sz w:val="20"/>
          <w:szCs w:val="22"/>
          <w:lang w:val="en-GB" w:eastAsia="ja-JP"/>
        </w:rPr>
        <w:t xml:space="preserve"> and 5</w:t>
      </w:r>
      <w:r w:rsidR="009E54BD">
        <w:rPr>
          <w:rFonts w:eastAsia="MS Mincho"/>
          <w:sz w:val="20"/>
          <w:szCs w:val="22"/>
          <w:lang w:val="en-GB" w:eastAsia="ja-JP"/>
        </w:rPr>
        <w:t xml:space="preserve"> per cent</w:t>
      </w:r>
      <w:r w:rsidRPr="00C96521">
        <w:rPr>
          <w:rFonts w:eastAsia="MS Mincho"/>
          <w:sz w:val="20"/>
          <w:szCs w:val="22"/>
          <w:lang w:val="en-GB" w:eastAsia="ja-JP"/>
        </w:rPr>
        <w:t xml:space="preserve"> respectively of nestling and adult diets. In a study in eastern England, more than 75</w:t>
      </w:r>
      <w:r w:rsidR="009E54BD">
        <w:rPr>
          <w:rFonts w:eastAsia="MS Mincho"/>
          <w:sz w:val="20"/>
          <w:szCs w:val="22"/>
          <w:lang w:val="en-GB" w:eastAsia="ja-JP"/>
        </w:rPr>
        <w:t xml:space="preserve"> pre cent</w:t>
      </w:r>
      <w:r w:rsidRPr="00C96521">
        <w:rPr>
          <w:rFonts w:eastAsia="MS Mincho"/>
          <w:sz w:val="20"/>
          <w:szCs w:val="22"/>
          <w:lang w:val="en-GB" w:eastAsia="ja-JP"/>
        </w:rPr>
        <w:t xml:space="preserve"> turtle-dove territories were associated with residential areas, scrub, and woodland, with hedges use much less often than expected, based on their occurrence (Mason and Macdonald 2000). The study also found that grass was a strongly-preferred land-use. On set-aside, pigeons (</w:t>
      </w:r>
      <w:r w:rsidRPr="00C96521">
        <w:rPr>
          <w:rFonts w:eastAsia="MS Mincho"/>
          <w:i/>
          <w:sz w:val="20"/>
          <w:szCs w:val="22"/>
          <w:lang w:val="en-GB" w:eastAsia="ja-JP"/>
        </w:rPr>
        <w:t>Streptopelia</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xml:space="preserve"> and </w:t>
      </w:r>
      <w:r w:rsidRPr="00C96521">
        <w:rPr>
          <w:rFonts w:eastAsia="MS Mincho"/>
          <w:i/>
          <w:sz w:val="20"/>
          <w:szCs w:val="22"/>
          <w:lang w:val="en-GB" w:eastAsia="ja-JP"/>
        </w:rPr>
        <w:t>Columba</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xml:space="preserve">), were positively associated with bare ground during the breeding season, but the association was not statistically significant (Henderson and Evans 2000). Younger set-asides tended to have a mosaic of bare ground, straw, litter and vegetation cover. Pigeon abundance in summer was also found to be significantly higher on set-aside than on winter cereals, with highest abundances on rotational set-aside (Henderson </w:t>
      </w:r>
      <w:r w:rsidRPr="00C96521">
        <w:rPr>
          <w:rFonts w:eastAsia="MS Mincho"/>
          <w:i/>
          <w:sz w:val="20"/>
          <w:szCs w:val="22"/>
          <w:lang w:val="en-GB" w:eastAsia="ja-JP"/>
        </w:rPr>
        <w:t>et al</w:t>
      </w:r>
      <w:r w:rsidRPr="00C96521">
        <w:rPr>
          <w:rFonts w:eastAsia="MS Mincho"/>
          <w:sz w:val="20"/>
          <w:szCs w:val="22"/>
          <w:lang w:val="en-GB" w:eastAsia="ja-JP"/>
        </w:rPr>
        <w:t xml:space="preserve"> 2000).</w:t>
      </w:r>
    </w:p>
    <w:p w14:paraId="2CBEE21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1F4BCA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 xml:space="preserve">Estonia/Finland/Latvia/Lithuania </w:t>
      </w:r>
    </w:p>
    <w:p w14:paraId="14F68899"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50E309F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Habitat information is limited. However, in Latvia the species is known to use a mixture of agricultural and woodland habitats.</w:t>
      </w:r>
    </w:p>
    <w:p w14:paraId="3101D49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E44B35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Latvia,</w:t>
      </w:r>
      <w:r w:rsidRPr="00C96521">
        <w:rPr>
          <w:rFonts w:eastAsia="MS Mincho"/>
          <w:b/>
          <w:sz w:val="20"/>
          <w:szCs w:val="22"/>
          <w:lang w:val="en-GB" w:eastAsia="ja-JP"/>
        </w:rPr>
        <w:t xml:space="preserve"> </w:t>
      </w:r>
      <w:r w:rsidRPr="00C96521">
        <w:rPr>
          <w:rFonts w:eastAsia="MS Mincho"/>
          <w:sz w:val="20"/>
          <w:szCs w:val="22"/>
          <w:lang w:val="en-GB" w:eastAsia="ja-JP"/>
        </w:rPr>
        <w:t xml:space="preserve">the species has been recorded nesting mainly near fields and meadows in small mixed and deciduous woods, at the edges and in shrubs and saplings (Priednieks </w:t>
      </w:r>
      <w:r w:rsidRPr="00C96521">
        <w:rPr>
          <w:rFonts w:eastAsia="MS Mincho"/>
          <w:i/>
          <w:sz w:val="20"/>
          <w:szCs w:val="22"/>
          <w:lang w:val="en-GB" w:eastAsia="ja-JP"/>
        </w:rPr>
        <w:t>et al</w:t>
      </w:r>
      <w:r w:rsidRPr="00C96521">
        <w:rPr>
          <w:rFonts w:eastAsia="MS Mincho"/>
          <w:sz w:val="20"/>
          <w:szCs w:val="22"/>
          <w:lang w:val="en-GB" w:eastAsia="ja-JP"/>
        </w:rPr>
        <w:t xml:space="preserve"> 1989). The species was recorded at slightly higher densities in deciduous forests compared to mixed forests dominated by pine trees (Rouxel 2000). Highest densities in Lithuania have been reported from mixed forests with fir trees, while the species was found at lower densities in small stands of urban and agricultural areas (Rouxel 2000).</w:t>
      </w:r>
    </w:p>
    <w:p w14:paraId="1CA0E35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33DD55F"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Austria/Czech Republic/Hungary/Italy/Liechtenstein/Poland/Slovakia/Switzerland</w:t>
      </w:r>
    </w:p>
    <w:p w14:paraId="562F7EC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771F1C90" w14:textId="77777777" w:rsidR="00C96521" w:rsidRPr="00C96521" w:rsidRDefault="00C96521" w:rsidP="00C96521">
      <w:pPr>
        <w:widowControl/>
        <w:autoSpaceDE/>
        <w:autoSpaceDN/>
        <w:adjustRightInd/>
        <w:spacing w:line="276" w:lineRule="auto"/>
        <w:rPr>
          <w:rFonts w:eastAsia="MS Mincho"/>
          <w:i/>
          <w:color w:val="000000"/>
          <w:sz w:val="20"/>
          <w:szCs w:val="22"/>
          <w:lang w:val="en-GB" w:eastAsia="ja-JP"/>
        </w:rPr>
      </w:pPr>
      <w:r w:rsidRPr="00C96521">
        <w:rPr>
          <w:rFonts w:eastAsia="MS Mincho"/>
          <w:i/>
          <w:color w:val="000000"/>
          <w:sz w:val="20"/>
          <w:szCs w:val="22"/>
          <w:lang w:val="en-GB" w:eastAsia="ja-JP"/>
        </w:rPr>
        <w:t>Wooded areas are of importance for the species in this group of countries. The density of turtle-doves in forest habitats was twice that of farmland in Hungary; however, habitat occupancy was higher on farmland than in forest. In Italy and Poland, woodland patches are important.</w:t>
      </w:r>
    </w:p>
    <w:p w14:paraId="7F97A7B6" w14:textId="77777777" w:rsidR="00C96521" w:rsidRPr="00C96521" w:rsidRDefault="00C96521" w:rsidP="00C96521">
      <w:pPr>
        <w:widowControl/>
        <w:autoSpaceDE/>
        <w:autoSpaceDN/>
        <w:adjustRightInd/>
        <w:spacing w:line="276" w:lineRule="auto"/>
        <w:rPr>
          <w:rFonts w:eastAsia="MS Mincho"/>
          <w:color w:val="000000"/>
          <w:sz w:val="20"/>
          <w:szCs w:val="22"/>
          <w:lang w:val="en-GB" w:eastAsia="ja-JP"/>
        </w:rPr>
      </w:pPr>
    </w:p>
    <w:p w14:paraId="7809E46E" w14:textId="160F7AF4" w:rsidR="00C96521" w:rsidRPr="00C96521" w:rsidRDefault="00C96521" w:rsidP="00C96521">
      <w:pPr>
        <w:widowControl/>
        <w:autoSpaceDE/>
        <w:autoSpaceDN/>
        <w:adjustRightInd/>
        <w:spacing w:line="276" w:lineRule="auto"/>
        <w:rPr>
          <w:rFonts w:eastAsia="MS Mincho"/>
          <w:color w:val="000000"/>
          <w:sz w:val="20"/>
          <w:szCs w:val="22"/>
          <w:lang w:val="en-GB" w:eastAsia="ja-JP"/>
        </w:rPr>
      </w:pPr>
      <w:r w:rsidRPr="00C96521">
        <w:rPr>
          <w:rFonts w:eastAsia="MS Mincho"/>
          <w:color w:val="000000"/>
          <w:sz w:val="20"/>
          <w:szCs w:val="22"/>
          <w:lang w:val="en-GB" w:eastAsia="ja-JP"/>
        </w:rPr>
        <w:t xml:space="preserve">In Austria and the Czech Republic, </w:t>
      </w:r>
      <w:r w:rsidR="00A12C76">
        <w:rPr>
          <w:rFonts w:eastAsia="MS Mincho"/>
          <w:color w:val="000000"/>
          <w:sz w:val="20"/>
          <w:szCs w:val="22"/>
          <w:lang w:val="en-GB" w:eastAsia="ja-JP"/>
        </w:rPr>
        <w:t xml:space="preserve">the </w:t>
      </w:r>
      <w:r w:rsidR="00A12C76">
        <w:rPr>
          <w:rFonts w:eastAsia="MS Mincho" w:cs="Arial"/>
          <w:sz w:val="20"/>
          <w:szCs w:val="22"/>
          <w:lang w:val="en-GB" w:eastAsia="ja-JP"/>
        </w:rPr>
        <w:t>T</w:t>
      </w:r>
      <w:r w:rsidR="00A12C76" w:rsidRPr="00C96521">
        <w:rPr>
          <w:rFonts w:eastAsia="MS Mincho" w:cs="Arial"/>
          <w:sz w:val="20"/>
          <w:szCs w:val="22"/>
          <w:lang w:val="en-GB" w:eastAsia="ja-JP"/>
        </w:rPr>
        <w:t>urtle</w:t>
      </w:r>
      <w:r w:rsidR="00A12C76">
        <w:rPr>
          <w:rFonts w:eastAsia="MS Mincho" w:cs="Arial"/>
          <w:sz w:val="20"/>
          <w:szCs w:val="22"/>
          <w:lang w:val="en-GB" w:eastAsia="ja-JP"/>
        </w:rPr>
        <w:t xml:space="preserve"> D</w:t>
      </w:r>
      <w:r w:rsidR="00A12C76" w:rsidRPr="00C96521">
        <w:rPr>
          <w:rFonts w:eastAsia="MS Mincho" w:cs="Arial"/>
          <w:sz w:val="20"/>
          <w:szCs w:val="22"/>
          <w:lang w:val="en-GB" w:eastAsia="ja-JP"/>
        </w:rPr>
        <w:t>ove</w:t>
      </w:r>
      <w:r w:rsidRPr="00C96521">
        <w:rPr>
          <w:rFonts w:eastAsia="MS Mincho"/>
          <w:color w:val="000000"/>
          <w:sz w:val="20"/>
          <w:szCs w:val="22"/>
          <w:lang w:val="en-GB" w:eastAsia="ja-JP"/>
        </w:rPr>
        <w:t xml:space="preserve"> is considered a species of farmland (Reif </w:t>
      </w:r>
      <w:r w:rsidRPr="00C96521">
        <w:rPr>
          <w:rFonts w:eastAsia="MS Mincho"/>
          <w:i/>
          <w:color w:val="000000"/>
          <w:sz w:val="20"/>
          <w:szCs w:val="22"/>
          <w:lang w:val="en-GB" w:eastAsia="ja-JP"/>
        </w:rPr>
        <w:t>et al</w:t>
      </w:r>
      <w:r w:rsidRPr="00C96521">
        <w:rPr>
          <w:rFonts w:eastAsia="MS Mincho"/>
          <w:color w:val="000000"/>
          <w:sz w:val="20"/>
          <w:szCs w:val="22"/>
          <w:lang w:val="en-GB" w:eastAsia="ja-JP"/>
        </w:rPr>
        <w:t xml:space="preserve"> 2006, Teufelbauer and Frühauf 2010).</w:t>
      </w:r>
    </w:p>
    <w:p w14:paraId="2E8D3EC8" w14:textId="77777777" w:rsidR="00C96521" w:rsidRPr="00C96521" w:rsidRDefault="00C96521" w:rsidP="00C96521">
      <w:pPr>
        <w:widowControl/>
        <w:autoSpaceDE/>
        <w:autoSpaceDN/>
        <w:adjustRightInd/>
        <w:spacing w:line="276" w:lineRule="auto"/>
        <w:rPr>
          <w:rFonts w:eastAsia="MS Mincho"/>
          <w:color w:val="000000"/>
          <w:sz w:val="20"/>
          <w:szCs w:val="22"/>
          <w:lang w:val="en-GB" w:eastAsia="ja-JP"/>
        </w:rPr>
      </w:pPr>
    </w:p>
    <w:p w14:paraId="7BAE4B01" w14:textId="0C58125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olor w:val="000000"/>
          <w:sz w:val="20"/>
          <w:szCs w:val="22"/>
          <w:lang w:val="en-GB" w:eastAsia="ja-JP"/>
        </w:rPr>
        <w:t>In Hungary, the relative density of birds was 2.3 individuals/km</w:t>
      </w:r>
      <w:r w:rsidRPr="00C96521">
        <w:rPr>
          <w:rFonts w:eastAsia="MS Mincho"/>
          <w:color w:val="000000"/>
          <w:sz w:val="20"/>
          <w:szCs w:val="22"/>
          <w:vertAlign w:val="superscript"/>
          <w:lang w:val="en-GB" w:eastAsia="ja-JP"/>
        </w:rPr>
        <w:t>2</w:t>
      </w:r>
      <w:r w:rsidRPr="00C96521">
        <w:rPr>
          <w:rFonts w:eastAsia="MS Mincho"/>
          <w:color w:val="000000"/>
          <w:sz w:val="20"/>
          <w:szCs w:val="22"/>
          <w:lang w:val="en-GB" w:eastAsia="ja-JP"/>
        </w:rPr>
        <w:t xml:space="preserve"> for wetlands (standard error 0.6), 8.7 individuals/km</w:t>
      </w:r>
      <w:r w:rsidRPr="00C96521">
        <w:rPr>
          <w:rFonts w:eastAsia="MS Mincho"/>
          <w:color w:val="000000"/>
          <w:sz w:val="20"/>
          <w:szCs w:val="22"/>
          <w:vertAlign w:val="superscript"/>
          <w:lang w:val="en-GB" w:eastAsia="ja-JP"/>
        </w:rPr>
        <w:t>2</w:t>
      </w:r>
      <w:r w:rsidRPr="00C96521">
        <w:rPr>
          <w:rFonts w:eastAsia="MS Mincho"/>
          <w:color w:val="000000"/>
          <w:sz w:val="20"/>
          <w:szCs w:val="22"/>
          <w:lang w:val="en-GB" w:eastAsia="ja-JP"/>
        </w:rPr>
        <w:t xml:space="preserve"> for forests (standard error 0.3), 4.1 individuals/km</w:t>
      </w:r>
      <w:r w:rsidRPr="00C96521">
        <w:rPr>
          <w:rFonts w:eastAsia="MS Mincho"/>
          <w:color w:val="000000"/>
          <w:sz w:val="20"/>
          <w:szCs w:val="22"/>
          <w:vertAlign w:val="superscript"/>
          <w:lang w:val="en-GB" w:eastAsia="ja-JP"/>
        </w:rPr>
        <w:t>2</w:t>
      </w:r>
      <w:r w:rsidRPr="00C96521">
        <w:rPr>
          <w:rFonts w:eastAsia="MS Mincho"/>
          <w:color w:val="000000"/>
          <w:sz w:val="20"/>
          <w:szCs w:val="22"/>
          <w:lang w:val="en-GB" w:eastAsia="ja-JP"/>
        </w:rPr>
        <w:t xml:space="preserve"> for farmland (standard error 0.2) and 3.4 individuals/km</w:t>
      </w:r>
      <w:r w:rsidRPr="00C96521">
        <w:rPr>
          <w:rFonts w:eastAsia="MS Mincho"/>
          <w:color w:val="000000"/>
          <w:sz w:val="20"/>
          <w:szCs w:val="22"/>
          <w:vertAlign w:val="superscript"/>
          <w:lang w:val="en-GB" w:eastAsia="ja-JP"/>
        </w:rPr>
        <w:t>2</w:t>
      </w:r>
      <w:r w:rsidRPr="00C96521">
        <w:rPr>
          <w:rFonts w:eastAsia="MS Mincho"/>
          <w:color w:val="000000"/>
          <w:sz w:val="20"/>
          <w:szCs w:val="22"/>
          <w:lang w:val="en-GB" w:eastAsia="ja-JP"/>
        </w:rPr>
        <w:t xml:space="preserve"> for urban areas (standard error 1.3). Habitat occupancy was 56.6% for farmland, 37.8</w:t>
      </w:r>
      <w:r w:rsidR="00A12C76">
        <w:rPr>
          <w:rFonts w:eastAsia="MS Mincho"/>
          <w:color w:val="000000"/>
          <w:sz w:val="20"/>
          <w:szCs w:val="22"/>
          <w:lang w:val="en-GB" w:eastAsia="ja-JP"/>
        </w:rPr>
        <w:t xml:space="preserve"> per cent</w:t>
      </w:r>
      <w:r w:rsidRPr="00C96521">
        <w:rPr>
          <w:rFonts w:eastAsia="MS Mincho"/>
          <w:color w:val="000000"/>
          <w:sz w:val="20"/>
          <w:szCs w:val="22"/>
          <w:lang w:val="en-GB" w:eastAsia="ja-JP"/>
        </w:rPr>
        <w:t xml:space="preserve"> for forest, 4.0</w:t>
      </w:r>
      <w:r w:rsidR="00A12C76">
        <w:rPr>
          <w:rFonts w:eastAsia="MS Mincho"/>
          <w:color w:val="000000"/>
          <w:sz w:val="20"/>
          <w:szCs w:val="22"/>
          <w:lang w:val="en-GB" w:eastAsia="ja-JP"/>
        </w:rPr>
        <w:t xml:space="preserve"> per cent</w:t>
      </w:r>
      <w:r w:rsidRPr="00C96521">
        <w:rPr>
          <w:rFonts w:eastAsia="MS Mincho"/>
          <w:color w:val="000000"/>
          <w:sz w:val="20"/>
          <w:szCs w:val="22"/>
          <w:lang w:val="en-GB" w:eastAsia="ja-JP"/>
        </w:rPr>
        <w:t xml:space="preserve"> for urban areas, and 1.6</w:t>
      </w:r>
      <w:r w:rsidR="00A12C76">
        <w:rPr>
          <w:rFonts w:eastAsia="MS Mincho"/>
          <w:color w:val="000000"/>
          <w:sz w:val="20"/>
          <w:szCs w:val="22"/>
          <w:lang w:val="en-GB" w:eastAsia="ja-JP"/>
        </w:rPr>
        <w:t xml:space="preserve"> per cent</w:t>
      </w:r>
      <w:r w:rsidRPr="00C96521">
        <w:rPr>
          <w:rFonts w:eastAsia="MS Mincho"/>
          <w:color w:val="000000"/>
          <w:sz w:val="20"/>
          <w:szCs w:val="22"/>
          <w:lang w:val="en-GB" w:eastAsia="ja-JP"/>
        </w:rPr>
        <w:t xml:space="preserve"> for wetlands. (Szep </w:t>
      </w:r>
      <w:r w:rsidRPr="00C96521">
        <w:rPr>
          <w:rFonts w:eastAsia="MS Mincho"/>
          <w:i/>
          <w:color w:val="000000"/>
          <w:sz w:val="20"/>
          <w:szCs w:val="22"/>
          <w:lang w:val="en-GB" w:eastAsia="ja-JP"/>
        </w:rPr>
        <w:t>et al</w:t>
      </w:r>
      <w:r w:rsidRPr="00C96521">
        <w:rPr>
          <w:rFonts w:eastAsia="MS Mincho"/>
          <w:color w:val="000000"/>
          <w:sz w:val="20"/>
          <w:szCs w:val="22"/>
          <w:lang w:val="en-GB" w:eastAsia="ja-JP"/>
        </w:rPr>
        <w:t xml:space="preserve"> 2012).</w:t>
      </w:r>
      <w:r w:rsidRPr="00C96521">
        <w:rPr>
          <w:rFonts w:eastAsia="MS Mincho"/>
          <w:sz w:val="20"/>
          <w:szCs w:val="22"/>
          <w:lang w:val="en-GB" w:eastAsia="ja-JP"/>
        </w:rPr>
        <w:t xml:space="preserve"> At least 60,000 individuals were found roosting in an oak plantation in eastern Hungary in 1987 (Attila Bankovics </w:t>
      </w:r>
      <w:r w:rsidRPr="00C96521">
        <w:rPr>
          <w:rFonts w:eastAsia="MS Mincho"/>
          <w:i/>
          <w:sz w:val="20"/>
          <w:szCs w:val="22"/>
          <w:lang w:val="en-GB" w:eastAsia="ja-JP"/>
        </w:rPr>
        <w:t>pers comm</w:t>
      </w:r>
      <w:r w:rsidRPr="00C96521">
        <w:rPr>
          <w:rFonts w:eastAsia="MS Mincho"/>
          <w:sz w:val="20"/>
          <w:szCs w:val="22"/>
          <w:lang w:val="en-GB" w:eastAsia="ja-JP"/>
        </w:rPr>
        <w:t>).</w:t>
      </w:r>
    </w:p>
    <w:p w14:paraId="6880691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14C576C"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Italy, the species is described as using various types of open wooded areas (IUCN Comitato Italiano 2012). Its breeding habitat is cultivated areas with hedges and trees in proximity to watercourses. The greatest densities were found in hilly areas where fields under cultivation (wheat and sunflowers) were </w:t>
      </w:r>
      <w:r w:rsidRPr="00C96521">
        <w:rPr>
          <w:rFonts w:eastAsia="MS Mincho"/>
          <w:sz w:val="20"/>
          <w:szCs w:val="22"/>
          <w:lang w:val="en-GB" w:eastAsia="ja-JP"/>
        </w:rPr>
        <w:lastRenderedPageBreak/>
        <w:t>interspersed with groves of locust (</w:t>
      </w:r>
      <w:r w:rsidRPr="00C96521">
        <w:rPr>
          <w:rFonts w:eastAsia="MS Mincho"/>
          <w:i/>
          <w:sz w:val="20"/>
          <w:szCs w:val="22"/>
          <w:lang w:val="en-GB" w:eastAsia="ja-JP"/>
        </w:rPr>
        <w:t>Parkia biglobosa</w:t>
      </w:r>
      <w:r w:rsidRPr="00C96521">
        <w:rPr>
          <w:rFonts w:eastAsia="MS Mincho"/>
          <w:sz w:val="20"/>
          <w:szCs w:val="22"/>
          <w:lang w:val="en-GB" w:eastAsia="ja-JP"/>
        </w:rPr>
        <w:t>), elm (</w:t>
      </w:r>
      <w:r w:rsidRPr="00C96521">
        <w:rPr>
          <w:rFonts w:eastAsia="MS Mincho"/>
          <w:i/>
          <w:sz w:val="20"/>
          <w:szCs w:val="22"/>
          <w:lang w:val="en-GB" w:eastAsia="ja-JP"/>
        </w:rPr>
        <w:t>Ulnus sp</w:t>
      </w:r>
      <w:r w:rsidRPr="00C96521">
        <w:rPr>
          <w:rFonts w:eastAsia="MS Mincho"/>
          <w:sz w:val="20"/>
          <w:szCs w:val="22"/>
          <w:lang w:val="en-GB" w:eastAsia="ja-JP"/>
        </w:rPr>
        <w:t>) and oak trees as well as bramble hedges or in riverside habitats with natural vegetation (Meschini and Frugis 1993). The species was considered to be a forest species in an analysis of bird communities in central Italy and was not found in habitat fragments smaller than 10ha (Frank and Battisti 2005).</w:t>
      </w:r>
    </w:p>
    <w:p w14:paraId="08C2895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A1B0CBF" w14:textId="145E8F5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w:t>
      </w:r>
      <w:r w:rsidR="00A12C76" w:rsidRPr="00C96521">
        <w:rPr>
          <w:rFonts w:eastAsia="MS Mincho"/>
          <w:sz w:val="20"/>
          <w:szCs w:val="22"/>
          <w:lang w:val="en-GB" w:eastAsia="ja-JP"/>
        </w:rPr>
        <w:t>Poland,</w:t>
      </w:r>
      <w:r w:rsidRPr="00C96521">
        <w:rPr>
          <w:rFonts w:eastAsia="MS Mincho"/>
          <w:sz w:val="20"/>
          <w:szCs w:val="22"/>
          <w:lang w:val="en-GB" w:eastAsia="ja-JP"/>
        </w:rPr>
        <w:t xml:space="preserve"> the species inhabits wooded areas: field copses, small woodland patches, plantations, parks, orchards, lines of trees, forest edges and suburban areas with trees (Sikora </w:t>
      </w:r>
      <w:r w:rsidRPr="00C96521">
        <w:rPr>
          <w:rFonts w:eastAsia="MS Mincho"/>
          <w:i/>
          <w:sz w:val="20"/>
          <w:szCs w:val="22"/>
          <w:lang w:val="en-GB" w:eastAsia="ja-JP"/>
        </w:rPr>
        <w:t>et al</w:t>
      </w:r>
      <w:r w:rsidRPr="00C96521">
        <w:rPr>
          <w:rFonts w:eastAsia="MS Mincho"/>
          <w:sz w:val="20"/>
          <w:szCs w:val="22"/>
          <w:lang w:val="en-GB" w:eastAsia="ja-JP"/>
        </w:rPr>
        <w:t xml:space="preserve"> 2007). It shows a preference for younger deciduous or mixed stands with rich, dense under-storey vegetation.</w:t>
      </w:r>
    </w:p>
    <w:p w14:paraId="6AC4BBD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8666F9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Albania, Bosnia and Herzegovina, Croatia, Greece, Kosovo, Macedonia FYR, Montenegro, Serbia, Slovenia</w:t>
      </w:r>
    </w:p>
    <w:p w14:paraId="2CD3908E"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4B5D60DE" w14:textId="6FDB3FB2"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In Croatia, the turtle-dove is most abundant in sub-</w:t>
      </w:r>
      <w:r w:rsidR="00A12C76" w:rsidRPr="00C96521">
        <w:rPr>
          <w:rFonts w:eastAsia="MS Mincho"/>
          <w:i/>
          <w:sz w:val="20"/>
          <w:szCs w:val="22"/>
          <w:lang w:val="en-GB" w:eastAsia="ja-JP"/>
        </w:rPr>
        <w:t>Mediterranean</w:t>
      </w:r>
      <w:r w:rsidRPr="00C96521">
        <w:rPr>
          <w:rFonts w:eastAsia="MS Mincho"/>
          <w:i/>
          <w:sz w:val="20"/>
          <w:szCs w:val="22"/>
          <w:lang w:val="en-GB" w:eastAsia="ja-JP"/>
        </w:rPr>
        <w:t xml:space="preserve"> degraded forests, in Greece the species breeds in a range of habitats, and in Slovenia it inhabits a mosaic of agricultural landscapes.</w:t>
      </w:r>
    </w:p>
    <w:p w14:paraId="5859F0D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D79AA9F" w14:textId="3AD9B7C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coastal Croatia, the species is most abundant in sub-</w:t>
      </w:r>
      <w:r w:rsidR="00A12C76" w:rsidRPr="00C96521">
        <w:rPr>
          <w:rFonts w:eastAsia="MS Mincho"/>
          <w:sz w:val="20"/>
          <w:szCs w:val="22"/>
          <w:lang w:val="en-GB" w:eastAsia="ja-JP"/>
        </w:rPr>
        <w:t>Mediterranean</w:t>
      </w:r>
      <w:r w:rsidRPr="00C96521">
        <w:rPr>
          <w:rFonts w:eastAsia="MS Mincho"/>
          <w:sz w:val="20"/>
          <w:szCs w:val="22"/>
          <w:lang w:val="en-GB" w:eastAsia="ja-JP"/>
        </w:rPr>
        <w:t xml:space="preserve"> degraded forests of oriental hornbeam (</w:t>
      </w:r>
      <w:r w:rsidRPr="00C96521">
        <w:rPr>
          <w:rFonts w:eastAsia="MS Mincho"/>
          <w:i/>
          <w:sz w:val="20"/>
          <w:szCs w:val="22"/>
          <w:lang w:val="en-GB" w:eastAsia="ja-JP"/>
        </w:rPr>
        <w:t>Carpinus orientalis</w:t>
      </w:r>
      <w:r w:rsidRPr="00C96521">
        <w:rPr>
          <w:rFonts w:eastAsia="MS Mincho"/>
          <w:sz w:val="20"/>
          <w:szCs w:val="22"/>
          <w:lang w:val="en-GB" w:eastAsia="ja-JP"/>
        </w:rPr>
        <w:t>) and downy oak (</w:t>
      </w:r>
      <w:r w:rsidRPr="00C96521">
        <w:rPr>
          <w:rFonts w:eastAsia="MS Mincho"/>
          <w:i/>
          <w:sz w:val="20"/>
          <w:szCs w:val="22"/>
          <w:lang w:val="en-GB" w:eastAsia="ja-JP"/>
        </w:rPr>
        <w:t>Quercus pubescens</w:t>
      </w:r>
      <w:r w:rsidRPr="00C96521">
        <w:rPr>
          <w:rFonts w:eastAsia="MS Mincho"/>
          <w:sz w:val="20"/>
          <w:szCs w:val="22"/>
          <w:lang w:val="en-GB" w:eastAsia="ja-JP"/>
        </w:rPr>
        <w:t>) (Rucner 1998). It is less numerous in eumediterranean degraded forests of holm oak and Aleppo pine. According to Rucner (1988) and unpublished data (</w:t>
      </w:r>
      <w:r w:rsidRPr="00C96521">
        <w:rPr>
          <w:rFonts w:cs="Arial"/>
          <w:sz w:val="20"/>
          <w:szCs w:val="20"/>
          <w:lang w:val="en-GB" w:eastAsia="en-GB"/>
        </w:rPr>
        <w:t>Institute of Ornithology CASA</w:t>
      </w:r>
      <w:r w:rsidRPr="00C96521">
        <w:rPr>
          <w:rFonts w:eastAsia="MS Mincho"/>
          <w:sz w:val="20"/>
          <w:szCs w:val="22"/>
          <w:lang w:val="en-GB" w:eastAsia="ja-JP"/>
        </w:rPr>
        <w:t xml:space="preserve">) it is also numerous in riverine forests throughout the country. Fifty years ago, it was the second most numerous species in riverine forests of Eastern Croatia (Rucner and Rucner 1972). Quantitative data (based on 39 1-km-long transects conducted by the </w:t>
      </w:r>
      <w:r w:rsidRPr="00C96521">
        <w:rPr>
          <w:rFonts w:cs="Arial"/>
          <w:sz w:val="20"/>
          <w:szCs w:val="20"/>
          <w:lang w:val="en-GB" w:eastAsia="en-GB"/>
        </w:rPr>
        <w:t>Institute of Ornithology CASA</w:t>
      </w:r>
      <w:r w:rsidRPr="00C96521">
        <w:rPr>
          <w:rFonts w:eastAsia="MS Mincho"/>
          <w:sz w:val="20"/>
          <w:szCs w:val="22"/>
          <w:lang w:val="en-GB" w:eastAsia="ja-JP"/>
        </w:rPr>
        <w:t>) for agricultural habitats in Northern Dalmatia show that turtle-dove densities are highest in traditional agricultural mosaics with low or moderate degrees of succession (13.8 individuals/km</w:t>
      </w:r>
      <w:r w:rsidRPr="00C96521">
        <w:rPr>
          <w:rFonts w:eastAsia="MS Mincho"/>
          <w:sz w:val="20"/>
          <w:szCs w:val="22"/>
          <w:vertAlign w:val="superscript"/>
          <w:lang w:val="en-GB" w:eastAsia="ja-JP"/>
        </w:rPr>
        <w:t>2</w:t>
      </w:r>
      <w:r w:rsidRPr="00C96521">
        <w:rPr>
          <w:rFonts w:eastAsia="MS Mincho"/>
          <w:sz w:val="20"/>
          <w:szCs w:val="22"/>
          <w:lang w:val="en-GB" w:eastAsia="ja-JP"/>
        </w:rPr>
        <w:t>), lowest in intensive agriculture with or without linear tree groves (2.8 individuals/km</w:t>
      </w:r>
      <w:r w:rsidRPr="00C96521">
        <w:rPr>
          <w:rFonts w:eastAsia="MS Mincho"/>
          <w:sz w:val="20"/>
          <w:szCs w:val="22"/>
          <w:vertAlign w:val="superscript"/>
          <w:lang w:val="en-GB" w:eastAsia="ja-JP"/>
        </w:rPr>
        <w:t>2</w:t>
      </w:r>
      <w:r w:rsidRPr="00C96521">
        <w:rPr>
          <w:rFonts w:eastAsia="MS Mincho"/>
          <w:sz w:val="20"/>
          <w:szCs w:val="22"/>
          <w:lang w:val="en-GB" w:eastAsia="ja-JP"/>
        </w:rPr>
        <w:t>) and medium in rocky pastures of moderate or pronounced succession (5 individuals/km</w:t>
      </w:r>
      <w:r w:rsidRPr="00C96521">
        <w:rPr>
          <w:rFonts w:eastAsia="MS Mincho"/>
          <w:sz w:val="20"/>
          <w:szCs w:val="22"/>
          <w:vertAlign w:val="superscript"/>
          <w:lang w:val="en-GB" w:eastAsia="ja-JP"/>
        </w:rPr>
        <w:t>2</w:t>
      </w:r>
      <w:r w:rsidRPr="00C96521">
        <w:rPr>
          <w:rFonts w:eastAsia="MS Mincho"/>
          <w:sz w:val="20"/>
          <w:szCs w:val="22"/>
          <w:lang w:val="en-GB" w:eastAsia="ja-JP"/>
        </w:rPr>
        <w:t>).</w:t>
      </w:r>
    </w:p>
    <w:p w14:paraId="0F935DE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386D724" w14:textId="7216756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north-eastern Greece, the species breeds in various habitat types, such as forests, agricultural land with hedgerows, and forest-grassland edges. Optimum breeding habitats are middle-aged conifer stands with low percentage cover in understory (Bakaloudis </w:t>
      </w:r>
      <w:r w:rsidRPr="00C96521">
        <w:rPr>
          <w:rFonts w:eastAsia="MS Mincho"/>
          <w:i/>
          <w:sz w:val="20"/>
          <w:szCs w:val="22"/>
          <w:lang w:val="en-GB" w:eastAsia="ja-JP"/>
        </w:rPr>
        <w:t>et al</w:t>
      </w:r>
      <w:r w:rsidRPr="00C96521">
        <w:rPr>
          <w:rFonts w:eastAsia="MS Mincho"/>
          <w:sz w:val="20"/>
          <w:szCs w:val="22"/>
          <w:lang w:val="en-GB" w:eastAsia="ja-JP"/>
        </w:rPr>
        <w:t xml:space="preserve"> 2009). In parts of central Greece, it breeds in high densities in hilly areas covered by shrubs and garigue (a low open scrubland with many evergreen shrubs, low trees, aromatic herbs, and bunchgrasses found in poor or dry soil in the Mediterranean region) (Dimitris Bakaloudis </w:t>
      </w:r>
      <w:r w:rsidRPr="00C96521">
        <w:rPr>
          <w:rFonts w:eastAsia="MS Mincho"/>
          <w:i/>
          <w:sz w:val="20"/>
          <w:szCs w:val="22"/>
          <w:lang w:val="en-GB" w:eastAsia="ja-JP"/>
        </w:rPr>
        <w:t>pers comm</w:t>
      </w:r>
      <w:r w:rsidRPr="00C96521">
        <w:rPr>
          <w:rFonts w:eastAsia="MS Mincho"/>
          <w:sz w:val="20"/>
          <w:szCs w:val="22"/>
          <w:lang w:val="en-GB" w:eastAsia="ja-JP"/>
        </w:rPr>
        <w:t>).</w:t>
      </w:r>
    </w:p>
    <w:p w14:paraId="06F8409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CD2C9C0" w14:textId="7AFD47C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Slovenia, the species inhabits a mosaic of agricultural landscapes and woodland across much of the country up to </w:t>
      </w:r>
      <w:r w:rsidR="006437E1">
        <w:rPr>
          <w:rFonts w:eastAsia="MS Mincho"/>
          <w:sz w:val="20"/>
          <w:szCs w:val="22"/>
          <w:lang w:val="en-GB" w:eastAsia="ja-JP"/>
        </w:rPr>
        <w:t xml:space="preserve">altitudes </w:t>
      </w:r>
      <w:r w:rsidRPr="00C96521">
        <w:rPr>
          <w:rFonts w:eastAsia="MS Mincho"/>
          <w:sz w:val="20"/>
          <w:szCs w:val="22"/>
          <w:lang w:val="en-GB" w:eastAsia="ja-JP"/>
        </w:rPr>
        <w:t xml:space="preserve">500m (Mihelič 2013, </w:t>
      </w:r>
      <w:r w:rsidRPr="00C96521">
        <w:rPr>
          <w:rFonts w:eastAsia="MS Mincho" w:cs="Arial"/>
          <w:sz w:val="20"/>
          <w:lang w:val="en-GB" w:eastAsia="ja-JP"/>
        </w:rPr>
        <w:t>Denac and Kmecl 2014</w:t>
      </w:r>
      <w:r w:rsidRPr="00C96521">
        <w:rPr>
          <w:rFonts w:eastAsia="MS Mincho"/>
          <w:sz w:val="20"/>
          <w:szCs w:val="22"/>
          <w:lang w:val="en-GB" w:eastAsia="ja-JP"/>
        </w:rPr>
        <w:t>).</w:t>
      </w:r>
    </w:p>
    <w:p w14:paraId="3D92D65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535B0BB" w14:textId="76DD2AA6"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Armenia, Azerbaijan, Belarus, Bulgaria, Cyprus, Georgia, Moldova, Romania, Russia</w:t>
      </w:r>
      <w:r w:rsidR="00A12C76">
        <w:rPr>
          <w:rFonts w:eastAsia="MS Mincho"/>
          <w:b/>
          <w:sz w:val="20"/>
          <w:szCs w:val="22"/>
          <w:lang w:val="en-GB" w:eastAsia="ja-JP"/>
        </w:rPr>
        <w:t>n Federation</w:t>
      </w:r>
      <w:r w:rsidRPr="00C96521">
        <w:rPr>
          <w:rFonts w:eastAsia="MS Mincho"/>
          <w:b/>
          <w:sz w:val="20"/>
          <w:szCs w:val="22"/>
          <w:lang w:val="en-GB" w:eastAsia="ja-JP"/>
        </w:rPr>
        <w:t xml:space="preserve">, Turkey, Ukraine </w:t>
      </w:r>
    </w:p>
    <w:p w14:paraId="37C9C9B4"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534BDB13"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Woodland habitats appear to be of high importance for the species.</w:t>
      </w:r>
    </w:p>
    <w:p w14:paraId="20205C31"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147D9A0C" w14:textId="15D9F74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Armenia, the species uses open woodland, orchards and weedy fields (Adamian and Klem 1997). In Bulgaria, the species is found at highest densities in forested areas or areas with a mosaic of trees and bushes near to open areas (Iankov 2007). In </w:t>
      </w:r>
      <w:r w:rsidR="00A12C76" w:rsidRPr="00C96521">
        <w:rPr>
          <w:rFonts w:eastAsia="MS Mincho"/>
          <w:sz w:val="20"/>
          <w:szCs w:val="22"/>
          <w:lang w:val="en-GB" w:eastAsia="ja-JP"/>
        </w:rPr>
        <w:t>Cyprus,</w:t>
      </w:r>
      <w:r w:rsidRPr="00C96521">
        <w:rPr>
          <w:rFonts w:eastAsia="MS Mincho"/>
          <w:sz w:val="20"/>
          <w:szCs w:val="22"/>
          <w:lang w:val="en-GB" w:eastAsia="ja-JP"/>
        </w:rPr>
        <w:t xml:space="preserve"> the species nests in pine forest and lightly wooded areas at all altitudes (Flint and Stewart 1992). In Moldova, the species nests in forests, forest belts, and parks (Munteanu and Zubcov 2010). In Romania, the species nests in both the lowlands and uplands where it uses deciduous and coniferous forests respectively (Petrovici 2015). However, it shows a preference for lowland forests near farmland.</w:t>
      </w:r>
    </w:p>
    <w:p w14:paraId="318B747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DFF8BE3" w14:textId="68CC130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the countries of the former USSR, the species was reported to use deciduous and mixed forests (less common in coniferous forest), forest steppe, steppe, desert zones, urban areas, and river valleys (Flint </w:t>
      </w:r>
      <w:r w:rsidRPr="00C96521">
        <w:rPr>
          <w:rFonts w:eastAsia="MS Mincho"/>
          <w:i/>
          <w:sz w:val="20"/>
          <w:szCs w:val="22"/>
          <w:lang w:val="en-GB" w:eastAsia="ja-JP"/>
        </w:rPr>
        <w:t>et al</w:t>
      </w:r>
      <w:r w:rsidRPr="00C96521">
        <w:rPr>
          <w:rFonts w:eastAsia="MS Mincho"/>
          <w:sz w:val="20"/>
          <w:szCs w:val="22"/>
          <w:lang w:val="en-GB" w:eastAsia="ja-JP"/>
        </w:rPr>
        <w:t xml:space="preserve"> 1984). In Kaliningrad, the optimal habitat for the species is deciduous forest and mixed stands with fir trees (Rouxel 2000). In highly urbanized parts of </w:t>
      </w:r>
      <w:r w:rsidR="00A12C76">
        <w:rPr>
          <w:rFonts w:eastAsia="MS Mincho"/>
          <w:sz w:val="20"/>
          <w:szCs w:val="22"/>
          <w:lang w:val="en-GB" w:eastAsia="ja-JP"/>
        </w:rPr>
        <w:t xml:space="preserve">the </w:t>
      </w:r>
      <w:r w:rsidRPr="00C96521">
        <w:rPr>
          <w:rFonts w:eastAsia="MS Mincho"/>
          <w:sz w:val="20"/>
          <w:szCs w:val="22"/>
          <w:lang w:val="en-GB" w:eastAsia="ja-JP"/>
        </w:rPr>
        <w:t xml:space="preserve">Russia </w:t>
      </w:r>
      <w:r w:rsidR="00A12C76">
        <w:rPr>
          <w:rFonts w:eastAsia="MS Mincho"/>
          <w:sz w:val="20"/>
          <w:szCs w:val="22"/>
          <w:lang w:val="en-GB" w:eastAsia="ja-JP"/>
        </w:rPr>
        <w:t>Federation,</w:t>
      </w:r>
      <w:r w:rsidR="006437E1">
        <w:rPr>
          <w:rFonts w:eastAsia="MS Mincho"/>
          <w:sz w:val="20"/>
          <w:szCs w:val="22"/>
          <w:lang w:val="en-GB" w:eastAsia="ja-JP"/>
        </w:rPr>
        <w:t xml:space="preserve"> </w:t>
      </w:r>
      <w:r w:rsidRPr="00C96521">
        <w:rPr>
          <w:rFonts w:eastAsia="MS Mincho"/>
          <w:sz w:val="20"/>
          <w:szCs w:val="22"/>
          <w:lang w:val="en-GB" w:eastAsia="ja-JP"/>
        </w:rPr>
        <w:t xml:space="preserve">the species is found at much lower densities than in natural habitats (Rouxel 2000). In central Russia, the species uses oak woodland </w:t>
      </w:r>
      <w:r w:rsidRPr="00C96521">
        <w:rPr>
          <w:rFonts w:eastAsia="MS Mincho"/>
          <w:sz w:val="20"/>
          <w:szCs w:val="22"/>
          <w:lang w:val="en-GB" w:eastAsia="ja-JP"/>
        </w:rPr>
        <w:lastRenderedPageBreak/>
        <w:t>adjacent to regularly-flooded areas, always preferring deciduous or mixed woodland over pure coniferous stands, although it will use pine forest (Rouxel 2000). In the Ural mountains it nests in deciduous forest and shrubs. In the south of European Russia (the steppe zone), the turtle-dove inhabits shelter belts, woodland sites and gardens among the cereal crops. It does not show a preference for any type of woodland and tree species for nesting, but prefers mosaic landscapes and avoids continuous forests (Belik 2005, 2014).</w:t>
      </w:r>
    </w:p>
    <w:p w14:paraId="5FA6661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DA69BE1"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Turkey, the species is described as a generally widespread and common summer visitor to wooded and agricultural areas (Kirwan </w:t>
      </w:r>
      <w:r w:rsidRPr="00C96521">
        <w:rPr>
          <w:rFonts w:eastAsia="MS Mincho"/>
          <w:i/>
          <w:sz w:val="20"/>
          <w:szCs w:val="22"/>
          <w:lang w:val="en-GB" w:eastAsia="ja-JP"/>
        </w:rPr>
        <w:t>et al</w:t>
      </w:r>
      <w:r w:rsidRPr="00C96521">
        <w:rPr>
          <w:rFonts w:eastAsia="MS Mincho"/>
          <w:sz w:val="20"/>
          <w:szCs w:val="22"/>
          <w:lang w:val="en-GB" w:eastAsia="ja-JP"/>
        </w:rPr>
        <w:t xml:space="preserve"> 2008). It breeds in areas with trees, hedges and taller bushes, both in agricultural areas (including orchards and olive groves) and natural areas (including woodland and woodland edges). </w:t>
      </w:r>
    </w:p>
    <w:p w14:paraId="4BB6CA5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E7CA5D9"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0" w:name="_Toc478646905"/>
      <w:r w:rsidRPr="00C96521">
        <w:rPr>
          <w:rFonts w:ascii="Cambria" w:eastAsia="MS Gothic" w:hAnsi="Cambria"/>
          <w:b/>
          <w:bCs/>
          <w:color w:val="4F81BD"/>
          <w:sz w:val="26"/>
          <w:szCs w:val="26"/>
          <w:lang w:val="en-GB" w:eastAsia="ja-JP"/>
        </w:rPr>
        <w:t>Survival and productivity</w:t>
      </w:r>
      <w:bookmarkEnd w:id="20"/>
    </w:p>
    <w:p w14:paraId="4EF34B8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6A63244"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As a general rule, two to three clutches of two eggs each are laid between May and July in the north (Browne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2005). In Spain, the breeding season begins mid-April and lasts until the end of August (Rocha and Hidalgo 2002a). In Portugal, data from 1993-2004 also show that in some regions breeding lasts until the last week of August (Dias 2016). In Cyprus, active nests are found from the beginning of May until August (Nicos Kassinis </w:t>
      </w:r>
      <w:r w:rsidRPr="00C96521">
        <w:rPr>
          <w:rFonts w:eastAsia="MS Mincho" w:cs="Arial"/>
          <w:i/>
          <w:sz w:val="20"/>
          <w:szCs w:val="22"/>
          <w:lang w:val="en-GB" w:eastAsia="ja-JP"/>
        </w:rPr>
        <w:t>unpublished</w:t>
      </w:r>
      <w:r w:rsidRPr="00C96521">
        <w:rPr>
          <w:rFonts w:eastAsia="MS Mincho" w:cs="Arial"/>
          <w:sz w:val="20"/>
          <w:szCs w:val="22"/>
          <w:lang w:val="en-GB" w:eastAsia="ja-JP"/>
        </w:rPr>
        <w:t>). In the south of Russia, the species typically lays one clutch per year while in northern Russia, Ukraine and Belarus it lays two (Rouxel 2000). In Kazakhstan it can have up to three clutches. In Morocco, the first birds arrive in the Tadla area (central Morocco) in the third week of March and egg laying begins in the first two weeks of April (Hanane 2011).</w:t>
      </w:r>
    </w:p>
    <w:p w14:paraId="10E356F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C8AEECE" w14:textId="7572C81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The </w:t>
      </w:r>
      <w:r w:rsidR="00A12C76">
        <w:rPr>
          <w:rFonts w:eastAsia="MS Mincho" w:cs="Arial"/>
          <w:sz w:val="20"/>
          <w:szCs w:val="22"/>
          <w:lang w:val="en-GB" w:eastAsia="ja-JP"/>
        </w:rPr>
        <w:t>T</w:t>
      </w:r>
      <w:r w:rsidR="00A12C76" w:rsidRPr="00C96521">
        <w:rPr>
          <w:rFonts w:eastAsia="MS Mincho" w:cs="Arial"/>
          <w:sz w:val="20"/>
          <w:szCs w:val="22"/>
          <w:lang w:val="en-GB" w:eastAsia="ja-JP"/>
        </w:rPr>
        <w:t>urtle</w:t>
      </w:r>
      <w:r w:rsidR="00A12C76">
        <w:rPr>
          <w:rFonts w:eastAsia="MS Mincho" w:cs="Arial"/>
          <w:sz w:val="20"/>
          <w:szCs w:val="22"/>
          <w:lang w:val="en-GB" w:eastAsia="ja-JP"/>
        </w:rPr>
        <w:t xml:space="preserve"> D</w:t>
      </w:r>
      <w:r w:rsidR="00A12C76" w:rsidRPr="00C96521">
        <w:rPr>
          <w:rFonts w:eastAsia="MS Mincho" w:cs="Arial"/>
          <w:sz w:val="20"/>
          <w:szCs w:val="22"/>
          <w:lang w:val="en-GB" w:eastAsia="ja-JP"/>
        </w:rPr>
        <w:t xml:space="preserve">ove </w:t>
      </w:r>
      <w:r w:rsidRPr="00C96521">
        <w:rPr>
          <w:rFonts w:eastAsia="MS Mincho" w:cs="Arial"/>
          <w:sz w:val="20"/>
          <w:szCs w:val="22"/>
          <w:lang w:val="en-GB" w:eastAsia="ja-JP"/>
        </w:rPr>
        <w:t>is able to reproduce in its second year, and the maximum lifespan for a bird in the wild is estimated as 20 years (Glutz von Blotzheim 1980). The average lifespan is two years and annual survival 50</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(Robinson 2016). The maximum age recorded from ringing is 13 years and two months for a Dutch turtle-dove that was reported shot, followed by a bird from Great Britain and Ireland, shot at age &gt;12 years and 11 months (Fransson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2010). Survival rates may show important variations from year to year (average survival probability for birds in a French population 0.51 ± 0.15 with values ranging from 0.29 ± 0.18 to 0.99 ± 0.002)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In the UK, the annual survival rate of adult turtle-doves was 0.62 during periods of stable population trends and 0.53 when trends were declining (Siriwardena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2000). For first-year birds, annual survival was 0.222 when trends were stable and 0.19 when trends were decreasing. </w:t>
      </w:r>
    </w:p>
    <w:p w14:paraId="78F848D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80EA762" w14:textId="71F43220"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Spain, the percentage of nests successfully producing young reaches 53</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in Extremadura and 36-58</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in the area of Madrid (Rocha and Hidalgo 2002a). Breeding success in France is roughly estimated at an average of 53</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with a range of 37-66</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(ONCFS </w:t>
      </w:r>
      <w:r w:rsidRPr="00C96521">
        <w:rPr>
          <w:rFonts w:eastAsia="MS Mincho" w:cs="Arial"/>
          <w:i/>
          <w:sz w:val="20"/>
          <w:szCs w:val="22"/>
          <w:lang w:val="en-GB" w:eastAsia="ja-JP"/>
        </w:rPr>
        <w:t>pers comm</w:t>
      </w:r>
      <w:r w:rsidRPr="00C96521">
        <w:rPr>
          <w:rFonts w:eastAsia="MS Mincho" w:cs="Arial"/>
          <w:sz w:val="20"/>
          <w:szCs w:val="22"/>
          <w:lang w:val="en-GB" w:eastAsia="ja-JP"/>
        </w:rPr>
        <w:t>).</w:t>
      </w:r>
      <w:r w:rsidRPr="00C96521" w:rsidDel="0050394C">
        <w:rPr>
          <w:rFonts w:eastAsia="MS Mincho" w:cs="Arial"/>
          <w:sz w:val="20"/>
          <w:szCs w:val="22"/>
          <w:lang w:val="en-GB" w:eastAsia="ja-JP"/>
        </w:rPr>
        <w:t xml:space="preserve"> </w:t>
      </w:r>
      <w:r w:rsidRPr="00C96521">
        <w:rPr>
          <w:rFonts w:eastAsia="MS Mincho" w:cs="Arial"/>
          <w:sz w:val="20"/>
          <w:szCs w:val="22"/>
          <w:lang w:val="en-GB" w:eastAsia="ja-JP"/>
        </w:rPr>
        <w:t>In southern Portugal, nest success varied between 56</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and 75</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on game estates with predator control and residual human disturbance over the period 1993 to 1996 (Dias 2016). In the UK, nest success rate averages 53</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during incubation and 65</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during the nestling stage, so that only 35</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of nests successfully produce young (Browne and Aebischer 2004).</w:t>
      </w:r>
    </w:p>
    <w:p w14:paraId="153847A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B20839E" w14:textId="6FDC66E8"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Rocha and Hidalgo (2002a) showed that annual productivity in Extremadura, Spain, can vary from two to three chicks per pair. Fontoura and Dias (1995) observed a rate of 2.71 young per pair in north-west Portugal. Data from Algarve, southern Portugal varied between 1.68 and 2.14 young per pair (Dias 2016). Two to three nesting attempts per pair per year were recorded for Portugal during the 1990s and early 2000s (Dias 2016). Browne and Aebischer (2004) reported that the number of nesting attempts undertaken by each pair per breeding season in the UK was significantly lower in the late 1990s compared with the early 1960s, this reduction in nesting attempts being sufficient to explain the decline in population sizes. The annual production rate per pair was between 2.0 and 2.8 (mean 2.1) fledglings in the 1960s (Murton 1968). The reduction of food availability and reduced nesting habitat availability may be the underlying causes of the decrease in productivity (Browne and Aebischer 2005). In the UK, the breeding season has shortened by 12 days (Browne and Aebischer 2003b), the production per pair being 40-45</w:t>
      </w:r>
      <w:r w:rsidR="00A12C76">
        <w:rPr>
          <w:rFonts w:eastAsia="MS Mincho" w:cs="Arial"/>
          <w:sz w:val="20"/>
          <w:szCs w:val="22"/>
          <w:lang w:val="en-GB" w:eastAsia="ja-JP"/>
        </w:rPr>
        <w:t xml:space="preserve"> per cent</w:t>
      </w:r>
      <w:r w:rsidR="00A12C76"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of the number of clutches and young compared to productivity in the 1960s (Browne and </w:t>
      </w:r>
      <w:r w:rsidRPr="00C96521">
        <w:rPr>
          <w:rFonts w:eastAsia="MS Mincho" w:cs="Arial"/>
          <w:sz w:val="20"/>
          <w:szCs w:val="22"/>
          <w:lang w:val="en-GB" w:eastAsia="ja-JP"/>
        </w:rPr>
        <w:lastRenderedPageBreak/>
        <w:t xml:space="preserve">Aebischer 2004). However, a recent study suggests improvement in reproductive output, but not to the levels seen in the 1960s (RSPB </w:t>
      </w:r>
      <w:r w:rsidRPr="00C96521">
        <w:rPr>
          <w:rFonts w:eastAsia="MS Mincho" w:cs="Arial"/>
          <w:i/>
          <w:sz w:val="20"/>
          <w:szCs w:val="22"/>
          <w:lang w:val="en-GB" w:eastAsia="ja-JP"/>
        </w:rPr>
        <w:t>unpublished data</w:t>
      </w:r>
      <w:r w:rsidRPr="00C96521">
        <w:rPr>
          <w:rFonts w:eastAsia="MS Mincho" w:cs="Arial"/>
          <w:sz w:val="20"/>
          <w:szCs w:val="22"/>
          <w:lang w:val="en-GB" w:eastAsia="ja-JP"/>
        </w:rPr>
        <w:t xml:space="preserve">). </w:t>
      </w:r>
    </w:p>
    <w:p w14:paraId="19660A9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AB1BDB6" w14:textId="283E5A9E"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Morocco, </w:t>
      </w:r>
      <w:r w:rsidR="00A12C76">
        <w:rPr>
          <w:rFonts w:eastAsia="MS Mincho" w:cs="Arial"/>
          <w:sz w:val="20"/>
          <w:szCs w:val="22"/>
          <w:lang w:val="en-GB" w:eastAsia="ja-JP"/>
        </w:rPr>
        <w:t>T</w:t>
      </w:r>
      <w:r w:rsidR="00A12C76" w:rsidRPr="00C96521">
        <w:rPr>
          <w:rFonts w:eastAsia="MS Mincho" w:cs="Arial"/>
          <w:sz w:val="20"/>
          <w:szCs w:val="22"/>
          <w:lang w:val="en-GB" w:eastAsia="ja-JP"/>
        </w:rPr>
        <w:t>urtle</w:t>
      </w:r>
      <w:r w:rsidR="00A12C76">
        <w:rPr>
          <w:rFonts w:eastAsia="MS Mincho" w:cs="Arial"/>
          <w:sz w:val="20"/>
          <w:szCs w:val="22"/>
          <w:lang w:val="en-GB" w:eastAsia="ja-JP"/>
        </w:rPr>
        <w:t xml:space="preserve"> D</w:t>
      </w:r>
      <w:r w:rsidR="00A12C76" w:rsidRPr="00C96521">
        <w:rPr>
          <w:rFonts w:eastAsia="MS Mincho" w:cs="Arial"/>
          <w:sz w:val="20"/>
          <w:szCs w:val="22"/>
          <w:lang w:val="en-GB" w:eastAsia="ja-JP"/>
        </w:rPr>
        <w:t xml:space="preserve">ove </w:t>
      </w:r>
      <w:r w:rsidRPr="00C96521">
        <w:rPr>
          <w:rFonts w:eastAsia="MS Mincho" w:cs="Arial"/>
          <w:sz w:val="20"/>
          <w:szCs w:val="22"/>
          <w:lang w:val="en-GB" w:eastAsia="ja-JP"/>
        </w:rPr>
        <w:t>clutch size is not affected by location, orchard type (orange or olive), laying period or nest position (Hanane 2016b). The number of chicks hatched and fledged per nest was greater in olive orchards compared to orange orchards, although a more recent study in the Tadla region of Morocco found no difference in nest survival rates between the two orchard types despite orange orchards being harvested in March-September, coinciding with the turtle-dove’s breeding season (Hanane and Baamal 2011). Laying period in Morocco was also identified as a significant predictor of the number of chicks fledged per nest. More chicks fledged in the early period than in the late period. Possible reasons for this difference may lie in hunting activity, which takes place from early July to late August, disturbance by children during the summer holidays from June to September, and orange harvesting and tree pruning from the end of May to September (Hanane 2016b). In the Moroccan Haouz and Tadla irrigated zones, 41</w:t>
      </w:r>
      <w:r w:rsidR="00A12C76">
        <w:rPr>
          <w:rFonts w:eastAsia="MS Mincho" w:cs="Arial"/>
          <w:sz w:val="20"/>
          <w:szCs w:val="22"/>
          <w:lang w:val="en-GB" w:eastAsia="ja-JP"/>
        </w:rPr>
        <w:t xml:space="preserve"> per cent</w:t>
      </w:r>
      <w:r w:rsidR="00A12C76" w:rsidRPr="00C96521">
        <w:rPr>
          <w:rFonts w:eastAsia="MS Mincho" w:cs="Arial"/>
          <w:sz w:val="20"/>
          <w:szCs w:val="22"/>
          <w:lang w:val="en-GB" w:eastAsia="ja-JP"/>
        </w:rPr>
        <w:t xml:space="preserve"> </w:t>
      </w:r>
      <w:r w:rsidRPr="00C96521">
        <w:rPr>
          <w:rFonts w:eastAsia="MS Mincho" w:cs="Arial"/>
          <w:sz w:val="20"/>
          <w:szCs w:val="22"/>
          <w:lang w:val="en-GB" w:eastAsia="ja-JP"/>
        </w:rPr>
        <w:t>nests successfully fledged young (Hanane 2017). Over half of nest failures recorded in Morocco and Algeria have been attributed to desertion, possibly as a result of agricultural practices or human disturbance (Hanane 2017).</w:t>
      </w:r>
    </w:p>
    <w:p w14:paraId="0FC7F46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4F865B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Dunn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(2016a) used leg-ring radio-tag attachments to study post-fledging survival in the UK and its role in the dynamics of bird populations. Fledglings remained in close proximity to the nest for the first three weeks post-tagging, with over half of the time within 20m from the nest. Movements were selectively within seed-rich habitats (semi-natural grassland, low-intensity grazing, fallow and quarries). Nestlings that were heavier and in better body condition at 7 days old were more likely to survive for 30 days post-fledging, and nestling condition was strongly predicted by the proportion of available seed-rich habitat, highlighting the critical role that food availability plays in juvenile survival, both while being fed by adults and when recently fledged (Dunn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2016a). </w:t>
      </w:r>
    </w:p>
    <w:p w14:paraId="4863FEB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F2EAFE1" w14:textId="451417E0"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The turtle-dove's spring/summer diet is mainly seeds, but tiny animals are also occasionally eaten (worms, molluscs, insects) (Cramp 1985). In rare cases</w:t>
      </w:r>
      <w:r w:rsidR="00A12C76">
        <w:rPr>
          <w:rFonts w:eastAsia="MS Mincho" w:cs="Arial"/>
          <w:sz w:val="20"/>
          <w:szCs w:val="22"/>
          <w:lang w:val="en-GB" w:eastAsia="ja-JP"/>
        </w:rPr>
        <w:t>,</w:t>
      </w:r>
      <w:r w:rsidRPr="00C96521">
        <w:rPr>
          <w:rFonts w:eastAsia="MS Mincho" w:cs="Arial"/>
          <w:sz w:val="20"/>
          <w:szCs w:val="22"/>
          <w:lang w:val="en-GB" w:eastAsia="ja-JP"/>
        </w:rPr>
        <w:t xml:space="preserve"> it may also feed on berries (Rouxel 2000). Birds mainly feed on the ground and need to drink daily. In less-intensively farmed landscapes the turtle-dove's breeding season diet is primarily weed seeds (Murton 1968, Calladine </w:t>
      </w:r>
      <w:r w:rsidRPr="00C96521">
        <w:rPr>
          <w:rFonts w:eastAsia="MS Mincho" w:cs="Arial"/>
          <w:i/>
          <w:sz w:val="20"/>
          <w:szCs w:val="22"/>
          <w:lang w:val="en-GB" w:eastAsia="ja-JP"/>
        </w:rPr>
        <w:t xml:space="preserve">et al </w:t>
      </w:r>
      <w:r w:rsidRPr="00C96521">
        <w:rPr>
          <w:rFonts w:eastAsia="MS Mincho" w:cs="Arial"/>
          <w:sz w:val="20"/>
          <w:szCs w:val="22"/>
          <w:lang w:val="en-GB" w:eastAsia="ja-JP"/>
        </w:rPr>
        <w:t>1997). In Mediterranean forest areas in southern Spain, wild plant seeds were found in 65.8</w:t>
      </w:r>
      <w:r w:rsidR="00A12C76">
        <w:rPr>
          <w:rFonts w:eastAsia="MS Mincho" w:cs="Arial"/>
          <w:sz w:val="20"/>
          <w:szCs w:val="22"/>
          <w:lang w:val="en-GB" w:eastAsia="ja-JP"/>
        </w:rPr>
        <w:t xml:space="preserve"> per cent</w:t>
      </w:r>
      <w:r w:rsidR="00A12C76"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of </w:t>
      </w:r>
      <w:r w:rsidR="00A12C76">
        <w:rPr>
          <w:rFonts w:eastAsia="MS Mincho" w:cs="Arial"/>
          <w:sz w:val="20"/>
          <w:szCs w:val="22"/>
          <w:lang w:val="en-GB" w:eastAsia="ja-JP"/>
        </w:rPr>
        <w:t>T</w:t>
      </w:r>
      <w:r w:rsidR="00A12C76" w:rsidRPr="00C96521">
        <w:rPr>
          <w:rFonts w:eastAsia="MS Mincho" w:cs="Arial"/>
          <w:sz w:val="20"/>
          <w:szCs w:val="22"/>
          <w:lang w:val="en-GB" w:eastAsia="ja-JP"/>
        </w:rPr>
        <w:t>urtle</w:t>
      </w:r>
      <w:r w:rsidR="00A12C76">
        <w:rPr>
          <w:rFonts w:eastAsia="MS Mincho" w:cs="Arial"/>
          <w:sz w:val="20"/>
          <w:szCs w:val="22"/>
          <w:lang w:val="en-GB" w:eastAsia="ja-JP"/>
        </w:rPr>
        <w:t xml:space="preserve"> D</w:t>
      </w:r>
      <w:r w:rsidR="00A12C76" w:rsidRPr="00C96521">
        <w:rPr>
          <w:rFonts w:eastAsia="MS Mincho" w:cs="Arial"/>
          <w:sz w:val="20"/>
          <w:szCs w:val="22"/>
          <w:lang w:val="en-GB" w:eastAsia="ja-JP"/>
        </w:rPr>
        <w:t xml:space="preserve">ove </w:t>
      </w:r>
      <w:r w:rsidRPr="00C96521">
        <w:rPr>
          <w:rFonts w:eastAsia="MS Mincho" w:cs="Arial"/>
          <w:sz w:val="20"/>
          <w:szCs w:val="22"/>
          <w:lang w:val="en-GB" w:eastAsia="ja-JP"/>
        </w:rPr>
        <w:t>digestive tracts analysed and the main wild seed species consumed each year varied annually (</w:t>
      </w:r>
      <w:r w:rsidRPr="00C96521">
        <w:rPr>
          <w:rFonts w:eastAsia="MS Mincho"/>
          <w:sz w:val="20"/>
          <w:szCs w:val="22"/>
          <w:lang w:val="en-GB" w:eastAsia="ja-JP"/>
        </w:rPr>
        <w:t>Guttiérez-Galàn and Alonso 2016</w:t>
      </w:r>
      <w:r w:rsidRPr="00C96521">
        <w:rPr>
          <w:rFonts w:eastAsia="MS Mincho" w:cs="Arial"/>
          <w:sz w:val="20"/>
          <w:szCs w:val="22"/>
          <w:lang w:val="en-GB" w:eastAsia="ja-JP"/>
        </w:rPr>
        <w:t xml:space="preserve">). Rocha and Hidalgo (2002a) demonstrated the importance of weed-seeds for birds arriving at nesting sites, as well as an increased nesting success in herbicide-free areas. </w:t>
      </w:r>
    </w:p>
    <w:p w14:paraId="7D1E33E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ABB58EE" w14:textId="43C36471"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eastern Europe, wild plant seeds form the basis of the species’ diet in spring while cereal crops become more important later in the season (Rouxel 2000). In more intensively farmed areas, modern agricultural methods have resulted in a decrease in the availability of arable plant seeds. These have largely been replaced in the diet by seeds of crops such as cereals, oilseed rape and sunflower. A study on turtle-dove summer diet in southern Portugal showed that young turtle-doves had a narrower dietary breadth than adults (Dias and Fontoura 1996). Young were strongly dependent on cultivated cereals and oilseeds that were provided as game crops. In the UK, a recent study showed that nesting turtle-doves that were in better condition had a higher proportion in their diet of plant species that occur in human-provided food sources, such as game or garden bird seed mixes, suggesting that adults feeding nestlings may be reliant on these additional food resources in order to raise young successfully (Dunn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2016c). Other studies from the UK, Portugal and Spain also showed the species feeding mainly at man-made sites, such as spilt grain, game and animal feed and grain stores (Jimenez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1992, Dias and Fontoura 1996, Browne and Aebischer 2003a, Rocha and Quillfeldt 2015), with juveniles particularly attracted to sunflower seeds (Rocha and Hidalgo 2001a). Rocha and Quillfeldt (2015) showed that </w:t>
      </w:r>
      <w:r w:rsidR="00A12C76">
        <w:rPr>
          <w:rFonts w:eastAsia="MS Mincho" w:cs="Arial"/>
          <w:sz w:val="20"/>
          <w:szCs w:val="22"/>
          <w:lang w:val="en-GB" w:eastAsia="ja-JP"/>
        </w:rPr>
        <w:t>T</w:t>
      </w:r>
      <w:r w:rsidR="00A12C76" w:rsidRPr="00C96521">
        <w:rPr>
          <w:rFonts w:eastAsia="MS Mincho" w:cs="Arial"/>
          <w:sz w:val="20"/>
          <w:szCs w:val="22"/>
          <w:lang w:val="en-GB" w:eastAsia="ja-JP"/>
        </w:rPr>
        <w:t>urtle</w:t>
      </w:r>
      <w:r w:rsidR="00A12C76">
        <w:rPr>
          <w:rFonts w:eastAsia="MS Mincho" w:cs="Arial"/>
          <w:sz w:val="20"/>
          <w:szCs w:val="22"/>
          <w:lang w:val="en-GB" w:eastAsia="ja-JP"/>
        </w:rPr>
        <w:t xml:space="preserve"> D</w:t>
      </w:r>
      <w:r w:rsidR="00A12C76" w:rsidRPr="00C96521">
        <w:rPr>
          <w:rFonts w:eastAsia="MS Mincho" w:cs="Arial"/>
          <w:sz w:val="20"/>
          <w:szCs w:val="22"/>
          <w:lang w:val="en-GB" w:eastAsia="ja-JP"/>
        </w:rPr>
        <w:t xml:space="preserve">oves </w:t>
      </w:r>
      <w:r w:rsidRPr="00C96521">
        <w:rPr>
          <w:rFonts w:eastAsia="MS Mincho" w:cs="Arial"/>
          <w:sz w:val="20"/>
          <w:szCs w:val="22"/>
          <w:lang w:val="en-GB" w:eastAsia="ja-JP"/>
        </w:rPr>
        <w:t xml:space="preserve">are readily attracted to supplemental grain provided at feeding stations in Spain, and suggest that breeding success can be increased when the amount of food provided is sufficiently large and provided early in the breeding season. However, hunting pressure was also higher at supplemental feeding sites. These recent changes in diet probably reflect opportunistic foraging behaviour in highly anthropogenically modified landscapes. Set-aside and agri-environmental schemes provide a framework for the </w:t>
      </w:r>
      <w:r w:rsidRPr="00C96521">
        <w:rPr>
          <w:rFonts w:eastAsia="MS Mincho" w:cs="Arial"/>
          <w:sz w:val="20"/>
          <w:szCs w:val="22"/>
          <w:lang w:val="en-GB" w:eastAsia="ja-JP"/>
        </w:rPr>
        <w:lastRenderedPageBreak/>
        <w:t>maintenance of seed-rich areas. In the UK, higher-tier agri-environmental scheme agreements occupied by turtle-dove had a tendency to contain greater areas of seed-rich options, but in most cases the vegetation became too overgrown to provide optimal foraging conditions (Walker and Morris 2016). Cluster pine (</w:t>
      </w:r>
      <w:r w:rsidRPr="00C96521">
        <w:rPr>
          <w:rFonts w:eastAsia="MS Mincho" w:cs="Arial"/>
          <w:i/>
          <w:sz w:val="20"/>
          <w:szCs w:val="22"/>
          <w:lang w:val="en-GB" w:eastAsia="ja-JP"/>
        </w:rPr>
        <w:t>Pinus pinaster</w:t>
      </w:r>
      <w:r w:rsidRPr="00C96521">
        <w:rPr>
          <w:rFonts w:eastAsia="MS Mincho" w:cs="Arial"/>
          <w:sz w:val="20"/>
          <w:szCs w:val="22"/>
          <w:lang w:val="en-GB" w:eastAsia="ja-JP"/>
        </w:rPr>
        <w:t xml:space="preserve">) seeds are also eaten during migration (Devort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1988).</w:t>
      </w:r>
    </w:p>
    <w:p w14:paraId="504F54B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E72ABE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03A980F"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1" w:name="_Toc478646906"/>
      <w:r w:rsidRPr="00C96521">
        <w:rPr>
          <w:rFonts w:ascii="Cambria" w:eastAsia="MS Gothic" w:hAnsi="Cambria"/>
          <w:b/>
          <w:bCs/>
          <w:color w:val="4F81BD"/>
          <w:sz w:val="26"/>
          <w:szCs w:val="26"/>
          <w:lang w:val="en-GB" w:eastAsia="ja-JP"/>
        </w:rPr>
        <w:t>Population size and trend</w:t>
      </w:r>
      <w:bookmarkEnd w:id="21"/>
    </w:p>
    <w:p w14:paraId="42E8660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89F91B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sz w:val="20"/>
          <w:szCs w:val="22"/>
          <w:lang w:val="en-GB" w:eastAsia="ja-JP"/>
        </w:rPr>
        <w:t>Estimates of population size are available for most countries in Europe and for some in Central Asia and Africa, with varying degrees of confidence, depending on the availability of censuses from sampling</w:t>
      </w:r>
      <w:r w:rsidRPr="00C96521">
        <w:rPr>
          <w:rFonts w:eastAsia="MS Mincho" w:cs="Arial"/>
          <w:sz w:val="20"/>
          <w:szCs w:val="22"/>
          <w:lang w:val="en-GB" w:eastAsia="ja-JP"/>
        </w:rPr>
        <w:t>. See Table 2 for breeding population data by country and Table 3 for passage/wintering data.</w:t>
      </w:r>
    </w:p>
    <w:p w14:paraId="4CA695B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DC96A37" w14:textId="42AE140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BirdLife International (2015) quote 2.3 to 4.1 million pairs within the EU, comprising roughly 70</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of the overall European population of 3.2 to 5.9 million pairs. Figures collected in Table 2 estimate 2.4 to 4.2 million birds within the EU, around 75</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of Europe's 2.9 to 5.6 million pairs. Globally, according to the data compiled by BirdLife International (2016) the population can be estimated at 13 to 48 million pairs, the large spread in figures being due to a significant lack of reliable data in Central Asia, Russia and countries in the east of the range.</w:t>
      </w:r>
    </w:p>
    <w:p w14:paraId="22FC7B53"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B13F399" w14:textId="38A35F5E"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Europe, the population is estimated to be decreasing by 30-49</w:t>
      </w:r>
      <w:r w:rsidR="00A12C76">
        <w:rPr>
          <w:rFonts w:eastAsia="MS Mincho" w:cs="Arial"/>
          <w:sz w:val="20"/>
          <w:szCs w:val="22"/>
          <w:lang w:val="en-GB" w:eastAsia="ja-JP"/>
        </w:rPr>
        <w:t xml:space="preserve"> per cent</w:t>
      </w:r>
      <w:r w:rsidR="00A12C76" w:rsidRPr="00C96521">
        <w:rPr>
          <w:rFonts w:eastAsia="MS Mincho" w:cs="Arial"/>
          <w:sz w:val="20"/>
          <w:szCs w:val="22"/>
          <w:lang w:val="en-GB" w:eastAsia="ja-JP"/>
        </w:rPr>
        <w:t xml:space="preserve"> </w:t>
      </w:r>
      <w:r w:rsidRPr="00C96521">
        <w:rPr>
          <w:rFonts w:eastAsia="MS Mincho" w:cs="Arial"/>
          <w:sz w:val="20"/>
          <w:szCs w:val="22"/>
          <w:lang w:val="en-GB" w:eastAsia="ja-JP"/>
        </w:rPr>
        <w:t>in 15.9 years (three generations) (BirdLife International 2015). Based on data from the Pan-European Common Bird Monitoring Scheme, the population has undergone a decline of 79</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between 1980 and 2014, and the trend is classified as moderate (significant decline, but not more than 5</w:t>
      </w:r>
      <w:r w:rsidR="00A12C76">
        <w:rPr>
          <w:rFonts w:eastAsia="MS Mincho" w:cs="Arial"/>
          <w:sz w:val="20"/>
          <w:szCs w:val="22"/>
          <w:lang w:val="en-GB" w:eastAsia="ja-JP"/>
        </w:rPr>
        <w:t xml:space="preserve"> per cent</w:t>
      </w:r>
      <w:r w:rsidRPr="00C96521">
        <w:rPr>
          <w:rFonts w:eastAsia="MS Mincho" w:cs="Arial"/>
          <w:sz w:val="20"/>
          <w:szCs w:val="22"/>
          <w:lang w:val="en-GB" w:eastAsia="ja-JP"/>
        </w:rPr>
        <w:t xml:space="preserve"> decline per year) (</w:t>
      </w:r>
      <w:r w:rsidRPr="00C96521">
        <w:rPr>
          <w:rFonts w:eastAsia="MS Mincho"/>
          <w:sz w:val="20"/>
          <w:szCs w:val="22"/>
          <w:lang w:val="en-GB" w:eastAsia="ja-JP"/>
        </w:rPr>
        <w:t>EBCC/RSPB/BirdLife/Statistics Netherlands</w:t>
      </w:r>
      <w:r w:rsidRPr="00C96521">
        <w:rPr>
          <w:rFonts w:eastAsia="MS Mincho" w:cs="Arial"/>
          <w:sz w:val="20"/>
          <w:szCs w:val="22"/>
          <w:lang w:val="en-GB" w:eastAsia="ja-JP"/>
        </w:rPr>
        <w:t xml:space="preserve"> 2016). Large populations in Azerbaijan, France, Spain and Ukraine have undergone long-term population declines, as have smaller populations in Albania, Belgium, Cyprus, </w:t>
      </w:r>
      <w:r w:rsidR="00A12C76">
        <w:rPr>
          <w:rFonts w:eastAsia="MS Mincho" w:cs="Arial"/>
          <w:sz w:val="20"/>
          <w:szCs w:val="22"/>
          <w:lang w:val="en-GB" w:eastAsia="ja-JP"/>
        </w:rPr>
        <w:t xml:space="preserve">the </w:t>
      </w:r>
      <w:r w:rsidRPr="00C96521">
        <w:rPr>
          <w:rFonts w:eastAsia="MS Mincho" w:cs="Arial"/>
          <w:sz w:val="20"/>
          <w:szCs w:val="22"/>
          <w:lang w:val="en-GB" w:eastAsia="ja-JP"/>
        </w:rPr>
        <w:t xml:space="preserve">Czech Republic, Estonia, Finland, Germany, Greece, Lithuania, Luxembourg, </w:t>
      </w:r>
      <w:r w:rsidR="00A12C76">
        <w:rPr>
          <w:rFonts w:eastAsia="MS Mincho" w:cs="Arial"/>
          <w:sz w:val="20"/>
          <w:szCs w:val="22"/>
          <w:lang w:val="en-GB" w:eastAsia="ja-JP"/>
        </w:rPr>
        <w:t xml:space="preserve">the </w:t>
      </w:r>
      <w:r w:rsidRPr="00C96521">
        <w:rPr>
          <w:rFonts w:eastAsia="MS Mincho" w:cs="Arial"/>
          <w:sz w:val="20"/>
          <w:szCs w:val="22"/>
          <w:lang w:val="en-GB" w:eastAsia="ja-JP"/>
        </w:rPr>
        <w:t>Netherlands, Portugal,</w:t>
      </w:r>
      <w:r w:rsidR="00A12C76">
        <w:rPr>
          <w:rFonts w:eastAsia="MS Mincho" w:cs="Arial"/>
          <w:sz w:val="20"/>
          <w:szCs w:val="22"/>
          <w:lang w:val="en-GB" w:eastAsia="ja-JP"/>
        </w:rPr>
        <w:t xml:space="preserve"> the</w:t>
      </w:r>
      <w:r w:rsidRPr="00C96521">
        <w:rPr>
          <w:rFonts w:eastAsia="MS Mincho" w:cs="Arial"/>
          <w:sz w:val="20"/>
          <w:szCs w:val="22"/>
          <w:lang w:val="en-GB" w:eastAsia="ja-JP"/>
        </w:rPr>
        <w:t xml:space="preserve"> Russia</w:t>
      </w:r>
      <w:r w:rsidR="00A12C76">
        <w:rPr>
          <w:rFonts w:eastAsia="MS Mincho" w:cs="Arial"/>
          <w:sz w:val="20"/>
          <w:szCs w:val="22"/>
          <w:lang w:val="en-GB" w:eastAsia="ja-JP"/>
        </w:rPr>
        <w:t>n federation</w:t>
      </w:r>
      <w:r w:rsidRPr="00C96521">
        <w:rPr>
          <w:rFonts w:eastAsia="MS Mincho" w:cs="Arial"/>
          <w:sz w:val="20"/>
          <w:szCs w:val="22"/>
          <w:lang w:val="en-GB" w:eastAsia="ja-JP"/>
        </w:rPr>
        <w:t>, Serbia, Slovenia, Switzerland and the United Kingdom (BirdLife International 2015). Denmark assessed its trend as increasing in the short</w:t>
      </w:r>
      <w:r w:rsidR="00A12C76">
        <w:rPr>
          <w:rFonts w:eastAsia="MS Mincho" w:cs="Arial"/>
          <w:sz w:val="20"/>
          <w:szCs w:val="22"/>
          <w:lang w:val="en-GB" w:eastAsia="ja-JP"/>
        </w:rPr>
        <w:t xml:space="preserve"> </w:t>
      </w:r>
      <w:r w:rsidRPr="00C96521">
        <w:rPr>
          <w:rFonts w:eastAsia="MS Mincho" w:cs="Arial"/>
          <w:sz w:val="20"/>
          <w:szCs w:val="22"/>
          <w:lang w:val="en-GB" w:eastAsia="ja-JP"/>
        </w:rPr>
        <w:t>term but stable in the long</w:t>
      </w:r>
      <w:r w:rsidR="00A12C76">
        <w:rPr>
          <w:rFonts w:eastAsia="MS Mincho" w:cs="Arial"/>
          <w:sz w:val="20"/>
          <w:szCs w:val="22"/>
          <w:lang w:val="en-GB" w:eastAsia="ja-JP"/>
        </w:rPr>
        <w:t xml:space="preserve"> </w:t>
      </w:r>
      <w:r w:rsidRPr="00C96521">
        <w:rPr>
          <w:rFonts w:eastAsia="MS Mincho" w:cs="Arial"/>
          <w:sz w:val="20"/>
          <w:szCs w:val="22"/>
          <w:lang w:val="en-GB" w:eastAsia="ja-JP"/>
        </w:rPr>
        <w:t xml:space="preserve">term. Belarus, Latvia, </w:t>
      </w:r>
      <w:r w:rsidR="00A12C76">
        <w:rPr>
          <w:rFonts w:eastAsia="MS Mincho" w:cs="Arial"/>
          <w:sz w:val="20"/>
          <w:szCs w:val="22"/>
          <w:lang w:val="en-GB" w:eastAsia="ja-JP"/>
        </w:rPr>
        <w:t xml:space="preserve">the Republic of </w:t>
      </w:r>
      <w:r w:rsidRPr="00C96521">
        <w:rPr>
          <w:rFonts w:eastAsia="MS Mincho" w:cs="Arial"/>
          <w:sz w:val="20"/>
          <w:szCs w:val="22"/>
          <w:lang w:val="en-GB" w:eastAsia="ja-JP"/>
        </w:rPr>
        <w:t>Moldova, Slovakia, and Turkey all assessed their populations as stable in the long</w:t>
      </w:r>
      <w:r w:rsidR="00A12C76">
        <w:rPr>
          <w:rFonts w:eastAsia="MS Mincho" w:cs="Arial"/>
          <w:sz w:val="20"/>
          <w:szCs w:val="22"/>
          <w:lang w:val="en-GB" w:eastAsia="ja-JP"/>
        </w:rPr>
        <w:t xml:space="preserve"> </w:t>
      </w:r>
      <w:r w:rsidRPr="00C96521">
        <w:rPr>
          <w:rFonts w:eastAsia="MS Mincho" w:cs="Arial"/>
          <w:sz w:val="20"/>
          <w:szCs w:val="22"/>
          <w:lang w:val="en-GB" w:eastAsia="ja-JP"/>
        </w:rPr>
        <w:t xml:space="preserve">term (BirdLife International 2015). </w:t>
      </w:r>
    </w:p>
    <w:p w14:paraId="5775034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F0ACA2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sectPr w:rsidR="00C96521" w:rsidRPr="00C96521" w:rsidSect="00C96521">
          <w:pgSz w:w="11920" w:h="16840"/>
          <w:pgMar w:top="1276" w:right="1300" w:bottom="920" w:left="1300" w:header="730" w:footer="738" w:gutter="0"/>
          <w:cols w:space="720"/>
          <w:docGrid w:linePitch="299"/>
        </w:sectPr>
      </w:pPr>
    </w:p>
    <w:p w14:paraId="1BFAF9F7"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lastRenderedPageBreak/>
        <w:t>Table 2. Breeding population size and trend by country/territory</w:t>
      </w:r>
    </w:p>
    <w:p w14:paraId="0654358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535"/>
        <w:gridCol w:w="1551"/>
        <w:gridCol w:w="1899"/>
        <w:gridCol w:w="1171"/>
        <w:gridCol w:w="1610"/>
        <w:gridCol w:w="1460"/>
        <w:gridCol w:w="1899"/>
        <w:gridCol w:w="3509"/>
      </w:tblGrid>
      <w:tr w:rsidR="00C96521" w:rsidRPr="00C96521" w14:paraId="7F93CDA6" w14:textId="77777777" w:rsidTr="00235FA0">
        <w:trPr>
          <w:trHeight w:val="240"/>
          <w:tblHeader/>
        </w:trPr>
        <w:tc>
          <w:tcPr>
            <w:tcW w:w="524" w:type="pct"/>
            <w:shd w:val="clear" w:color="auto" w:fill="B6DDE8"/>
            <w:hideMark/>
          </w:tcPr>
          <w:p w14:paraId="67952EE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Country/territory</w:t>
            </w:r>
          </w:p>
        </w:tc>
        <w:tc>
          <w:tcPr>
            <w:tcW w:w="530" w:type="pct"/>
            <w:shd w:val="clear" w:color="auto" w:fill="B6DDE8"/>
            <w:hideMark/>
          </w:tcPr>
          <w:p w14:paraId="6134ADE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Population (pairs)</w:t>
            </w:r>
          </w:p>
        </w:tc>
        <w:tc>
          <w:tcPr>
            <w:tcW w:w="649" w:type="pct"/>
            <w:shd w:val="clear" w:color="auto" w:fill="B6DDE8"/>
            <w:hideMark/>
          </w:tcPr>
          <w:p w14:paraId="3D0159C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Quality</w:t>
            </w:r>
          </w:p>
        </w:tc>
        <w:tc>
          <w:tcPr>
            <w:tcW w:w="400" w:type="pct"/>
            <w:shd w:val="clear" w:color="auto" w:fill="B6DDE8"/>
            <w:hideMark/>
          </w:tcPr>
          <w:p w14:paraId="77DE0AB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Year(s) of population estimate</w:t>
            </w:r>
          </w:p>
        </w:tc>
        <w:tc>
          <w:tcPr>
            <w:tcW w:w="550" w:type="pct"/>
            <w:shd w:val="clear" w:color="auto" w:fill="B6DDE8"/>
            <w:hideMark/>
          </w:tcPr>
          <w:p w14:paraId="1C4E367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Short-term trend (%)</w:t>
            </w:r>
          </w:p>
        </w:tc>
        <w:tc>
          <w:tcPr>
            <w:tcW w:w="499" w:type="pct"/>
            <w:shd w:val="clear" w:color="auto" w:fill="B6DDE8"/>
            <w:hideMark/>
          </w:tcPr>
          <w:p w14:paraId="7F8C7CB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Direction</w:t>
            </w:r>
          </w:p>
        </w:tc>
        <w:tc>
          <w:tcPr>
            <w:tcW w:w="649" w:type="pct"/>
            <w:shd w:val="clear" w:color="auto" w:fill="B6DDE8"/>
            <w:hideMark/>
          </w:tcPr>
          <w:p w14:paraId="4B99AAF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Quality</w:t>
            </w:r>
          </w:p>
        </w:tc>
        <w:tc>
          <w:tcPr>
            <w:tcW w:w="1199" w:type="pct"/>
            <w:shd w:val="clear" w:color="auto" w:fill="B6DDE8"/>
          </w:tcPr>
          <w:p w14:paraId="61406C9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Reference</w:t>
            </w:r>
          </w:p>
        </w:tc>
      </w:tr>
      <w:tr w:rsidR="00C96521" w:rsidRPr="00C96521" w14:paraId="2399B185" w14:textId="77777777" w:rsidTr="00235FA0">
        <w:trPr>
          <w:trHeight w:val="48"/>
        </w:trPr>
        <w:tc>
          <w:tcPr>
            <w:tcW w:w="524" w:type="pct"/>
            <w:shd w:val="clear" w:color="auto" w:fill="auto"/>
            <w:hideMark/>
          </w:tcPr>
          <w:p w14:paraId="64455AD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Albania</w:t>
            </w:r>
          </w:p>
        </w:tc>
        <w:tc>
          <w:tcPr>
            <w:tcW w:w="530" w:type="pct"/>
            <w:shd w:val="clear" w:color="auto" w:fill="auto"/>
            <w:hideMark/>
          </w:tcPr>
          <w:p w14:paraId="53BB5FA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800-6,000</w:t>
            </w:r>
          </w:p>
        </w:tc>
        <w:tc>
          <w:tcPr>
            <w:tcW w:w="649" w:type="pct"/>
            <w:shd w:val="clear" w:color="auto" w:fill="auto"/>
            <w:hideMark/>
          </w:tcPr>
          <w:p w14:paraId="56511FD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013F98A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2002-2012</w:t>
            </w:r>
          </w:p>
        </w:tc>
        <w:tc>
          <w:tcPr>
            <w:tcW w:w="550" w:type="pct"/>
            <w:shd w:val="clear" w:color="auto" w:fill="auto"/>
            <w:hideMark/>
          </w:tcPr>
          <w:p w14:paraId="7FD124A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10-30</w:t>
            </w:r>
          </w:p>
        </w:tc>
        <w:tc>
          <w:tcPr>
            <w:tcW w:w="499" w:type="pct"/>
            <w:shd w:val="clear" w:color="auto" w:fill="auto"/>
            <w:hideMark/>
          </w:tcPr>
          <w:p w14:paraId="1578D60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57B8373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199" w:type="pct"/>
          </w:tcPr>
          <w:p w14:paraId="512C17C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2C77515D" w14:textId="77777777" w:rsidTr="00235FA0">
        <w:trPr>
          <w:trHeight w:val="335"/>
        </w:trPr>
        <w:tc>
          <w:tcPr>
            <w:tcW w:w="524" w:type="pct"/>
            <w:shd w:val="clear" w:color="auto" w:fill="auto"/>
            <w:hideMark/>
          </w:tcPr>
          <w:p w14:paraId="5A3C0EE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Algeria</w:t>
            </w:r>
          </w:p>
        </w:tc>
        <w:tc>
          <w:tcPr>
            <w:tcW w:w="530" w:type="pct"/>
            <w:shd w:val="clear" w:color="auto" w:fill="auto"/>
            <w:hideMark/>
          </w:tcPr>
          <w:p w14:paraId="4D15DBF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10,000-30,000</w:t>
            </w:r>
          </w:p>
        </w:tc>
        <w:tc>
          <w:tcPr>
            <w:tcW w:w="649" w:type="pct"/>
            <w:shd w:val="clear" w:color="auto" w:fill="auto"/>
            <w:hideMark/>
          </w:tcPr>
          <w:p w14:paraId="5AA35C5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481AE48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2013</w:t>
            </w:r>
          </w:p>
        </w:tc>
        <w:tc>
          <w:tcPr>
            <w:tcW w:w="550" w:type="pct"/>
            <w:shd w:val="clear" w:color="auto" w:fill="auto"/>
            <w:hideMark/>
          </w:tcPr>
          <w:p w14:paraId="4ABED8B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40-55</w:t>
            </w:r>
          </w:p>
        </w:tc>
        <w:tc>
          <w:tcPr>
            <w:tcW w:w="499" w:type="pct"/>
            <w:shd w:val="clear" w:color="auto" w:fill="auto"/>
            <w:hideMark/>
          </w:tcPr>
          <w:p w14:paraId="168D39C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42EF4C5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7150311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Fadhila Kafi (PhD Thesis), Ettayib Bensaci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33AC9A7B" w14:textId="77777777" w:rsidTr="00235FA0">
        <w:trPr>
          <w:trHeight w:val="156"/>
        </w:trPr>
        <w:tc>
          <w:tcPr>
            <w:tcW w:w="524" w:type="pct"/>
            <w:shd w:val="clear" w:color="auto" w:fill="auto"/>
            <w:hideMark/>
          </w:tcPr>
          <w:p w14:paraId="78791DB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Andorra</w:t>
            </w:r>
          </w:p>
        </w:tc>
        <w:tc>
          <w:tcPr>
            <w:tcW w:w="530" w:type="pct"/>
            <w:shd w:val="clear" w:color="auto" w:fill="auto"/>
            <w:hideMark/>
          </w:tcPr>
          <w:p w14:paraId="597714B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48633CF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2226092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2839CC9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4C6AE29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3B83D95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4C354BD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r>
      <w:tr w:rsidR="00C96521" w:rsidRPr="00C96521" w14:paraId="004860C3" w14:textId="77777777" w:rsidTr="00235FA0">
        <w:trPr>
          <w:trHeight w:val="146"/>
        </w:trPr>
        <w:tc>
          <w:tcPr>
            <w:tcW w:w="524" w:type="pct"/>
            <w:shd w:val="clear" w:color="auto" w:fill="auto"/>
            <w:hideMark/>
          </w:tcPr>
          <w:p w14:paraId="7FAF2CC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Armenia</w:t>
            </w:r>
          </w:p>
        </w:tc>
        <w:tc>
          <w:tcPr>
            <w:tcW w:w="530" w:type="pct"/>
            <w:shd w:val="clear" w:color="auto" w:fill="auto"/>
            <w:hideMark/>
          </w:tcPr>
          <w:p w14:paraId="7E56F00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600-1,200</w:t>
            </w:r>
          </w:p>
        </w:tc>
        <w:tc>
          <w:tcPr>
            <w:tcW w:w="649" w:type="pct"/>
            <w:shd w:val="clear" w:color="auto" w:fill="auto"/>
            <w:hideMark/>
          </w:tcPr>
          <w:p w14:paraId="6842BC2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3399B0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2002-2012</w:t>
            </w:r>
          </w:p>
        </w:tc>
        <w:tc>
          <w:tcPr>
            <w:tcW w:w="550" w:type="pct"/>
            <w:shd w:val="clear" w:color="auto" w:fill="auto"/>
            <w:hideMark/>
          </w:tcPr>
          <w:p w14:paraId="33FE555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3F1C714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41326AA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4631D1B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305EE86D" w14:textId="77777777" w:rsidTr="00235FA0">
        <w:trPr>
          <w:trHeight w:val="48"/>
        </w:trPr>
        <w:tc>
          <w:tcPr>
            <w:tcW w:w="524" w:type="pct"/>
            <w:shd w:val="clear" w:color="auto" w:fill="auto"/>
            <w:hideMark/>
          </w:tcPr>
          <w:p w14:paraId="73B4BA2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Austria</w:t>
            </w:r>
          </w:p>
        </w:tc>
        <w:tc>
          <w:tcPr>
            <w:tcW w:w="530" w:type="pct"/>
            <w:shd w:val="clear" w:color="auto" w:fill="auto"/>
            <w:hideMark/>
          </w:tcPr>
          <w:p w14:paraId="7757706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7,500-11,000</w:t>
            </w:r>
          </w:p>
        </w:tc>
        <w:tc>
          <w:tcPr>
            <w:tcW w:w="649" w:type="pct"/>
            <w:shd w:val="clear" w:color="auto" w:fill="auto"/>
            <w:hideMark/>
          </w:tcPr>
          <w:p w14:paraId="707FBA5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6F1B975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2015</w:t>
            </w:r>
          </w:p>
        </w:tc>
        <w:tc>
          <w:tcPr>
            <w:tcW w:w="550" w:type="pct"/>
            <w:shd w:val="clear" w:color="auto" w:fill="auto"/>
            <w:hideMark/>
          </w:tcPr>
          <w:p w14:paraId="108A677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45-55</w:t>
            </w:r>
          </w:p>
        </w:tc>
        <w:tc>
          <w:tcPr>
            <w:tcW w:w="499" w:type="pct"/>
            <w:shd w:val="clear" w:color="auto" w:fill="auto"/>
            <w:hideMark/>
          </w:tcPr>
          <w:p w14:paraId="28B0C96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212B479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1466372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Dvorak (2017 </w:t>
            </w:r>
            <w:r w:rsidRPr="00C96521">
              <w:rPr>
                <w:rFonts w:cs="Arial"/>
                <w:i/>
                <w:sz w:val="16"/>
                <w:szCs w:val="16"/>
                <w:lang w:val="en-GB" w:eastAsia="ja-JP"/>
              </w:rPr>
              <w:t>in prep</w:t>
            </w:r>
            <w:r w:rsidRPr="00C96521">
              <w:rPr>
                <w:rFonts w:cs="Arial"/>
                <w:sz w:val="16"/>
                <w:szCs w:val="16"/>
                <w:lang w:val="en-GB" w:eastAsia="ja-JP"/>
              </w:rPr>
              <w:t>)</w:t>
            </w:r>
          </w:p>
        </w:tc>
      </w:tr>
      <w:tr w:rsidR="00C96521" w:rsidRPr="00C96521" w14:paraId="01F0664E" w14:textId="77777777" w:rsidTr="00235FA0">
        <w:trPr>
          <w:trHeight w:val="136"/>
        </w:trPr>
        <w:tc>
          <w:tcPr>
            <w:tcW w:w="524" w:type="pct"/>
            <w:shd w:val="clear" w:color="auto" w:fill="auto"/>
            <w:hideMark/>
          </w:tcPr>
          <w:p w14:paraId="440770D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Azerbaijan</w:t>
            </w:r>
          </w:p>
        </w:tc>
        <w:tc>
          <w:tcPr>
            <w:tcW w:w="530" w:type="pct"/>
            <w:shd w:val="clear" w:color="auto" w:fill="auto"/>
            <w:hideMark/>
          </w:tcPr>
          <w:p w14:paraId="6C80E0B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100,000-200,000</w:t>
            </w:r>
          </w:p>
        </w:tc>
        <w:tc>
          <w:tcPr>
            <w:tcW w:w="649" w:type="pct"/>
            <w:shd w:val="clear" w:color="auto" w:fill="auto"/>
            <w:hideMark/>
          </w:tcPr>
          <w:p w14:paraId="273A9D6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00" w:type="pct"/>
            <w:shd w:val="clear" w:color="auto" w:fill="auto"/>
            <w:hideMark/>
          </w:tcPr>
          <w:p w14:paraId="0EB67F0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2000-2015</w:t>
            </w:r>
          </w:p>
        </w:tc>
        <w:tc>
          <w:tcPr>
            <w:tcW w:w="550" w:type="pct"/>
            <w:shd w:val="clear" w:color="auto" w:fill="auto"/>
            <w:hideMark/>
          </w:tcPr>
          <w:p w14:paraId="0A33B88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40-80</w:t>
            </w:r>
          </w:p>
        </w:tc>
        <w:tc>
          <w:tcPr>
            <w:tcW w:w="499" w:type="pct"/>
            <w:shd w:val="clear" w:color="auto" w:fill="auto"/>
            <w:hideMark/>
          </w:tcPr>
          <w:p w14:paraId="7D3B31D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2F2F4C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1DA5EFE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Elchin Sultanov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5F49DF72" w14:textId="77777777" w:rsidTr="00235FA0">
        <w:trPr>
          <w:trHeight w:val="127"/>
        </w:trPr>
        <w:tc>
          <w:tcPr>
            <w:tcW w:w="524" w:type="pct"/>
            <w:shd w:val="clear" w:color="auto" w:fill="auto"/>
            <w:hideMark/>
          </w:tcPr>
          <w:p w14:paraId="7E91707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Belarus</w:t>
            </w:r>
          </w:p>
        </w:tc>
        <w:tc>
          <w:tcPr>
            <w:tcW w:w="530" w:type="pct"/>
            <w:shd w:val="clear" w:color="auto" w:fill="auto"/>
            <w:hideMark/>
          </w:tcPr>
          <w:p w14:paraId="2C944C9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10,000-15,000</w:t>
            </w:r>
          </w:p>
        </w:tc>
        <w:tc>
          <w:tcPr>
            <w:tcW w:w="649" w:type="pct"/>
            <w:shd w:val="clear" w:color="auto" w:fill="auto"/>
            <w:hideMark/>
          </w:tcPr>
          <w:p w14:paraId="504A1E3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4676A92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2013-2016</w:t>
            </w:r>
          </w:p>
        </w:tc>
        <w:tc>
          <w:tcPr>
            <w:tcW w:w="550" w:type="pct"/>
            <w:shd w:val="clear" w:color="auto" w:fill="auto"/>
            <w:hideMark/>
          </w:tcPr>
          <w:p w14:paraId="51452B3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66-75</w:t>
            </w:r>
          </w:p>
        </w:tc>
        <w:tc>
          <w:tcPr>
            <w:tcW w:w="499" w:type="pct"/>
            <w:shd w:val="clear" w:color="auto" w:fill="auto"/>
            <w:hideMark/>
          </w:tcPr>
          <w:p w14:paraId="6596DCB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79DC06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29EC0A0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Levy S, Gritchik V, Vorobei N, Kozulin A, Dombrovski V, Vintchevski A, Sakhvon V, Kuzmitski A and Yakubovich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19643D08" w14:textId="77777777" w:rsidTr="00235FA0">
        <w:trPr>
          <w:trHeight w:val="48"/>
        </w:trPr>
        <w:tc>
          <w:tcPr>
            <w:tcW w:w="524" w:type="pct"/>
            <w:shd w:val="clear" w:color="auto" w:fill="auto"/>
            <w:hideMark/>
          </w:tcPr>
          <w:p w14:paraId="300E12F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Belgium</w:t>
            </w:r>
          </w:p>
        </w:tc>
        <w:tc>
          <w:tcPr>
            <w:tcW w:w="530" w:type="pct"/>
            <w:shd w:val="clear" w:color="auto" w:fill="auto"/>
            <w:hideMark/>
          </w:tcPr>
          <w:p w14:paraId="26FBA0C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3,000-4,500</w:t>
            </w:r>
          </w:p>
        </w:tc>
        <w:tc>
          <w:tcPr>
            <w:tcW w:w="649" w:type="pct"/>
            <w:shd w:val="clear" w:color="auto" w:fill="auto"/>
            <w:hideMark/>
          </w:tcPr>
          <w:p w14:paraId="1E53812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048DA77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2000-2002</w:t>
            </w:r>
          </w:p>
        </w:tc>
        <w:tc>
          <w:tcPr>
            <w:tcW w:w="550" w:type="pct"/>
            <w:shd w:val="clear" w:color="auto" w:fill="auto"/>
            <w:hideMark/>
          </w:tcPr>
          <w:p w14:paraId="495EE10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53</w:t>
            </w:r>
          </w:p>
        </w:tc>
        <w:tc>
          <w:tcPr>
            <w:tcW w:w="499" w:type="pct"/>
            <w:shd w:val="clear" w:color="auto" w:fill="auto"/>
            <w:hideMark/>
          </w:tcPr>
          <w:p w14:paraId="57EB2D4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7435841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44194B2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Vermeersch </w:t>
            </w:r>
            <w:r w:rsidRPr="00C96521">
              <w:rPr>
                <w:rFonts w:cs="Arial"/>
                <w:i/>
                <w:iCs/>
                <w:sz w:val="16"/>
                <w:szCs w:val="16"/>
                <w:lang w:val="en-GB" w:eastAsia="ja-JP"/>
              </w:rPr>
              <w:t>et al</w:t>
            </w:r>
            <w:r w:rsidRPr="00C96521">
              <w:rPr>
                <w:rFonts w:cs="Arial"/>
                <w:sz w:val="16"/>
                <w:szCs w:val="16"/>
                <w:lang w:val="en-GB" w:eastAsia="ja-JP"/>
              </w:rPr>
              <w:t xml:space="preserve"> (2004)</w:t>
            </w:r>
          </w:p>
        </w:tc>
      </w:tr>
      <w:tr w:rsidR="00C96521" w:rsidRPr="00C96521" w14:paraId="38A27A32" w14:textId="77777777" w:rsidTr="00235FA0">
        <w:trPr>
          <w:trHeight w:val="240"/>
        </w:trPr>
        <w:tc>
          <w:tcPr>
            <w:tcW w:w="524" w:type="pct"/>
            <w:shd w:val="clear" w:color="auto" w:fill="auto"/>
            <w:hideMark/>
          </w:tcPr>
          <w:p w14:paraId="3586220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Bosnia and Herzegovina</w:t>
            </w:r>
          </w:p>
        </w:tc>
        <w:tc>
          <w:tcPr>
            <w:tcW w:w="530" w:type="pct"/>
            <w:shd w:val="clear" w:color="auto" w:fill="auto"/>
            <w:hideMark/>
          </w:tcPr>
          <w:p w14:paraId="75D4B41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5,000-15,000</w:t>
            </w:r>
          </w:p>
        </w:tc>
        <w:tc>
          <w:tcPr>
            <w:tcW w:w="649" w:type="pct"/>
            <w:shd w:val="clear" w:color="auto" w:fill="auto"/>
            <w:hideMark/>
          </w:tcPr>
          <w:p w14:paraId="7C0CF99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18D01B2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2010-2014</w:t>
            </w:r>
          </w:p>
        </w:tc>
        <w:tc>
          <w:tcPr>
            <w:tcW w:w="550" w:type="pct"/>
            <w:shd w:val="clear" w:color="auto" w:fill="auto"/>
            <w:hideMark/>
          </w:tcPr>
          <w:p w14:paraId="02AE866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7C66F21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1462199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127BF63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23082445" w14:textId="77777777" w:rsidTr="00235FA0">
        <w:trPr>
          <w:trHeight w:val="184"/>
        </w:trPr>
        <w:tc>
          <w:tcPr>
            <w:tcW w:w="524" w:type="pct"/>
            <w:shd w:val="clear" w:color="auto" w:fill="auto"/>
            <w:hideMark/>
          </w:tcPr>
          <w:p w14:paraId="4C36A98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Bulgaria</w:t>
            </w:r>
          </w:p>
        </w:tc>
        <w:tc>
          <w:tcPr>
            <w:tcW w:w="530" w:type="pct"/>
            <w:shd w:val="clear" w:color="auto" w:fill="auto"/>
            <w:hideMark/>
          </w:tcPr>
          <w:p w14:paraId="68137AC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35,000-100,000</w:t>
            </w:r>
          </w:p>
        </w:tc>
        <w:tc>
          <w:tcPr>
            <w:tcW w:w="649" w:type="pct"/>
            <w:shd w:val="clear" w:color="auto" w:fill="auto"/>
            <w:hideMark/>
          </w:tcPr>
          <w:p w14:paraId="4E5B495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1F18746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2010-2015</w:t>
            </w:r>
          </w:p>
        </w:tc>
        <w:tc>
          <w:tcPr>
            <w:tcW w:w="550" w:type="pct"/>
            <w:shd w:val="clear" w:color="auto" w:fill="auto"/>
            <w:hideMark/>
          </w:tcPr>
          <w:p w14:paraId="0836744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uncertain</w:t>
            </w:r>
          </w:p>
        </w:tc>
        <w:tc>
          <w:tcPr>
            <w:tcW w:w="499" w:type="pct"/>
            <w:shd w:val="clear" w:color="auto" w:fill="auto"/>
            <w:hideMark/>
          </w:tcPr>
          <w:p w14:paraId="2C18827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uncertain</w:t>
            </w:r>
          </w:p>
        </w:tc>
        <w:tc>
          <w:tcPr>
            <w:tcW w:w="649" w:type="pct"/>
            <w:shd w:val="clear" w:color="auto" w:fill="auto"/>
            <w:hideMark/>
          </w:tcPr>
          <w:p w14:paraId="4352F16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600460F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Hristov 2015</w:t>
            </w:r>
          </w:p>
        </w:tc>
      </w:tr>
      <w:tr w:rsidR="00C96521" w:rsidRPr="00C96521" w14:paraId="39C32C7D" w14:textId="77777777" w:rsidTr="00235FA0">
        <w:trPr>
          <w:trHeight w:val="124"/>
        </w:trPr>
        <w:tc>
          <w:tcPr>
            <w:tcW w:w="524" w:type="pct"/>
            <w:shd w:val="clear" w:color="auto" w:fill="auto"/>
            <w:hideMark/>
          </w:tcPr>
          <w:p w14:paraId="0A64245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Croatia</w:t>
            </w:r>
          </w:p>
        </w:tc>
        <w:tc>
          <w:tcPr>
            <w:tcW w:w="530" w:type="pct"/>
            <w:shd w:val="clear" w:color="auto" w:fill="auto"/>
            <w:hideMark/>
          </w:tcPr>
          <w:p w14:paraId="3ED1E23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50,000-100,000</w:t>
            </w:r>
          </w:p>
        </w:tc>
        <w:tc>
          <w:tcPr>
            <w:tcW w:w="649" w:type="pct"/>
            <w:shd w:val="clear" w:color="auto" w:fill="auto"/>
            <w:hideMark/>
          </w:tcPr>
          <w:p w14:paraId="14E0009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70838BE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w:t>
            </w:r>
          </w:p>
        </w:tc>
        <w:tc>
          <w:tcPr>
            <w:tcW w:w="550" w:type="pct"/>
            <w:shd w:val="clear" w:color="auto" w:fill="auto"/>
            <w:hideMark/>
          </w:tcPr>
          <w:p w14:paraId="019BF29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56B66F7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2FDFBFB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35CAA25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4550C3B6" w14:textId="77777777" w:rsidTr="00235FA0">
        <w:trPr>
          <w:trHeight w:val="202"/>
        </w:trPr>
        <w:tc>
          <w:tcPr>
            <w:tcW w:w="524" w:type="pct"/>
            <w:shd w:val="clear" w:color="auto" w:fill="auto"/>
            <w:hideMark/>
          </w:tcPr>
          <w:p w14:paraId="0F8E906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Cyprus</w:t>
            </w:r>
          </w:p>
        </w:tc>
        <w:tc>
          <w:tcPr>
            <w:tcW w:w="530" w:type="pct"/>
            <w:shd w:val="clear" w:color="auto" w:fill="auto"/>
            <w:hideMark/>
          </w:tcPr>
          <w:p w14:paraId="6B47775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3,000-10,000</w:t>
            </w:r>
          </w:p>
        </w:tc>
        <w:tc>
          <w:tcPr>
            <w:tcW w:w="649" w:type="pct"/>
            <w:shd w:val="clear" w:color="auto" w:fill="auto"/>
            <w:hideMark/>
          </w:tcPr>
          <w:p w14:paraId="2FBA4B5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18E89FC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2006-2012</w:t>
            </w:r>
          </w:p>
        </w:tc>
        <w:tc>
          <w:tcPr>
            <w:tcW w:w="550" w:type="pct"/>
            <w:shd w:val="clear" w:color="auto" w:fill="auto"/>
            <w:hideMark/>
          </w:tcPr>
          <w:p w14:paraId="2F4622A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w:t>
            </w:r>
          </w:p>
        </w:tc>
        <w:tc>
          <w:tcPr>
            <w:tcW w:w="499" w:type="pct"/>
            <w:shd w:val="clear" w:color="auto" w:fill="auto"/>
            <w:hideMark/>
          </w:tcPr>
          <w:p w14:paraId="30AB611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39B7963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530A183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2F1CA095" w14:textId="77777777" w:rsidTr="00235FA0">
        <w:trPr>
          <w:trHeight w:val="121"/>
        </w:trPr>
        <w:tc>
          <w:tcPr>
            <w:tcW w:w="524" w:type="pct"/>
            <w:shd w:val="clear" w:color="auto" w:fill="auto"/>
            <w:hideMark/>
          </w:tcPr>
          <w:p w14:paraId="4670F80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Czech Republic</w:t>
            </w:r>
          </w:p>
        </w:tc>
        <w:tc>
          <w:tcPr>
            <w:tcW w:w="530" w:type="pct"/>
            <w:shd w:val="clear" w:color="auto" w:fill="auto"/>
            <w:hideMark/>
          </w:tcPr>
          <w:p w14:paraId="76E724D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50,000-100,000</w:t>
            </w:r>
          </w:p>
        </w:tc>
        <w:tc>
          <w:tcPr>
            <w:tcW w:w="649" w:type="pct"/>
            <w:shd w:val="clear" w:color="auto" w:fill="auto"/>
            <w:hideMark/>
          </w:tcPr>
          <w:p w14:paraId="1C7E1EB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2D6CD94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1982-2014 (short-term trend not available)</w:t>
            </w:r>
          </w:p>
        </w:tc>
        <w:tc>
          <w:tcPr>
            <w:tcW w:w="550" w:type="pct"/>
            <w:shd w:val="clear" w:color="auto" w:fill="auto"/>
            <w:hideMark/>
          </w:tcPr>
          <w:p w14:paraId="43D926C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7CB0946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moderate decrease</w:t>
            </w:r>
          </w:p>
        </w:tc>
        <w:tc>
          <w:tcPr>
            <w:tcW w:w="649" w:type="pct"/>
            <w:shd w:val="clear" w:color="auto" w:fill="auto"/>
            <w:hideMark/>
          </w:tcPr>
          <w:p w14:paraId="1D3A088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566656C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CSO/JPSP 2015</w:t>
            </w:r>
          </w:p>
        </w:tc>
      </w:tr>
      <w:tr w:rsidR="00C96521" w:rsidRPr="00C96521" w14:paraId="08FFAFEE" w14:textId="77777777" w:rsidTr="00235FA0">
        <w:trPr>
          <w:trHeight w:val="130"/>
        </w:trPr>
        <w:tc>
          <w:tcPr>
            <w:tcW w:w="524" w:type="pct"/>
            <w:shd w:val="clear" w:color="auto" w:fill="auto"/>
            <w:hideMark/>
          </w:tcPr>
          <w:p w14:paraId="7849511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Denmark</w:t>
            </w:r>
          </w:p>
        </w:tc>
        <w:tc>
          <w:tcPr>
            <w:tcW w:w="530" w:type="pct"/>
            <w:shd w:val="clear" w:color="auto" w:fill="auto"/>
            <w:hideMark/>
          </w:tcPr>
          <w:p w14:paraId="2FB9AF5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100-150</w:t>
            </w:r>
          </w:p>
        </w:tc>
        <w:tc>
          <w:tcPr>
            <w:tcW w:w="649" w:type="pct"/>
            <w:shd w:val="clear" w:color="auto" w:fill="auto"/>
            <w:hideMark/>
          </w:tcPr>
          <w:p w14:paraId="01883C0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272A9F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2010-2011</w:t>
            </w:r>
          </w:p>
        </w:tc>
        <w:tc>
          <w:tcPr>
            <w:tcW w:w="550" w:type="pct"/>
            <w:shd w:val="clear" w:color="auto" w:fill="auto"/>
            <w:hideMark/>
          </w:tcPr>
          <w:p w14:paraId="63EF13A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w:t>
            </w:r>
          </w:p>
        </w:tc>
        <w:tc>
          <w:tcPr>
            <w:tcW w:w="499" w:type="pct"/>
            <w:shd w:val="clear" w:color="auto" w:fill="auto"/>
            <w:hideMark/>
          </w:tcPr>
          <w:p w14:paraId="65D2492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4F4C78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43AAC2C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Nyegaard </w:t>
            </w:r>
            <w:r w:rsidRPr="00C96521">
              <w:rPr>
                <w:rFonts w:cs="Arial"/>
                <w:i/>
                <w:iCs/>
                <w:sz w:val="16"/>
                <w:szCs w:val="16"/>
                <w:lang w:val="en-GB" w:eastAsia="ja-JP"/>
              </w:rPr>
              <w:t>et al</w:t>
            </w:r>
            <w:r w:rsidRPr="00C96521">
              <w:rPr>
                <w:rFonts w:cs="Arial"/>
                <w:sz w:val="16"/>
                <w:szCs w:val="16"/>
                <w:lang w:val="en-GB" w:eastAsia="ja-JP"/>
              </w:rPr>
              <w:t xml:space="preserve"> (2014)</w:t>
            </w:r>
          </w:p>
        </w:tc>
      </w:tr>
      <w:tr w:rsidR="00C96521" w:rsidRPr="00C96521" w14:paraId="7842E16D" w14:textId="77777777" w:rsidTr="00235FA0">
        <w:trPr>
          <w:trHeight w:val="48"/>
        </w:trPr>
        <w:tc>
          <w:tcPr>
            <w:tcW w:w="524" w:type="pct"/>
            <w:shd w:val="clear" w:color="auto" w:fill="auto"/>
            <w:hideMark/>
          </w:tcPr>
          <w:p w14:paraId="540CEA3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Egypt</w:t>
            </w:r>
          </w:p>
        </w:tc>
        <w:tc>
          <w:tcPr>
            <w:tcW w:w="530" w:type="pct"/>
            <w:shd w:val="clear" w:color="auto" w:fill="auto"/>
            <w:hideMark/>
          </w:tcPr>
          <w:p w14:paraId="0E81448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102DAF2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43A53E0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3549DB6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6D73BD9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0C3E01C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41D7361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r>
      <w:tr w:rsidR="00C96521" w:rsidRPr="00C96521" w14:paraId="61199877" w14:textId="77777777" w:rsidTr="00235FA0">
        <w:trPr>
          <w:trHeight w:val="124"/>
        </w:trPr>
        <w:tc>
          <w:tcPr>
            <w:tcW w:w="524" w:type="pct"/>
            <w:shd w:val="clear" w:color="auto" w:fill="auto"/>
            <w:hideMark/>
          </w:tcPr>
          <w:p w14:paraId="38CF00F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Estonia</w:t>
            </w:r>
          </w:p>
        </w:tc>
        <w:tc>
          <w:tcPr>
            <w:tcW w:w="530" w:type="pct"/>
            <w:shd w:val="clear" w:color="auto" w:fill="auto"/>
            <w:hideMark/>
          </w:tcPr>
          <w:p w14:paraId="7864F2F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1,000-3,000</w:t>
            </w:r>
          </w:p>
        </w:tc>
        <w:tc>
          <w:tcPr>
            <w:tcW w:w="649" w:type="pct"/>
            <w:shd w:val="clear" w:color="auto" w:fill="auto"/>
            <w:hideMark/>
          </w:tcPr>
          <w:p w14:paraId="53CB16B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31339B3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2012</w:t>
            </w:r>
          </w:p>
        </w:tc>
        <w:tc>
          <w:tcPr>
            <w:tcW w:w="550" w:type="pct"/>
            <w:shd w:val="clear" w:color="auto" w:fill="auto"/>
            <w:hideMark/>
          </w:tcPr>
          <w:p w14:paraId="23D7397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30-40</w:t>
            </w:r>
          </w:p>
        </w:tc>
        <w:tc>
          <w:tcPr>
            <w:tcW w:w="499" w:type="pct"/>
            <w:shd w:val="clear" w:color="auto" w:fill="auto"/>
            <w:hideMark/>
          </w:tcPr>
          <w:p w14:paraId="12C38C6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72EF0C6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57BBF7A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Elts </w:t>
            </w:r>
            <w:r w:rsidRPr="00C96521">
              <w:rPr>
                <w:rFonts w:cs="Arial"/>
                <w:i/>
                <w:iCs/>
                <w:sz w:val="16"/>
                <w:szCs w:val="16"/>
                <w:lang w:val="en-GB" w:eastAsia="ja-JP"/>
              </w:rPr>
              <w:t>et al</w:t>
            </w:r>
            <w:r w:rsidRPr="00C96521">
              <w:rPr>
                <w:rFonts w:cs="Arial"/>
                <w:sz w:val="16"/>
                <w:szCs w:val="16"/>
                <w:lang w:val="en-GB" w:eastAsia="ja-JP"/>
              </w:rPr>
              <w:t xml:space="preserve"> (2013)</w:t>
            </w:r>
          </w:p>
        </w:tc>
      </w:tr>
      <w:tr w:rsidR="00C96521" w:rsidRPr="00C96521" w14:paraId="5825F823" w14:textId="77777777" w:rsidTr="00235FA0">
        <w:trPr>
          <w:trHeight w:val="83"/>
        </w:trPr>
        <w:tc>
          <w:tcPr>
            <w:tcW w:w="524" w:type="pct"/>
            <w:shd w:val="clear" w:color="auto" w:fill="auto"/>
            <w:hideMark/>
          </w:tcPr>
          <w:p w14:paraId="2DFAE74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Finland</w:t>
            </w:r>
          </w:p>
        </w:tc>
        <w:tc>
          <w:tcPr>
            <w:tcW w:w="530" w:type="pct"/>
            <w:shd w:val="clear" w:color="auto" w:fill="auto"/>
            <w:hideMark/>
          </w:tcPr>
          <w:p w14:paraId="0D880ED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0-10</w:t>
            </w:r>
          </w:p>
        </w:tc>
        <w:tc>
          <w:tcPr>
            <w:tcW w:w="649" w:type="pct"/>
            <w:shd w:val="clear" w:color="auto" w:fill="auto"/>
            <w:hideMark/>
          </w:tcPr>
          <w:p w14:paraId="37AD81A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1654BF9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2014-2015</w:t>
            </w:r>
          </w:p>
        </w:tc>
        <w:tc>
          <w:tcPr>
            <w:tcW w:w="550" w:type="pct"/>
            <w:shd w:val="clear" w:color="auto" w:fill="auto"/>
            <w:hideMark/>
          </w:tcPr>
          <w:p w14:paraId="4C45B88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27-61</w:t>
            </w:r>
          </w:p>
        </w:tc>
        <w:tc>
          <w:tcPr>
            <w:tcW w:w="499" w:type="pct"/>
            <w:shd w:val="clear" w:color="auto" w:fill="auto"/>
            <w:hideMark/>
          </w:tcPr>
          <w:p w14:paraId="29C3E16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5AAA797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5902B6A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Finland (</w:t>
            </w:r>
            <w:r w:rsidRPr="00C96521">
              <w:rPr>
                <w:rFonts w:cs="Arial"/>
                <w:i/>
                <w:sz w:val="16"/>
                <w:szCs w:val="16"/>
                <w:lang w:val="en-GB" w:eastAsia="ja-JP"/>
              </w:rPr>
              <w:t>unpublished data</w:t>
            </w:r>
            <w:r w:rsidRPr="00C96521">
              <w:rPr>
                <w:rFonts w:cs="Arial"/>
                <w:sz w:val="16"/>
                <w:szCs w:val="16"/>
                <w:lang w:val="en-GB" w:eastAsia="ja-JP"/>
              </w:rPr>
              <w:t>)</w:t>
            </w:r>
          </w:p>
        </w:tc>
      </w:tr>
      <w:tr w:rsidR="00C96521" w:rsidRPr="00C96521" w14:paraId="0ED6ACCA" w14:textId="77777777" w:rsidTr="00235FA0">
        <w:trPr>
          <w:trHeight w:val="171"/>
        </w:trPr>
        <w:tc>
          <w:tcPr>
            <w:tcW w:w="524" w:type="pct"/>
            <w:shd w:val="clear" w:color="auto" w:fill="auto"/>
            <w:hideMark/>
          </w:tcPr>
          <w:p w14:paraId="43AD3DE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France</w:t>
            </w:r>
          </w:p>
        </w:tc>
        <w:tc>
          <w:tcPr>
            <w:tcW w:w="530" w:type="pct"/>
            <w:shd w:val="clear" w:color="auto" w:fill="auto"/>
            <w:hideMark/>
          </w:tcPr>
          <w:p w14:paraId="682C323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300,000-500,000</w:t>
            </w:r>
          </w:p>
        </w:tc>
        <w:tc>
          <w:tcPr>
            <w:tcW w:w="649" w:type="pct"/>
            <w:shd w:val="clear" w:color="auto" w:fill="auto"/>
            <w:hideMark/>
          </w:tcPr>
          <w:p w14:paraId="029022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E97E27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2015</w:t>
            </w:r>
          </w:p>
        </w:tc>
        <w:tc>
          <w:tcPr>
            <w:tcW w:w="550" w:type="pct"/>
            <w:shd w:val="clear" w:color="auto" w:fill="auto"/>
            <w:hideMark/>
          </w:tcPr>
          <w:p w14:paraId="53D7D44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44%</w:t>
            </w:r>
          </w:p>
        </w:tc>
        <w:tc>
          <w:tcPr>
            <w:tcW w:w="499" w:type="pct"/>
            <w:shd w:val="clear" w:color="auto" w:fill="auto"/>
            <w:hideMark/>
          </w:tcPr>
          <w:p w14:paraId="19F8CCD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78D639E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4D7833C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Issa and Muller (2015), Jiguet (2016) </w:t>
            </w:r>
          </w:p>
          <w:p w14:paraId="17681412" w14:textId="77777777" w:rsidR="00C96521" w:rsidRPr="00C96521" w:rsidRDefault="00C96521" w:rsidP="00C96521">
            <w:pPr>
              <w:widowControl/>
              <w:autoSpaceDE/>
              <w:autoSpaceDN/>
              <w:adjustRightInd/>
              <w:rPr>
                <w:rFonts w:cs="Arial"/>
                <w:sz w:val="16"/>
                <w:szCs w:val="16"/>
                <w:lang w:val="en-GB" w:eastAsia="ja-JP"/>
              </w:rPr>
            </w:pPr>
          </w:p>
        </w:tc>
      </w:tr>
      <w:tr w:rsidR="00C96521" w:rsidRPr="00C96521" w14:paraId="45D24638" w14:textId="77777777" w:rsidTr="00235FA0">
        <w:trPr>
          <w:trHeight w:val="104"/>
        </w:trPr>
        <w:tc>
          <w:tcPr>
            <w:tcW w:w="524" w:type="pct"/>
            <w:shd w:val="clear" w:color="auto" w:fill="auto"/>
            <w:hideMark/>
          </w:tcPr>
          <w:p w14:paraId="5CAF885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Georgia</w:t>
            </w:r>
          </w:p>
        </w:tc>
        <w:tc>
          <w:tcPr>
            <w:tcW w:w="530" w:type="pct"/>
            <w:shd w:val="clear" w:color="auto" w:fill="auto"/>
            <w:hideMark/>
          </w:tcPr>
          <w:p w14:paraId="550E4BF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present</w:t>
            </w:r>
          </w:p>
        </w:tc>
        <w:tc>
          <w:tcPr>
            <w:tcW w:w="649" w:type="pct"/>
            <w:shd w:val="clear" w:color="auto" w:fill="auto"/>
            <w:hideMark/>
          </w:tcPr>
          <w:p w14:paraId="2085452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33BBD89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550" w:type="pct"/>
            <w:shd w:val="clear" w:color="auto" w:fill="auto"/>
            <w:hideMark/>
          </w:tcPr>
          <w:p w14:paraId="4871F63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5700A85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4F4759E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7F50477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1369A010" w14:textId="77777777" w:rsidTr="00235FA0">
        <w:trPr>
          <w:trHeight w:val="48"/>
        </w:trPr>
        <w:tc>
          <w:tcPr>
            <w:tcW w:w="524" w:type="pct"/>
            <w:shd w:val="clear" w:color="auto" w:fill="auto"/>
            <w:hideMark/>
          </w:tcPr>
          <w:p w14:paraId="2EDCAFC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Germany</w:t>
            </w:r>
          </w:p>
        </w:tc>
        <w:tc>
          <w:tcPr>
            <w:tcW w:w="530" w:type="pct"/>
            <w:shd w:val="clear" w:color="auto" w:fill="auto"/>
            <w:hideMark/>
          </w:tcPr>
          <w:p w14:paraId="6350528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25,000-45,000</w:t>
            </w:r>
          </w:p>
        </w:tc>
        <w:tc>
          <w:tcPr>
            <w:tcW w:w="649" w:type="pct"/>
            <w:shd w:val="clear" w:color="auto" w:fill="auto"/>
            <w:hideMark/>
          </w:tcPr>
          <w:p w14:paraId="1B7B4B8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400" w:type="pct"/>
            <w:shd w:val="clear" w:color="auto" w:fill="auto"/>
            <w:hideMark/>
          </w:tcPr>
          <w:p w14:paraId="640D5A4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2005-2009</w:t>
            </w:r>
          </w:p>
        </w:tc>
        <w:tc>
          <w:tcPr>
            <w:tcW w:w="550" w:type="pct"/>
            <w:shd w:val="clear" w:color="auto" w:fill="auto"/>
            <w:hideMark/>
          </w:tcPr>
          <w:p w14:paraId="6F4C2BC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38-58</w:t>
            </w:r>
          </w:p>
        </w:tc>
        <w:tc>
          <w:tcPr>
            <w:tcW w:w="499" w:type="pct"/>
            <w:shd w:val="clear" w:color="auto" w:fill="auto"/>
            <w:hideMark/>
          </w:tcPr>
          <w:p w14:paraId="58386C0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0795106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7CA2FA4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EU (2013); Gedeon </w:t>
            </w:r>
            <w:r w:rsidRPr="00C96521">
              <w:rPr>
                <w:rFonts w:cs="Arial"/>
                <w:i/>
                <w:sz w:val="16"/>
                <w:szCs w:val="16"/>
                <w:lang w:val="en-GB" w:eastAsia="ja-JP"/>
              </w:rPr>
              <w:t xml:space="preserve">et al </w:t>
            </w:r>
            <w:r w:rsidRPr="00C96521">
              <w:rPr>
                <w:rFonts w:cs="Arial"/>
                <w:sz w:val="16"/>
                <w:szCs w:val="16"/>
                <w:lang w:val="en-GB" w:eastAsia="ja-JP"/>
              </w:rPr>
              <w:t>(2014)</w:t>
            </w:r>
          </w:p>
        </w:tc>
      </w:tr>
      <w:tr w:rsidR="00C96521" w:rsidRPr="00C96521" w14:paraId="54389B2B" w14:textId="77777777" w:rsidTr="00235FA0">
        <w:trPr>
          <w:trHeight w:val="151"/>
        </w:trPr>
        <w:tc>
          <w:tcPr>
            <w:tcW w:w="524" w:type="pct"/>
            <w:shd w:val="clear" w:color="auto" w:fill="auto"/>
            <w:hideMark/>
          </w:tcPr>
          <w:p w14:paraId="562E46E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Greece</w:t>
            </w:r>
          </w:p>
        </w:tc>
        <w:tc>
          <w:tcPr>
            <w:tcW w:w="530" w:type="pct"/>
            <w:shd w:val="clear" w:color="auto" w:fill="auto"/>
            <w:hideMark/>
          </w:tcPr>
          <w:p w14:paraId="4863C60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30,000-80,000</w:t>
            </w:r>
          </w:p>
        </w:tc>
        <w:tc>
          <w:tcPr>
            <w:tcW w:w="649" w:type="pct"/>
            <w:shd w:val="clear" w:color="auto" w:fill="auto"/>
            <w:hideMark/>
          </w:tcPr>
          <w:p w14:paraId="36B0721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00" w:type="pct"/>
            <w:shd w:val="clear" w:color="auto" w:fill="auto"/>
            <w:hideMark/>
          </w:tcPr>
          <w:p w14:paraId="2A152EF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2007-2013</w:t>
            </w:r>
          </w:p>
        </w:tc>
        <w:tc>
          <w:tcPr>
            <w:tcW w:w="550" w:type="pct"/>
            <w:shd w:val="clear" w:color="auto" w:fill="auto"/>
            <w:hideMark/>
          </w:tcPr>
          <w:p w14:paraId="09B6F74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 / +5</w:t>
            </w:r>
          </w:p>
        </w:tc>
        <w:tc>
          <w:tcPr>
            <w:tcW w:w="499" w:type="pct"/>
            <w:shd w:val="clear" w:color="auto" w:fill="auto"/>
            <w:hideMark/>
          </w:tcPr>
          <w:p w14:paraId="4B38E77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61155C9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0B8DA67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489CE995" w14:textId="77777777" w:rsidTr="00235FA0">
        <w:trPr>
          <w:trHeight w:val="207"/>
        </w:trPr>
        <w:tc>
          <w:tcPr>
            <w:tcW w:w="524" w:type="pct"/>
            <w:shd w:val="clear" w:color="auto" w:fill="auto"/>
            <w:hideMark/>
          </w:tcPr>
          <w:p w14:paraId="1AA59C5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Hungary</w:t>
            </w:r>
          </w:p>
        </w:tc>
        <w:tc>
          <w:tcPr>
            <w:tcW w:w="530" w:type="pct"/>
            <w:shd w:val="clear" w:color="auto" w:fill="auto"/>
            <w:hideMark/>
          </w:tcPr>
          <w:p w14:paraId="5E6B4F4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64,000-150,000</w:t>
            </w:r>
          </w:p>
        </w:tc>
        <w:tc>
          <w:tcPr>
            <w:tcW w:w="649" w:type="pct"/>
            <w:shd w:val="clear" w:color="auto" w:fill="auto"/>
            <w:hideMark/>
          </w:tcPr>
          <w:p w14:paraId="55CE48C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5CB44F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2000-2012</w:t>
            </w:r>
          </w:p>
        </w:tc>
        <w:tc>
          <w:tcPr>
            <w:tcW w:w="550" w:type="pct"/>
            <w:shd w:val="clear" w:color="auto" w:fill="auto"/>
            <w:hideMark/>
          </w:tcPr>
          <w:p w14:paraId="4221EB4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-18 / +13</w:t>
            </w:r>
          </w:p>
        </w:tc>
        <w:tc>
          <w:tcPr>
            <w:tcW w:w="499" w:type="pct"/>
            <w:shd w:val="clear" w:color="auto" w:fill="auto"/>
            <w:hideMark/>
          </w:tcPr>
          <w:p w14:paraId="2A4B24E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1FD3C1A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19B826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Szép </w:t>
            </w:r>
            <w:r w:rsidRPr="00C96521">
              <w:rPr>
                <w:rFonts w:cs="Arial"/>
                <w:i/>
                <w:iCs/>
                <w:sz w:val="16"/>
                <w:szCs w:val="16"/>
                <w:lang w:val="en-GB" w:eastAsia="ja-JP"/>
              </w:rPr>
              <w:t>et al</w:t>
            </w:r>
            <w:r w:rsidRPr="00C96521">
              <w:rPr>
                <w:rFonts w:cs="Arial"/>
                <w:sz w:val="16"/>
                <w:szCs w:val="16"/>
                <w:lang w:val="en-GB" w:eastAsia="ja-JP"/>
              </w:rPr>
              <w:t xml:space="preserve"> (2012)</w:t>
            </w:r>
          </w:p>
        </w:tc>
      </w:tr>
      <w:tr w:rsidR="00C96521" w:rsidRPr="00C96521" w14:paraId="6252E7CD" w14:textId="77777777" w:rsidTr="00235FA0">
        <w:trPr>
          <w:trHeight w:val="157"/>
        </w:trPr>
        <w:tc>
          <w:tcPr>
            <w:tcW w:w="524" w:type="pct"/>
            <w:shd w:val="clear" w:color="auto" w:fill="auto"/>
            <w:hideMark/>
          </w:tcPr>
          <w:p w14:paraId="46B9C82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Israel</w:t>
            </w:r>
          </w:p>
        </w:tc>
        <w:tc>
          <w:tcPr>
            <w:tcW w:w="530" w:type="pct"/>
            <w:shd w:val="clear" w:color="auto" w:fill="auto"/>
            <w:hideMark/>
          </w:tcPr>
          <w:p w14:paraId="6041586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100,000s</w:t>
            </w:r>
          </w:p>
        </w:tc>
        <w:tc>
          <w:tcPr>
            <w:tcW w:w="649" w:type="pct"/>
            <w:shd w:val="clear" w:color="auto" w:fill="auto"/>
            <w:hideMark/>
          </w:tcPr>
          <w:p w14:paraId="45E8B95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00" w:type="pct"/>
            <w:shd w:val="clear" w:color="auto" w:fill="auto"/>
            <w:hideMark/>
          </w:tcPr>
          <w:p w14:paraId="0C1AFD4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1980-2015</w:t>
            </w:r>
          </w:p>
        </w:tc>
        <w:tc>
          <w:tcPr>
            <w:tcW w:w="550" w:type="pct"/>
            <w:shd w:val="clear" w:color="auto" w:fill="auto"/>
            <w:hideMark/>
          </w:tcPr>
          <w:p w14:paraId="02722E0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0-22</w:t>
            </w:r>
          </w:p>
        </w:tc>
        <w:tc>
          <w:tcPr>
            <w:tcW w:w="499" w:type="pct"/>
            <w:shd w:val="clear" w:color="auto" w:fill="auto"/>
            <w:hideMark/>
          </w:tcPr>
          <w:p w14:paraId="715CC21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0E8E0C3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7A77D5D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Shirihai (1996), Perlman </w:t>
            </w:r>
            <w:r w:rsidRPr="00C96521">
              <w:rPr>
                <w:rFonts w:cs="Arial"/>
                <w:i/>
                <w:sz w:val="16"/>
                <w:szCs w:val="16"/>
                <w:lang w:val="en-GB" w:eastAsia="ja-JP"/>
              </w:rPr>
              <w:t>et al</w:t>
            </w:r>
            <w:r w:rsidRPr="00C96521">
              <w:rPr>
                <w:rFonts w:cs="Arial"/>
                <w:sz w:val="16"/>
                <w:szCs w:val="16"/>
                <w:lang w:val="en-GB" w:eastAsia="ja-JP"/>
              </w:rPr>
              <w:t xml:space="preserve"> (2016)</w:t>
            </w:r>
          </w:p>
        </w:tc>
      </w:tr>
      <w:tr w:rsidR="00C96521" w:rsidRPr="009213E9" w14:paraId="5BA301CD" w14:textId="77777777" w:rsidTr="00235FA0">
        <w:trPr>
          <w:trHeight w:val="117"/>
        </w:trPr>
        <w:tc>
          <w:tcPr>
            <w:tcW w:w="524" w:type="pct"/>
            <w:shd w:val="clear" w:color="auto" w:fill="auto"/>
            <w:hideMark/>
          </w:tcPr>
          <w:p w14:paraId="21938FE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Italy</w:t>
            </w:r>
          </w:p>
        </w:tc>
        <w:tc>
          <w:tcPr>
            <w:tcW w:w="530" w:type="pct"/>
            <w:shd w:val="clear" w:color="auto" w:fill="auto"/>
            <w:hideMark/>
          </w:tcPr>
          <w:p w14:paraId="350417A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150,000-300,000</w:t>
            </w:r>
          </w:p>
        </w:tc>
        <w:tc>
          <w:tcPr>
            <w:tcW w:w="649" w:type="pct"/>
            <w:shd w:val="clear" w:color="auto" w:fill="auto"/>
            <w:hideMark/>
          </w:tcPr>
          <w:p w14:paraId="790C959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72D2E07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2015</w:t>
            </w:r>
          </w:p>
        </w:tc>
        <w:tc>
          <w:tcPr>
            <w:tcW w:w="550" w:type="pct"/>
            <w:shd w:val="clear" w:color="auto" w:fill="auto"/>
            <w:hideMark/>
          </w:tcPr>
          <w:p w14:paraId="1EF9708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625E88F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5FB84B3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199" w:type="pct"/>
          </w:tcPr>
          <w:p w14:paraId="3C2B13CA" w14:textId="77777777" w:rsidR="00C96521" w:rsidRPr="00890F11" w:rsidRDefault="00C96521" w:rsidP="00C96521">
            <w:pPr>
              <w:widowControl/>
              <w:autoSpaceDE/>
              <w:autoSpaceDN/>
              <w:adjustRightInd/>
              <w:rPr>
                <w:rFonts w:cs="Arial"/>
                <w:sz w:val="16"/>
                <w:szCs w:val="16"/>
                <w:lang w:val="fr-FR" w:eastAsia="ja-JP"/>
              </w:rPr>
            </w:pPr>
            <w:r w:rsidRPr="00890F11">
              <w:rPr>
                <w:rFonts w:cs="Arial"/>
                <w:sz w:val="16"/>
                <w:szCs w:val="16"/>
                <w:lang w:val="fr-FR" w:eastAsia="ja-JP"/>
              </w:rPr>
              <w:t xml:space="preserve">Nardelli </w:t>
            </w:r>
            <w:r w:rsidRPr="00890F11">
              <w:rPr>
                <w:rFonts w:cs="Arial"/>
                <w:i/>
                <w:iCs/>
                <w:sz w:val="16"/>
                <w:szCs w:val="16"/>
                <w:lang w:val="fr-FR" w:eastAsia="ja-JP"/>
              </w:rPr>
              <w:t>et al</w:t>
            </w:r>
            <w:r w:rsidRPr="00890F11">
              <w:rPr>
                <w:rFonts w:cs="Arial"/>
                <w:sz w:val="16"/>
                <w:szCs w:val="16"/>
                <w:lang w:val="fr-FR" w:eastAsia="ja-JP"/>
              </w:rPr>
              <w:t xml:space="preserve"> (2015), RETE and LIPU (2015), MITO2000 (2016)</w:t>
            </w:r>
          </w:p>
        </w:tc>
      </w:tr>
      <w:tr w:rsidR="00C96521" w:rsidRPr="00C96521" w14:paraId="4BA1C341" w14:textId="77777777" w:rsidTr="00235FA0">
        <w:trPr>
          <w:trHeight w:val="64"/>
        </w:trPr>
        <w:tc>
          <w:tcPr>
            <w:tcW w:w="524" w:type="pct"/>
            <w:shd w:val="clear" w:color="auto" w:fill="auto"/>
            <w:hideMark/>
          </w:tcPr>
          <w:p w14:paraId="1788F20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Jordan</w:t>
            </w:r>
          </w:p>
        </w:tc>
        <w:tc>
          <w:tcPr>
            <w:tcW w:w="530" w:type="pct"/>
            <w:shd w:val="clear" w:color="auto" w:fill="auto"/>
            <w:hideMark/>
          </w:tcPr>
          <w:p w14:paraId="7BB91D1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079D66C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3C7BAF8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700A08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4BE8149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216ABCE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16DD877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r>
      <w:tr w:rsidR="00C96521" w:rsidRPr="00C96521" w14:paraId="6322D976" w14:textId="77777777" w:rsidTr="00235FA0">
        <w:trPr>
          <w:trHeight w:val="167"/>
        </w:trPr>
        <w:tc>
          <w:tcPr>
            <w:tcW w:w="524" w:type="pct"/>
            <w:shd w:val="clear" w:color="auto" w:fill="auto"/>
            <w:hideMark/>
          </w:tcPr>
          <w:p w14:paraId="17CC8037" w14:textId="63D6E6D7" w:rsidR="00C96521" w:rsidRPr="00EF7FD7" w:rsidRDefault="00C96521" w:rsidP="00C96521">
            <w:pPr>
              <w:widowControl/>
              <w:autoSpaceDE/>
              <w:autoSpaceDN/>
              <w:adjustRightInd/>
              <w:rPr>
                <w:rFonts w:cs="Arial"/>
                <w:sz w:val="16"/>
                <w:szCs w:val="16"/>
                <w:lang w:val="en-GB" w:eastAsia="ja-JP"/>
              </w:rPr>
            </w:pPr>
            <w:r w:rsidRPr="006437E1">
              <w:rPr>
                <w:rFonts w:cs="Arial"/>
                <w:sz w:val="16"/>
                <w:szCs w:val="16"/>
                <w:lang w:val="en-GB" w:eastAsia="ja-JP"/>
              </w:rPr>
              <w:t>Kosovo</w:t>
            </w:r>
            <w:r w:rsidR="006437E1" w:rsidRPr="006437E1">
              <w:rPr>
                <w:rFonts w:cs="Arial"/>
                <w:sz w:val="16"/>
                <w:szCs w:val="16"/>
                <w:lang w:val="en-GB" w:eastAsia="ja-JP"/>
              </w:rPr>
              <w:t xml:space="preserve"> (UN Res 1244)</w:t>
            </w:r>
          </w:p>
        </w:tc>
        <w:tc>
          <w:tcPr>
            <w:tcW w:w="530" w:type="pct"/>
            <w:shd w:val="clear" w:color="auto" w:fill="auto"/>
            <w:hideMark/>
          </w:tcPr>
          <w:p w14:paraId="1B5F6B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7,000-11,000</w:t>
            </w:r>
          </w:p>
        </w:tc>
        <w:tc>
          <w:tcPr>
            <w:tcW w:w="649" w:type="pct"/>
            <w:shd w:val="clear" w:color="auto" w:fill="auto"/>
            <w:hideMark/>
          </w:tcPr>
          <w:p w14:paraId="369EF20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0AB843E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2009-2014</w:t>
            </w:r>
          </w:p>
        </w:tc>
        <w:tc>
          <w:tcPr>
            <w:tcW w:w="550" w:type="pct"/>
            <w:shd w:val="clear" w:color="auto" w:fill="auto"/>
            <w:hideMark/>
          </w:tcPr>
          <w:p w14:paraId="5A1289D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143F573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5D01F62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2F4E1FB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5E577493" w14:textId="77777777" w:rsidTr="00235FA0">
        <w:trPr>
          <w:trHeight w:val="98"/>
        </w:trPr>
        <w:tc>
          <w:tcPr>
            <w:tcW w:w="524" w:type="pct"/>
            <w:shd w:val="clear" w:color="auto" w:fill="auto"/>
            <w:hideMark/>
          </w:tcPr>
          <w:p w14:paraId="4AFD6FF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Latvia</w:t>
            </w:r>
          </w:p>
        </w:tc>
        <w:tc>
          <w:tcPr>
            <w:tcW w:w="530" w:type="pct"/>
            <w:shd w:val="clear" w:color="auto" w:fill="auto"/>
            <w:hideMark/>
          </w:tcPr>
          <w:p w14:paraId="77BE1AD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10,341-30,431</w:t>
            </w:r>
          </w:p>
        </w:tc>
        <w:tc>
          <w:tcPr>
            <w:tcW w:w="649" w:type="pct"/>
            <w:shd w:val="clear" w:color="auto" w:fill="auto"/>
            <w:hideMark/>
          </w:tcPr>
          <w:p w14:paraId="5319AE4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1B40E9B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2008</w:t>
            </w:r>
          </w:p>
        </w:tc>
        <w:tc>
          <w:tcPr>
            <w:tcW w:w="550" w:type="pct"/>
            <w:shd w:val="clear" w:color="auto" w:fill="auto"/>
            <w:hideMark/>
          </w:tcPr>
          <w:p w14:paraId="2451C86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-87.93 (period 2005-2014)</w:t>
            </w:r>
          </w:p>
        </w:tc>
        <w:tc>
          <w:tcPr>
            <w:tcW w:w="499" w:type="pct"/>
            <w:shd w:val="clear" w:color="auto" w:fill="auto"/>
            <w:hideMark/>
          </w:tcPr>
          <w:p w14:paraId="7080D0A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8D0B4D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19B5610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Auniņš (2015)</w:t>
            </w:r>
          </w:p>
        </w:tc>
      </w:tr>
      <w:tr w:rsidR="00C96521" w:rsidRPr="009213E9" w14:paraId="693A56D3" w14:textId="77777777" w:rsidTr="00235FA0">
        <w:trPr>
          <w:trHeight w:val="186"/>
        </w:trPr>
        <w:tc>
          <w:tcPr>
            <w:tcW w:w="524" w:type="pct"/>
            <w:shd w:val="clear" w:color="auto" w:fill="auto"/>
            <w:hideMark/>
          </w:tcPr>
          <w:p w14:paraId="5C2005F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Lebanon</w:t>
            </w:r>
          </w:p>
        </w:tc>
        <w:tc>
          <w:tcPr>
            <w:tcW w:w="530" w:type="pct"/>
            <w:shd w:val="clear" w:color="auto" w:fill="auto"/>
            <w:hideMark/>
          </w:tcPr>
          <w:p w14:paraId="5392ABE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650-900</w:t>
            </w:r>
          </w:p>
        </w:tc>
        <w:tc>
          <w:tcPr>
            <w:tcW w:w="649" w:type="pct"/>
            <w:shd w:val="clear" w:color="auto" w:fill="auto"/>
            <w:hideMark/>
          </w:tcPr>
          <w:p w14:paraId="3CD9937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01FAE7D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2000-2015</w:t>
            </w:r>
          </w:p>
        </w:tc>
        <w:tc>
          <w:tcPr>
            <w:tcW w:w="550" w:type="pct"/>
            <w:shd w:val="clear" w:color="auto" w:fill="auto"/>
            <w:hideMark/>
          </w:tcPr>
          <w:p w14:paraId="119CF20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3.6-5</w:t>
            </w:r>
          </w:p>
        </w:tc>
        <w:tc>
          <w:tcPr>
            <w:tcW w:w="499" w:type="pct"/>
            <w:shd w:val="clear" w:color="auto" w:fill="auto"/>
            <w:hideMark/>
          </w:tcPr>
          <w:p w14:paraId="4CFCF47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F3B83D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493DF705" w14:textId="77777777" w:rsidR="00C96521" w:rsidRPr="006437E1" w:rsidRDefault="00C96521" w:rsidP="00C96521">
            <w:pPr>
              <w:widowControl/>
              <w:autoSpaceDE/>
              <w:autoSpaceDN/>
              <w:adjustRightInd/>
              <w:rPr>
                <w:rFonts w:cs="Arial"/>
                <w:sz w:val="16"/>
                <w:szCs w:val="16"/>
                <w:lang w:val="fr-FR" w:eastAsia="ja-JP"/>
              </w:rPr>
            </w:pPr>
            <w:r w:rsidRPr="006437E1">
              <w:rPr>
                <w:rFonts w:cs="Arial"/>
                <w:sz w:val="16"/>
                <w:szCs w:val="16"/>
                <w:lang w:val="fr-FR" w:eastAsia="ja-JP"/>
              </w:rPr>
              <w:t>Ghassan Ramadan Jaradi (</w:t>
            </w:r>
            <w:r w:rsidRPr="006437E1">
              <w:rPr>
                <w:rFonts w:cs="Arial"/>
                <w:i/>
                <w:sz w:val="16"/>
                <w:szCs w:val="16"/>
                <w:lang w:val="fr-FR" w:eastAsia="ja-JP"/>
              </w:rPr>
              <w:t>pers comm</w:t>
            </w:r>
            <w:r w:rsidRPr="006437E1">
              <w:rPr>
                <w:rFonts w:cs="Arial"/>
                <w:sz w:val="16"/>
                <w:szCs w:val="16"/>
                <w:lang w:val="fr-FR" w:eastAsia="ja-JP"/>
              </w:rPr>
              <w:t>)</w:t>
            </w:r>
          </w:p>
        </w:tc>
      </w:tr>
      <w:tr w:rsidR="00C96521" w:rsidRPr="00C96521" w14:paraId="102C2F15" w14:textId="77777777" w:rsidTr="00235FA0">
        <w:trPr>
          <w:trHeight w:val="131"/>
        </w:trPr>
        <w:tc>
          <w:tcPr>
            <w:tcW w:w="524" w:type="pct"/>
            <w:shd w:val="clear" w:color="auto" w:fill="auto"/>
            <w:hideMark/>
          </w:tcPr>
          <w:p w14:paraId="7E21DEF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Libya</w:t>
            </w:r>
          </w:p>
        </w:tc>
        <w:tc>
          <w:tcPr>
            <w:tcW w:w="530" w:type="pct"/>
            <w:shd w:val="clear" w:color="auto" w:fill="auto"/>
            <w:hideMark/>
          </w:tcPr>
          <w:p w14:paraId="74730B9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7C9138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6A41295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60DCFC8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18D17B4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3773F6C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76CF779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r>
      <w:tr w:rsidR="00C96521" w:rsidRPr="00C96521" w14:paraId="40C4948E" w14:textId="77777777" w:rsidTr="00235FA0">
        <w:trPr>
          <w:trHeight w:val="78"/>
        </w:trPr>
        <w:tc>
          <w:tcPr>
            <w:tcW w:w="524" w:type="pct"/>
            <w:shd w:val="clear" w:color="auto" w:fill="auto"/>
            <w:hideMark/>
          </w:tcPr>
          <w:p w14:paraId="0A16ED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Liechtenstein</w:t>
            </w:r>
          </w:p>
        </w:tc>
        <w:tc>
          <w:tcPr>
            <w:tcW w:w="530" w:type="pct"/>
            <w:shd w:val="clear" w:color="auto" w:fill="auto"/>
            <w:hideMark/>
          </w:tcPr>
          <w:p w14:paraId="2CB1966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0-2</w:t>
            </w:r>
          </w:p>
        </w:tc>
        <w:tc>
          <w:tcPr>
            <w:tcW w:w="649" w:type="pct"/>
            <w:shd w:val="clear" w:color="auto" w:fill="auto"/>
            <w:hideMark/>
          </w:tcPr>
          <w:p w14:paraId="33E2CA7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1E7D74F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2009-2014</w:t>
            </w:r>
          </w:p>
        </w:tc>
        <w:tc>
          <w:tcPr>
            <w:tcW w:w="550" w:type="pct"/>
            <w:shd w:val="clear" w:color="auto" w:fill="auto"/>
            <w:hideMark/>
          </w:tcPr>
          <w:p w14:paraId="4DFE1E9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28E8A3C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7FDF0A9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2AA616C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36D98E6F" w14:textId="77777777" w:rsidTr="00235FA0">
        <w:trPr>
          <w:trHeight w:val="68"/>
        </w:trPr>
        <w:tc>
          <w:tcPr>
            <w:tcW w:w="524" w:type="pct"/>
            <w:shd w:val="clear" w:color="auto" w:fill="auto"/>
            <w:hideMark/>
          </w:tcPr>
          <w:p w14:paraId="5083D14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Lithuania</w:t>
            </w:r>
          </w:p>
        </w:tc>
        <w:tc>
          <w:tcPr>
            <w:tcW w:w="530" w:type="pct"/>
            <w:shd w:val="clear" w:color="auto" w:fill="auto"/>
            <w:hideMark/>
          </w:tcPr>
          <w:p w14:paraId="6C001B0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4,000-7,000</w:t>
            </w:r>
          </w:p>
        </w:tc>
        <w:tc>
          <w:tcPr>
            <w:tcW w:w="649" w:type="pct"/>
            <w:shd w:val="clear" w:color="auto" w:fill="auto"/>
            <w:hideMark/>
          </w:tcPr>
          <w:p w14:paraId="5B1AE3D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31A4983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2012</w:t>
            </w:r>
          </w:p>
        </w:tc>
        <w:tc>
          <w:tcPr>
            <w:tcW w:w="550" w:type="pct"/>
            <w:shd w:val="clear" w:color="auto" w:fill="auto"/>
            <w:hideMark/>
          </w:tcPr>
          <w:p w14:paraId="126F296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5-10</w:t>
            </w:r>
          </w:p>
        </w:tc>
        <w:tc>
          <w:tcPr>
            <w:tcW w:w="499" w:type="pct"/>
            <w:shd w:val="clear" w:color="auto" w:fill="auto"/>
            <w:hideMark/>
          </w:tcPr>
          <w:p w14:paraId="4D95191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BF0165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7495EE0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EU (2013)</w:t>
            </w:r>
          </w:p>
        </w:tc>
      </w:tr>
      <w:tr w:rsidR="00C96521" w:rsidRPr="00C96521" w14:paraId="11BE2E2E" w14:textId="77777777" w:rsidTr="00235FA0">
        <w:trPr>
          <w:trHeight w:val="111"/>
        </w:trPr>
        <w:tc>
          <w:tcPr>
            <w:tcW w:w="524" w:type="pct"/>
            <w:shd w:val="clear" w:color="auto" w:fill="auto"/>
            <w:hideMark/>
          </w:tcPr>
          <w:p w14:paraId="533A16F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lastRenderedPageBreak/>
              <w:t>Luxembourg</w:t>
            </w:r>
          </w:p>
        </w:tc>
        <w:tc>
          <w:tcPr>
            <w:tcW w:w="530" w:type="pct"/>
            <w:shd w:val="clear" w:color="auto" w:fill="auto"/>
            <w:hideMark/>
          </w:tcPr>
          <w:p w14:paraId="768F9EA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150-200</w:t>
            </w:r>
          </w:p>
        </w:tc>
        <w:tc>
          <w:tcPr>
            <w:tcW w:w="649" w:type="pct"/>
            <w:shd w:val="clear" w:color="auto" w:fill="auto"/>
            <w:hideMark/>
          </w:tcPr>
          <w:p w14:paraId="7EC64AD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00" w:type="pct"/>
            <w:shd w:val="clear" w:color="auto" w:fill="auto"/>
            <w:hideMark/>
          </w:tcPr>
          <w:p w14:paraId="1832737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2000-2012</w:t>
            </w:r>
          </w:p>
        </w:tc>
        <w:tc>
          <w:tcPr>
            <w:tcW w:w="550" w:type="pct"/>
            <w:shd w:val="clear" w:color="auto" w:fill="auto"/>
            <w:hideMark/>
          </w:tcPr>
          <w:p w14:paraId="6284C08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0-20</w:t>
            </w:r>
          </w:p>
        </w:tc>
        <w:tc>
          <w:tcPr>
            <w:tcW w:w="499" w:type="pct"/>
            <w:shd w:val="clear" w:color="auto" w:fill="auto"/>
            <w:hideMark/>
          </w:tcPr>
          <w:p w14:paraId="19DBA1A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9D5B25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3627038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1F91D3F4" w14:textId="77777777" w:rsidTr="00235FA0">
        <w:trPr>
          <w:trHeight w:val="274"/>
        </w:trPr>
        <w:tc>
          <w:tcPr>
            <w:tcW w:w="524" w:type="pct"/>
            <w:shd w:val="clear" w:color="auto" w:fill="auto"/>
            <w:hideMark/>
          </w:tcPr>
          <w:p w14:paraId="265E1B9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Malta</w:t>
            </w:r>
          </w:p>
        </w:tc>
        <w:tc>
          <w:tcPr>
            <w:tcW w:w="530" w:type="pct"/>
            <w:shd w:val="clear" w:color="auto" w:fill="auto"/>
            <w:hideMark/>
          </w:tcPr>
          <w:p w14:paraId="03541DE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0-14 (not confirmed [Raine </w:t>
            </w:r>
            <w:r w:rsidRPr="00C96521">
              <w:rPr>
                <w:rFonts w:cs="Arial"/>
                <w:i/>
                <w:sz w:val="16"/>
                <w:szCs w:val="16"/>
                <w:lang w:val="en-GB" w:eastAsia="ja-JP"/>
              </w:rPr>
              <w:t xml:space="preserve">et al </w:t>
            </w:r>
            <w:r w:rsidRPr="00C96521">
              <w:rPr>
                <w:rFonts w:cs="Arial"/>
                <w:sz w:val="16"/>
                <w:szCs w:val="16"/>
                <w:lang w:val="en-GB" w:eastAsia="ja-JP"/>
              </w:rPr>
              <w:t>2009])</w:t>
            </w:r>
          </w:p>
        </w:tc>
        <w:tc>
          <w:tcPr>
            <w:tcW w:w="649" w:type="pct"/>
            <w:shd w:val="clear" w:color="auto" w:fill="auto"/>
            <w:hideMark/>
          </w:tcPr>
          <w:p w14:paraId="4D0C28C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684DF1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2008</w:t>
            </w:r>
          </w:p>
        </w:tc>
        <w:tc>
          <w:tcPr>
            <w:tcW w:w="550" w:type="pct"/>
            <w:shd w:val="clear" w:color="auto" w:fill="auto"/>
            <w:hideMark/>
          </w:tcPr>
          <w:p w14:paraId="126F57D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548893F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6A1369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41B6DEE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Raine </w:t>
            </w:r>
            <w:r w:rsidRPr="00C96521">
              <w:rPr>
                <w:rFonts w:cs="Arial"/>
                <w:i/>
                <w:iCs/>
                <w:sz w:val="16"/>
                <w:szCs w:val="16"/>
                <w:lang w:val="en-GB" w:eastAsia="ja-JP"/>
              </w:rPr>
              <w:t>et al</w:t>
            </w:r>
            <w:r w:rsidRPr="00C96521">
              <w:rPr>
                <w:rFonts w:cs="Arial"/>
                <w:sz w:val="16"/>
                <w:szCs w:val="16"/>
                <w:lang w:val="en-GB" w:eastAsia="ja-JP"/>
              </w:rPr>
              <w:t xml:space="preserve"> (2009), Sultana </w:t>
            </w:r>
            <w:r w:rsidRPr="00C96521">
              <w:rPr>
                <w:rFonts w:cs="Arial"/>
                <w:i/>
                <w:sz w:val="16"/>
                <w:szCs w:val="16"/>
                <w:lang w:val="en-GB" w:eastAsia="ja-JP"/>
              </w:rPr>
              <w:t>et al</w:t>
            </w:r>
            <w:r w:rsidRPr="00C96521">
              <w:rPr>
                <w:rFonts w:cs="Arial"/>
                <w:sz w:val="16"/>
                <w:szCs w:val="16"/>
                <w:lang w:val="en-GB" w:eastAsia="ja-JP"/>
              </w:rPr>
              <w:t xml:space="preserve"> (2011), Wild Birds Regulation Unit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63719AE9" w14:textId="77777777" w:rsidTr="00235FA0">
        <w:trPr>
          <w:trHeight w:val="126"/>
        </w:trPr>
        <w:tc>
          <w:tcPr>
            <w:tcW w:w="524" w:type="pct"/>
            <w:shd w:val="clear" w:color="auto" w:fill="auto"/>
            <w:hideMark/>
          </w:tcPr>
          <w:p w14:paraId="0D1005B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Montenegro</w:t>
            </w:r>
          </w:p>
        </w:tc>
        <w:tc>
          <w:tcPr>
            <w:tcW w:w="530" w:type="pct"/>
            <w:shd w:val="clear" w:color="auto" w:fill="auto"/>
            <w:hideMark/>
          </w:tcPr>
          <w:p w14:paraId="3AB887C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10,000-15,000</w:t>
            </w:r>
          </w:p>
        </w:tc>
        <w:tc>
          <w:tcPr>
            <w:tcW w:w="649" w:type="pct"/>
            <w:shd w:val="clear" w:color="auto" w:fill="auto"/>
            <w:hideMark/>
          </w:tcPr>
          <w:p w14:paraId="543E145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6C9F442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2010-2015</w:t>
            </w:r>
          </w:p>
        </w:tc>
        <w:tc>
          <w:tcPr>
            <w:tcW w:w="550" w:type="pct"/>
            <w:shd w:val="clear" w:color="auto" w:fill="auto"/>
            <w:hideMark/>
          </w:tcPr>
          <w:p w14:paraId="3506008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42501B9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63EEE5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199" w:type="pct"/>
          </w:tcPr>
          <w:p w14:paraId="074B00F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Montenegro EPA (2009)</w:t>
            </w:r>
          </w:p>
        </w:tc>
      </w:tr>
      <w:tr w:rsidR="00C96521" w:rsidRPr="00C96521" w14:paraId="3A409479" w14:textId="77777777" w:rsidTr="00235FA0">
        <w:trPr>
          <w:trHeight w:val="73"/>
        </w:trPr>
        <w:tc>
          <w:tcPr>
            <w:tcW w:w="524" w:type="pct"/>
            <w:shd w:val="clear" w:color="auto" w:fill="auto"/>
            <w:hideMark/>
          </w:tcPr>
          <w:p w14:paraId="1850D4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Morocco</w:t>
            </w:r>
          </w:p>
        </w:tc>
        <w:tc>
          <w:tcPr>
            <w:tcW w:w="530" w:type="pct"/>
            <w:shd w:val="clear" w:color="auto" w:fill="auto"/>
            <w:hideMark/>
          </w:tcPr>
          <w:p w14:paraId="7004903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 (60,000 pairs for Tadla Region alone)</w:t>
            </w:r>
          </w:p>
        </w:tc>
        <w:tc>
          <w:tcPr>
            <w:tcW w:w="649" w:type="pct"/>
            <w:shd w:val="clear" w:color="auto" w:fill="auto"/>
            <w:hideMark/>
          </w:tcPr>
          <w:p w14:paraId="7A1D4FD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518CDE6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2014</w:t>
            </w:r>
          </w:p>
        </w:tc>
        <w:tc>
          <w:tcPr>
            <w:tcW w:w="550" w:type="pct"/>
            <w:shd w:val="clear" w:color="auto" w:fill="auto"/>
            <w:hideMark/>
          </w:tcPr>
          <w:p w14:paraId="243D9DB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6AD75B9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62E1132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6FA8D00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Hanane and Besnard (2014)</w:t>
            </w:r>
          </w:p>
        </w:tc>
      </w:tr>
      <w:tr w:rsidR="00C96521" w:rsidRPr="00C96521" w14:paraId="5E70252A" w14:textId="77777777" w:rsidTr="00235FA0">
        <w:trPr>
          <w:trHeight w:val="175"/>
        </w:trPr>
        <w:tc>
          <w:tcPr>
            <w:tcW w:w="524" w:type="pct"/>
            <w:shd w:val="clear" w:color="auto" w:fill="auto"/>
            <w:hideMark/>
          </w:tcPr>
          <w:p w14:paraId="5A8CC53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Netherlands</w:t>
            </w:r>
          </w:p>
        </w:tc>
        <w:tc>
          <w:tcPr>
            <w:tcW w:w="530" w:type="pct"/>
            <w:shd w:val="clear" w:color="auto" w:fill="auto"/>
            <w:hideMark/>
          </w:tcPr>
          <w:p w14:paraId="6575BD7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4,763-5,715</w:t>
            </w:r>
          </w:p>
        </w:tc>
        <w:tc>
          <w:tcPr>
            <w:tcW w:w="649" w:type="pct"/>
            <w:shd w:val="clear" w:color="auto" w:fill="auto"/>
            <w:hideMark/>
          </w:tcPr>
          <w:p w14:paraId="70F2882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235EE93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2008-2011</w:t>
            </w:r>
          </w:p>
        </w:tc>
        <w:tc>
          <w:tcPr>
            <w:tcW w:w="550" w:type="pct"/>
            <w:shd w:val="clear" w:color="auto" w:fill="auto"/>
            <w:hideMark/>
          </w:tcPr>
          <w:p w14:paraId="0B248AD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27-55</w:t>
            </w:r>
          </w:p>
        </w:tc>
        <w:tc>
          <w:tcPr>
            <w:tcW w:w="499" w:type="pct"/>
            <w:shd w:val="clear" w:color="auto" w:fill="auto"/>
            <w:hideMark/>
          </w:tcPr>
          <w:p w14:paraId="13EE262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32398E4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65147F9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61E7CB6E" w14:textId="77777777" w:rsidTr="00235FA0">
        <w:trPr>
          <w:trHeight w:val="240"/>
        </w:trPr>
        <w:tc>
          <w:tcPr>
            <w:tcW w:w="524" w:type="pct"/>
            <w:shd w:val="clear" w:color="auto" w:fill="auto"/>
            <w:hideMark/>
          </w:tcPr>
          <w:p w14:paraId="0F4E9D8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Palestinian Territory</w:t>
            </w:r>
          </w:p>
        </w:tc>
        <w:tc>
          <w:tcPr>
            <w:tcW w:w="530" w:type="pct"/>
            <w:shd w:val="clear" w:color="auto" w:fill="auto"/>
            <w:hideMark/>
          </w:tcPr>
          <w:p w14:paraId="55FDA1F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7E3ACEA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3117B6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75B431B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1CE405C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72BDBA0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739623C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r>
      <w:tr w:rsidR="00C96521" w:rsidRPr="00C96521" w14:paraId="2070A7D9" w14:textId="77777777" w:rsidTr="00235FA0">
        <w:trPr>
          <w:trHeight w:val="154"/>
        </w:trPr>
        <w:tc>
          <w:tcPr>
            <w:tcW w:w="524" w:type="pct"/>
            <w:shd w:val="clear" w:color="auto" w:fill="auto"/>
            <w:hideMark/>
          </w:tcPr>
          <w:p w14:paraId="14742D1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Poland</w:t>
            </w:r>
          </w:p>
        </w:tc>
        <w:tc>
          <w:tcPr>
            <w:tcW w:w="530" w:type="pct"/>
            <w:shd w:val="clear" w:color="auto" w:fill="auto"/>
            <w:hideMark/>
          </w:tcPr>
          <w:p w14:paraId="47F2243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25,000-49,000</w:t>
            </w:r>
          </w:p>
        </w:tc>
        <w:tc>
          <w:tcPr>
            <w:tcW w:w="649" w:type="pct"/>
            <w:shd w:val="clear" w:color="auto" w:fill="auto"/>
            <w:hideMark/>
          </w:tcPr>
          <w:p w14:paraId="2F653F6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5A3E4D4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2008-2012</w:t>
            </w:r>
          </w:p>
        </w:tc>
        <w:tc>
          <w:tcPr>
            <w:tcW w:w="550" w:type="pct"/>
            <w:shd w:val="clear" w:color="auto" w:fill="auto"/>
            <w:hideMark/>
          </w:tcPr>
          <w:p w14:paraId="2328589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25-55</w:t>
            </w:r>
          </w:p>
        </w:tc>
        <w:tc>
          <w:tcPr>
            <w:tcW w:w="499" w:type="pct"/>
            <w:shd w:val="clear" w:color="auto" w:fill="auto"/>
            <w:hideMark/>
          </w:tcPr>
          <w:p w14:paraId="5DDC707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CD3D24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1538005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C96521" w:rsidRPr="00C96521" w14:paraId="6C6CA847" w14:textId="77777777" w:rsidTr="00235FA0">
        <w:trPr>
          <w:trHeight w:val="113"/>
        </w:trPr>
        <w:tc>
          <w:tcPr>
            <w:tcW w:w="524" w:type="pct"/>
            <w:shd w:val="clear" w:color="auto" w:fill="auto"/>
            <w:hideMark/>
          </w:tcPr>
          <w:p w14:paraId="1CE3FEC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Portugal</w:t>
            </w:r>
          </w:p>
        </w:tc>
        <w:tc>
          <w:tcPr>
            <w:tcW w:w="530" w:type="pct"/>
            <w:shd w:val="clear" w:color="auto" w:fill="auto"/>
            <w:hideMark/>
          </w:tcPr>
          <w:p w14:paraId="71B30F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10,000-50,000</w:t>
            </w:r>
          </w:p>
        </w:tc>
        <w:tc>
          <w:tcPr>
            <w:tcW w:w="649" w:type="pct"/>
            <w:shd w:val="clear" w:color="auto" w:fill="auto"/>
            <w:hideMark/>
          </w:tcPr>
          <w:p w14:paraId="7D7626C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38BA5E8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2008-2012</w:t>
            </w:r>
          </w:p>
        </w:tc>
        <w:tc>
          <w:tcPr>
            <w:tcW w:w="550" w:type="pct"/>
            <w:shd w:val="clear" w:color="auto" w:fill="auto"/>
            <w:hideMark/>
          </w:tcPr>
          <w:p w14:paraId="60CA6BB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39-59</w:t>
            </w:r>
          </w:p>
        </w:tc>
        <w:tc>
          <w:tcPr>
            <w:tcW w:w="499" w:type="pct"/>
            <w:shd w:val="clear" w:color="auto" w:fill="auto"/>
            <w:hideMark/>
          </w:tcPr>
          <w:p w14:paraId="509233A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3D54D8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790C6AD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International (2015), Susana Dias (</w:t>
            </w:r>
            <w:r w:rsidRPr="00C96521">
              <w:rPr>
                <w:rFonts w:cs="Arial"/>
                <w:i/>
                <w:sz w:val="16"/>
                <w:szCs w:val="16"/>
                <w:lang w:val="en-GB" w:eastAsia="ja-JP"/>
              </w:rPr>
              <w:t>pers comm</w:t>
            </w:r>
            <w:r w:rsidRPr="00C96521">
              <w:rPr>
                <w:rFonts w:cs="Arial"/>
                <w:sz w:val="16"/>
                <w:szCs w:val="16"/>
                <w:lang w:val="en-GB" w:eastAsia="ja-JP"/>
              </w:rPr>
              <w:t>)</w:t>
            </w:r>
          </w:p>
        </w:tc>
      </w:tr>
      <w:tr w:rsidR="00EF7FD7" w:rsidRPr="00C96521" w14:paraId="68104480" w14:textId="77777777" w:rsidTr="00235FA0">
        <w:trPr>
          <w:trHeight w:val="136"/>
        </w:trPr>
        <w:tc>
          <w:tcPr>
            <w:tcW w:w="524" w:type="pct"/>
            <w:shd w:val="clear" w:color="auto" w:fill="auto"/>
          </w:tcPr>
          <w:p w14:paraId="14B6FD02" w14:textId="6A25B247" w:rsidR="00EF7FD7" w:rsidRPr="00C96521" w:rsidRDefault="00EF7FD7" w:rsidP="00EF7FD7">
            <w:pPr>
              <w:widowControl/>
              <w:autoSpaceDE/>
              <w:autoSpaceDN/>
              <w:adjustRightInd/>
              <w:rPr>
                <w:rFonts w:cs="Arial"/>
                <w:sz w:val="16"/>
                <w:szCs w:val="16"/>
                <w:lang w:val="en-GB" w:eastAsia="ja-JP"/>
              </w:rPr>
            </w:pPr>
            <w:r>
              <w:rPr>
                <w:rFonts w:cs="Arial"/>
                <w:sz w:val="16"/>
                <w:szCs w:val="16"/>
                <w:lang w:val="en-GB" w:eastAsia="ja-JP"/>
              </w:rPr>
              <w:t>Republic of Moldova</w:t>
            </w:r>
          </w:p>
        </w:tc>
        <w:tc>
          <w:tcPr>
            <w:tcW w:w="530" w:type="pct"/>
            <w:shd w:val="clear" w:color="auto" w:fill="auto"/>
          </w:tcPr>
          <w:p w14:paraId="4B14ECA6" w14:textId="441A0D1A"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3,000-3,500</w:t>
            </w:r>
          </w:p>
        </w:tc>
        <w:tc>
          <w:tcPr>
            <w:tcW w:w="649" w:type="pct"/>
            <w:shd w:val="clear" w:color="auto" w:fill="auto"/>
          </w:tcPr>
          <w:p w14:paraId="7CC77B9C" w14:textId="36756E3F"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tcPr>
          <w:p w14:paraId="0BDE11AD" w14:textId="52132B85"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2000-2010</w:t>
            </w:r>
          </w:p>
        </w:tc>
        <w:tc>
          <w:tcPr>
            <w:tcW w:w="550" w:type="pct"/>
            <w:shd w:val="clear" w:color="auto" w:fill="auto"/>
          </w:tcPr>
          <w:p w14:paraId="6158D304" w14:textId="447975D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0</w:t>
            </w:r>
          </w:p>
        </w:tc>
        <w:tc>
          <w:tcPr>
            <w:tcW w:w="499" w:type="pct"/>
            <w:shd w:val="clear" w:color="auto" w:fill="auto"/>
          </w:tcPr>
          <w:p w14:paraId="27A430FF" w14:textId="02AAA1DC"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tcPr>
          <w:p w14:paraId="60F879BB" w14:textId="671025D9"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3762E5A2" w14:textId="7188E720"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EF7FD7" w:rsidRPr="00C96521" w14:paraId="69BA8A4E" w14:textId="77777777" w:rsidTr="00235FA0">
        <w:trPr>
          <w:trHeight w:val="136"/>
        </w:trPr>
        <w:tc>
          <w:tcPr>
            <w:tcW w:w="524" w:type="pct"/>
            <w:shd w:val="clear" w:color="auto" w:fill="auto"/>
            <w:hideMark/>
          </w:tcPr>
          <w:p w14:paraId="1F809FB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Romania</w:t>
            </w:r>
          </w:p>
        </w:tc>
        <w:tc>
          <w:tcPr>
            <w:tcW w:w="530" w:type="pct"/>
            <w:shd w:val="clear" w:color="auto" w:fill="auto"/>
            <w:hideMark/>
          </w:tcPr>
          <w:p w14:paraId="247BBC98"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120,000-300,000</w:t>
            </w:r>
          </w:p>
        </w:tc>
        <w:tc>
          <w:tcPr>
            <w:tcW w:w="649" w:type="pct"/>
            <w:shd w:val="clear" w:color="auto" w:fill="auto"/>
            <w:hideMark/>
          </w:tcPr>
          <w:p w14:paraId="39FEE4E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029FD83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2010-2013</w:t>
            </w:r>
          </w:p>
        </w:tc>
        <w:tc>
          <w:tcPr>
            <w:tcW w:w="550" w:type="pct"/>
            <w:shd w:val="clear" w:color="auto" w:fill="auto"/>
            <w:hideMark/>
          </w:tcPr>
          <w:p w14:paraId="4936AA92"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0-20</w:t>
            </w:r>
          </w:p>
        </w:tc>
        <w:tc>
          <w:tcPr>
            <w:tcW w:w="499" w:type="pct"/>
            <w:shd w:val="clear" w:color="auto" w:fill="auto"/>
            <w:hideMark/>
          </w:tcPr>
          <w:p w14:paraId="513A6ECB"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fluctuating</w:t>
            </w:r>
          </w:p>
        </w:tc>
        <w:tc>
          <w:tcPr>
            <w:tcW w:w="649" w:type="pct"/>
            <w:shd w:val="clear" w:color="auto" w:fill="auto"/>
            <w:hideMark/>
          </w:tcPr>
          <w:p w14:paraId="49B944B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638E6B62"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EU (2013)</w:t>
            </w:r>
          </w:p>
        </w:tc>
      </w:tr>
      <w:tr w:rsidR="00EF7FD7" w:rsidRPr="00C96521" w14:paraId="46D672BD" w14:textId="77777777" w:rsidTr="00235FA0">
        <w:trPr>
          <w:trHeight w:val="133"/>
        </w:trPr>
        <w:tc>
          <w:tcPr>
            <w:tcW w:w="524" w:type="pct"/>
            <w:shd w:val="clear" w:color="auto" w:fill="auto"/>
            <w:hideMark/>
          </w:tcPr>
          <w:p w14:paraId="3458CE45" w14:textId="7FB0BA29"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Russia</w:t>
            </w:r>
            <w:r>
              <w:rPr>
                <w:rFonts w:cs="Arial"/>
                <w:sz w:val="16"/>
                <w:szCs w:val="16"/>
                <w:lang w:val="en-GB" w:eastAsia="ja-JP"/>
              </w:rPr>
              <w:t>n Federation</w:t>
            </w:r>
            <w:r w:rsidRPr="00C96521">
              <w:rPr>
                <w:rFonts w:cs="Arial"/>
                <w:sz w:val="16"/>
                <w:szCs w:val="16"/>
                <w:lang w:val="en-GB" w:eastAsia="ja-JP"/>
              </w:rPr>
              <w:t xml:space="preserve"> (Europe)</w:t>
            </w:r>
          </w:p>
        </w:tc>
        <w:tc>
          <w:tcPr>
            <w:tcW w:w="530" w:type="pct"/>
            <w:shd w:val="clear" w:color="auto" w:fill="auto"/>
            <w:hideMark/>
          </w:tcPr>
          <w:p w14:paraId="4DEDF12D"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30,000-80,000</w:t>
            </w:r>
          </w:p>
        </w:tc>
        <w:tc>
          <w:tcPr>
            <w:tcW w:w="649" w:type="pct"/>
            <w:shd w:val="clear" w:color="auto" w:fill="auto"/>
            <w:hideMark/>
          </w:tcPr>
          <w:p w14:paraId="3C4A297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04254CBE"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2001-2012</w:t>
            </w:r>
          </w:p>
        </w:tc>
        <w:tc>
          <w:tcPr>
            <w:tcW w:w="550" w:type="pct"/>
            <w:shd w:val="clear" w:color="auto" w:fill="auto"/>
            <w:hideMark/>
          </w:tcPr>
          <w:p w14:paraId="25FDC35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80-90</w:t>
            </w:r>
          </w:p>
        </w:tc>
        <w:tc>
          <w:tcPr>
            <w:tcW w:w="499" w:type="pct"/>
            <w:shd w:val="clear" w:color="auto" w:fill="auto"/>
            <w:hideMark/>
          </w:tcPr>
          <w:p w14:paraId="133B511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5A2EEEB"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36B4881C"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Mischenko (</w:t>
            </w:r>
            <w:r w:rsidRPr="00C96521">
              <w:rPr>
                <w:rFonts w:cs="Arial"/>
                <w:i/>
                <w:sz w:val="16"/>
                <w:szCs w:val="16"/>
                <w:lang w:val="en-GB" w:eastAsia="ja-JP"/>
              </w:rPr>
              <w:t>in press</w:t>
            </w:r>
            <w:r w:rsidRPr="00C96521">
              <w:rPr>
                <w:rFonts w:cs="Arial"/>
                <w:sz w:val="16"/>
                <w:szCs w:val="16"/>
                <w:lang w:val="en-GB" w:eastAsia="ja-JP"/>
              </w:rPr>
              <w:t>)</w:t>
            </w:r>
          </w:p>
        </w:tc>
      </w:tr>
      <w:tr w:rsidR="00EF7FD7" w:rsidRPr="00C96521" w14:paraId="617F2E0F" w14:textId="77777777" w:rsidTr="00235FA0">
        <w:trPr>
          <w:trHeight w:val="235"/>
        </w:trPr>
        <w:tc>
          <w:tcPr>
            <w:tcW w:w="524" w:type="pct"/>
            <w:shd w:val="clear" w:color="auto" w:fill="auto"/>
            <w:hideMark/>
          </w:tcPr>
          <w:p w14:paraId="2BFC8AF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Serbia</w:t>
            </w:r>
          </w:p>
        </w:tc>
        <w:tc>
          <w:tcPr>
            <w:tcW w:w="530" w:type="pct"/>
            <w:shd w:val="clear" w:color="auto" w:fill="auto"/>
            <w:hideMark/>
          </w:tcPr>
          <w:p w14:paraId="126BD217"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39,000-53,000</w:t>
            </w:r>
          </w:p>
        </w:tc>
        <w:tc>
          <w:tcPr>
            <w:tcW w:w="649" w:type="pct"/>
            <w:shd w:val="clear" w:color="auto" w:fill="auto"/>
            <w:hideMark/>
          </w:tcPr>
          <w:p w14:paraId="4D67843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1747ECE0"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2008-2012</w:t>
            </w:r>
          </w:p>
        </w:tc>
        <w:tc>
          <w:tcPr>
            <w:tcW w:w="550" w:type="pct"/>
            <w:shd w:val="clear" w:color="auto" w:fill="auto"/>
            <w:hideMark/>
          </w:tcPr>
          <w:p w14:paraId="3D571E5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1-9</w:t>
            </w:r>
          </w:p>
        </w:tc>
        <w:tc>
          <w:tcPr>
            <w:tcW w:w="499" w:type="pct"/>
            <w:shd w:val="clear" w:color="auto" w:fill="auto"/>
            <w:hideMark/>
          </w:tcPr>
          <w:p w14:paraId="523509E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57CA22F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00ABFFC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 xml:space="preserve">Puzović </w:t>
            </w:r>
            <w:r w:rsidRPr="00C96521">
              <w:rPr>
                <w:rFonts w:cs="Arial"/>
                <w:i/>
                <w:iCs/>
                <w:sz w:val="16"/>
                <w:szCs w:val="16"/>
                <w:lang w:val="en-GB" w:eastAsia="ja-JP"/>
              </w:rPr>
              <w:t xml:space="preserve">et al </w:t>
            </w:r>
            <w:r w:rsidRPr="00C96521">
              <w:rPr>
                <w:rFonts w:cs="Arial"/>
                <w:sz w:val="16"/>
                <w:szCs w:val="16"/>
                <w:lang w:val="en-GB" w:eastAsia="ja-JP"/>
              </w:rPr>
              <w:t>(2003); BirdLife International (2015)</w:t>
            </w:r>
          </w:p>
        </w:tc>
      </w:tr>
      <w:tr w:rsidR="00EF7FD7" w:rsidRPr="00C96521" w14:paraId="477D3EB8" w14:textId="77777777" w:rsidTr="00235FA0">
        <w:trPr>
          <w:trHeight w:val="119"/>
        </w:trPr>
        <w:tc>
          <w:tcPr>
            <w:tcW w:w="524" w:type="pct"/>
            <w:shd w:val="clear" w:color="auto" w:fill="auto"/>
            <w:hideMark/>
          </w:tcPr>
          <w:p w14:paraId="6716CFF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Slovakia</w:t>
            </w:r>
          </w:p>
        </w:tc>
        <w:tc>
          <w:tcPr>
            <w:tcW w:w="530" w:type="pct"/>
            <w:shd w:val="clear" w:color="auto" w:fill="auto"/>
            <w:hideMark/>
          </w:tcPr>
          <w:p w14:paraId="713505D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15,000-30,000</w:t>
            </w:r>
          </w:p>
        </w:tc>
        <w:tc>
          <w:tcPr>
            <w:tcW w:w="649" w:type="pct"/>
            <w:shd w:val="clear" w:color="auto" w:fill="auto"/>
            <w:hideMark/>
          </w:tcPr>
          <w:p w14:paraId="1A2E753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0353333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2002</w:t>
            </w:r>
          </w:p>
        </w:tc>
        <w:tc>
          <w:tcPr>
            <w:tcW w:w="550" w:type="pct"/>
            <w:shd w:val="clear" w:color="auto" w:fill="auto"/>
            <w:hideMark/>
          </w:tcPr>
          <w:p w14:paraId="29E0B15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0</w:t>
            </w:r>
          </w:p>
        </w:tc>
        <w:tc>
          <w:tcPr>
            <w:tcW w:w="499" w:type="pct"/>
            <w:shd w:val="clear" w:color="auto" w:fill="auto"/>
            <w:hideMark/>
          </w:tcPr>
          <w:p w14:paraId="2BFFB00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hideMark/>
          </w:tcPr>
          <w:p w14:paraId="0B108BC2"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14CE401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EF7FD7" w:rsidRPr="00C96521" w14:paraId="19879585" w14:textId="77777777" w:rsidTr="00235FA0">
        <w:trPr>
          <w:trHeight w:val="87"/>
        </w:trPr>
        <w:tc>
          <w:tcPr>
            <w:tcW w:w="524" w:type="pct"/>
            <w:shd w:val="clear" w:color="auto" w:fill="auto"/>
            <w:hideMark/>
          </w:tcPr>
          <w:p w14:paraId="2ADBF18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Slovenia</w:t>
            </w:r>
          </w:p>
        </w:tc>
        <w:tc>
          <w:tcPr>
            <w:tcW w:w="530" w:type="pct"/>
            <w:shd w:val="clear" w:color="auto" w:fill="auto"/>
            <w:hideMark/>
          </w:tcPr>
          <w:p w14:paraId="52CED72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3,500-5,000</w:t>
            </w:r>
          </w:p>
        </w:tc>
        <w:tc>
          <w:tcPr>
            <w:tcW w:w="649" w:type="pct"/>
            <w:shd w:val="clear" w:color="auto" w:fill="auto"/>
            <w:hideMark/>
          </w:tcPr>
          <w:p w14:paraId="642216E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400" w:type="pct"/>
            <w:shd w:val="clear" w:color="auto" w:fill="auto"/>
            <w:hideMark/>
          </w:tcPr>
          <w:p w14:paraId="0AD5FDFB"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2002-2012</w:t>
            </w:r>
          </w:p>
        </w:tc>
        <w:tc>
          <w:tcPr>
            <w:tcW w:w="550" w:type="pct"/>
            <w:shd w:val="clear" w:color="auto" w:fill="auto"/>
            <w:hideMark/>
          </w:tcPr>
          <w:p w14:paraId="4E7D3A0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25-47</w:t>
            </w:r>
          </w:p>
        </w:tc>
        <w:tc>
          <w:tcPr>
            <w:tcW w:w="499" w:type="pct"/>
            <w:shd w:val="clear" w:color="auto" w:fill="auto"/>
            <w:hideMark/>
          </w:tcPr>
          <w:p w14:paraId="3528396C"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632FA90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199" w:type="pct"/>
          </w:tcPr>
          <w:p w14:paraId="3673F4E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Mihelič (2013), Kmecl and Figelj (2015)</w:t>
            </w:r>
          </w:p>
        </w:tc>
      </w:tr>
      <w:tr w:rsidR="00EF7FD7" w:rsidRPr="00C96521" w14:paraId="1D3655CE" w14:textId="77777777" w:rsidTr="00235FA0">
        <w:trPr>
          <w:trHeight w:val="240"/>
        </w:trPr>
        <w:tc>
          <w:tcPr>
            <w:tcW w:w="524" w:type="pct"/>
            <w:shd w:val="clear" w:color="auto" w:fill="auto"/>
            <w:hideMark/>
          </w:tcPr>
          <w:p w14:paraId="017FC0F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Spain</w:t>
            </w:r>
          </w:p>
        </w:tc>
        <w:tc>
          <w:tcPr>
            <w:tcW w:w="530" w:type="pct"/>
            <w:shd w:val="clear" w:color="auto" w:fill="auto"/>
            <w:hideMark/>
          </w:tcPr>
          <w:p w14:paraId="1D1BBA8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1,370,000-2,285,000</w:t>
            </w:r>
          </w:p>
        </w:tc>
        <w:tc>
          <w:tcPr>
            <w:tcW w:w="649" w:type="pct"/>
            <w:shd w:val="clear" w:color="auto" w:fill="auto"/>
            <w:hideMark/>
          </w:tcPr>
          <w:p w14:paraId="4BCF6FE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400" w:type="pct"/>
            <w:shd w:val="clear" w:color="auto" w:fill="auto"/>
            <w:hideMark/>
          </w:tcPr>
          <w:p w14:paraId="7004283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2004-2006</w:t>
            </w:r>
          </w:p>
        </w:tc>
        <w:tc>
          <w:tcPr>
            <w:tcW w:w="550" w:type="pct"/>
            <w:shd w:val="clear" w:color="auto" w:fill="auto"/>
            <w:hideMark/>
          </w:tcPr>
          <w:p w14:paraId="6A870EAE"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22.96 (over the period 1998-2015)</w:t>
            </w:r>
          </w:p>
        </w:tc>
        <w:tc>
          <w:tcPr>
            <w:tcW w:w="499" w:type="pct"/>
            <w:shd w:val="clear" w:color="auto" w:fill="auto"/>
            <w:hideMark/>
          </w:tcPr>
          <w:p w14:paraId="5A4B279D"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103B9C4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59E765B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SEO/BirdLife (2016b)</w:t>
            </w:r>
          </w:p>
        </w:tc>
      </w:tr>
      <w:tr w:rsidR="00EF7FD7" w:rsidRPr="00C96521" w14:paraId="00ABE575" w14:textId="77777777" w:rsidTr="00235FA0">
        <w:trPr>
          <w:trHeight w:val="81"/>
        </w:trPr>
        <w:tc>
          <w:tcPr>
            <w:tcW w:w="524" w:type="pct"/>
            <w:shd w:val="clear" w:color="auto" w:fill="auto"/>
            <w:hideMark/>
          </w:tcPr>
          <w:p w14:paraId="4886936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Switzerland</w:t>
            </w:r>
          </w:p>
        </w:tc>
        <w:tc>
          <w:tcPr>
            <w:tcW w:w="530" w:type="pct"/>
            <w:shd w:val="clear" w:color="auto" w:fill="auto"/>
            <w:hideMark/>
          </w:tcPr>
          <w:p w14:paraId="6DD0DE6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1,000-2,500</w:t>
            </w:r>
          </w:p>
        </w:tc>
        <w:tc>
          <w:tcPr>
            <w:tcW w:w="649" w:type="pct"/>
            <w:shd w:val="clear" w:color="auto" w:fill="auto"/>
            <w:hideMark/>
          </w:tcPr>
          <w:p w14:paraId="00F02FE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400" w:type="pct"/>
            <w:shd w:val="clear" w:color="auto" w:fill="auto"/>
            <w:hideMark/>
          </w:tcPr>
          <w:p w14:paraId="196A130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1993-1996</w:t>
            </w:r>
          </w:p>
        </w:tc>
        <w:tc>
          <w:tcPr>
            <w:tcW w:w="550" w:type="pct"/>
            <w:shd w:val="clear" w:color="auto" w:fill="auto"/>
            <w:hideMark/>
          </w:tcPr>
          <w:p w14:paraId="156894D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20-40</w:t>
            </w:r>
          </w:p>
        </w:tc>
        <w:tc>
          <w:tcPr>
            <w:tcW w:w="499" w:type="pct"/>
            <w:shd w:val="clear" w:color="auto" w:fill="auto"/>
            <w:hideMark/>
          </w:tcPr>
          <w:p w14:paraId="6821C76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72EC198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669BC39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 xml:space="preserve">Schmid </w:t>
            </w:r>
            <w:r w:rsidRPr="00C96521">
              <w:rPr>
                <w:rFonts w:cs="Arial"/>
                <w:i/>
                <w:iCs/>
                <w:sz w:val="16"/>
                <w:szCs w:val="16"/>
                <w:lang w:val="en-GB" w:eastAsia="ja-JP"/>
              </w:rPr>
              <w:t>et al</w:t>
            </w:r>
            <w:r w:rsidRPr="00C96521">
              <w:rPr>
                <w:rFonts w:cs="Arial"/>
                <w:sz w:val="16"/>
                <w:szCs w:val="16"/>
                <w:lang w:val="en-GB" w:eastAsia="ja-JP"/>
              </w:rPr>
              <w:t xml:space="preserve"> (1998)</w:t>
            </w:r>
          </w:p>
        </w:tc>
      </w:tr>
      <w:tr w:rsidR="00EF7FD7" w:rsidRPr="00C96521" w14:paraId="6CF6D9BB" w14:textId="77777777" w:rsidTr="00235FA0">
        <w:trPr>
          <w:trHeight w:val="48"/>
        </w:trPr>
        <w:tc>
          <w:tcPr>
            <w:tcW w:w="524" w:type="pct"/>
            <w:shd w:val="clear" w:color="auto" w:fill="auto"/>
            <w:hideMark/>
          </w:tcPr>
          <w:p w14:paraId="5D8E6C4E" w14:textId="2DC1BC01"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Syria</w:t>
            </w:r>
            <w:r>
              <w:rPr>
                <w:rFonts w:cs="Arial"/>
                <w:sz w:val="16"/>
                <w:szCs w:val="16"/>
                <w:lang w:val="en-GB" w:eastAsia="ja-JP"/>
              </w:rPr>
              <w:t>n Arab Republic</w:t>
            </w:r>
          </w:p>
        </w:tc>
        <w:tc>
          <w:tcPr>
            <w:tcW w:w="530" w:type="pct"/>
            <w:shd w:val="clear" w:color="auto" w:fill="auto"/>
            <w:hideMark/>
          </w:tcPr>
          <w:p w14:paraId="3BDDCC0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10,000-100,000</w:t>
            </w:r>
          </w:p>
        </w:tc>
        <w:tc>
          <w:tcPr>
            <w:tcW w:w="649" w:type="pct"/>
            <w:shd w:val="clear" w:color="auto" w:fill="auto"/>
            <w:hideMark/>
          </w:tcPr>
          <w:p w14:paraId="46E8BF6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hideMark/>
          </w:tcPr>
          <w:p w14:paraId="6A036EE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2010</w:t>
            </w:r>
          </w:p>
        </w:tc>
        <w:tc>
          <w:tcPr>
            <w:tcW w:w="550" w:type="pct"/>
            <w:shd w:val="clear" w:color="auto" w:fill="auto"/>
            <w:hideMark/>
          </w:tcPr>
          <w:p w14:paraId="20C1FB92"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50-75</w:t>
            </w:r>
          </w:p>
        </w:tc>
        <w:tc>
          <w:tcPr>
            <w:tcW w:w="499" w:type="pct"/>
            <w:shd w:val="clear" w:color="auto" w:fill="auto"/>
            <w:hideMark/>
          </w:tcPr>
          <w:p w14:paraId="4CDCC23E"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4C1492D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4C517B5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Nabegh Ghazal Asswad (</w:t>
            </w:r>
            <w:r w:rsidRPr="00C96521">
              <w:rPr>
                <w:rFonts w:cs="Arial"/>
                <w:i/>
                <w:sz w:val="16"/>
                <w:szCs w:val="16"/>
                <w:lang w:val="en-GB" w:eastAsia="ja-JP"/>
              </w:rPr>
              <w:t>pers comm</w:t>
            </w:r>
            <w:r w:rsidRPr="00C96521">
              <w:rPr>
                <w:rFonts w:cs="Arial"/>
                <w:sz w:val="16"/>
                <w:szCs w:val="16"/>
                <w:lang w:val="en-GB" w:eastAsia="ja-JP"/>
              </w:rPr>
              <w:t>)</w:t>
            </w:r>
          </w:p>
        </w:tc>
      </w:tr>
      <w:tr w:rsidR="00EF7FD7" w:rsidRPr="00C96521" w14:paraId="36FEE495" w14:textId="77777777" w:rsidTr="00235FA0">
        <w:trPr>
          <w:trHeight w:val="130"/>
        </w:trPr>
        <w:tc>
          <w:tcPr>
            <w:tcW w:w="524" w:type="pct"/>
            <w:shd w:val="clear" w:color="auto" w:fill="auto"/>
          </w:tcPr>
          <w:p w14:paraId="33E006F5" w14:textId="355ADEA3" w:rsidR="00EF7FD7" w:rsidRPr="00C96521" w:rsidRDefault="00EF7FD7" w:rsidP="00EF7FD7">
            <w:pPr>
              <w:widowControl/>
              <w:autoSpaceDE/>
              <w:autoSpaceDN/>
              <w:adjustRightInd/>
              <w:rPr>
                <w:rFonts w:cs="Arial"/>
                <w:sz w:val="16"/>
                <w:szCs w:val="16"/>
                <w:lang w:val="en-GB" w:eastAsia="ja-JP"/>
              </w:rPr>
            </w:pPr>
            <w:r>
              <w:rPr>
                <w:rFonts w:cs="Arial"/>
                <w:sz w:val="16"/>
                <w:szCs w:val="16"/>
                <w:lang w:val="en-GB" w:eastAsia="ja-JP"/>
              </w:rPr>
              <w:t>The Former Yugoslav Republic of Macedonia</w:t>
            </w:r>
          </w:p>
        </w:tc>
        <w:tc>
          <w:tcPr>
            <w:tcW w:w="530" w:type="pct"/>
            <w:shd w:val="clear" w:color="auto" w:fill="auto"/>
          </w:tcPr>
          <w:p w14:paraId="3477BC99" w14:textId="52005D82"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20,000-60,000</w:t>
            </w:r>
          </w:p>
        </w:tc>
        <w:tc>
          <w:tcPr>
            <w:tcW w:w="649" w:type="pct"/>
            <w:shd w:val="clear" w:color="auto" w:fill="auto"/>
          </w:tcPr>
          <w:p w14:paraId="708AFA05" w14:textId="73102A80"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00" w:type="pct"/>
            <w:shd w:val="clear" w:color="auto" w:fill="auto"/>
          </w:tcPr>
          <w:p w14:paraId="1EA673C0" w14:textId="4E3B6E61"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2001-2012</w:t>
            </w:r>
          </w:p>
        </w:tc>
        <w:tc>
          <w:tcPr>
            <w:tcW w:w="550" w:type="pct"/>
            <w:shd w:val="clear" w:color="auto" w:fill="auto"/>
          </w:tcPr>
          <w:p w14:paraId="72B34FCF" w14:textId="59065F12"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0</w:t>
            </w:r>
          </w:p>
        </w:tc>
        <w:tc>
          <w:tcPr>
            <w:tcW w:w="499" w:type="pct"/>
            <w:shd w:val="clear" w:color="auto" w:fill="auto"/>
          </w:tcPr>
          <w:p w14:paraId="6409A7D7" w14:textId="647A1B9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stable</w:t>
            </w:r>
          </w:p>
        </w:tc>
        <w:tc>
          <w:tcPr>
            <w:tcW w:w="649" w:type="pct"/>
            <w:shd w:val="clear" w:color="auto" w:fill="auto"/>
          </w:tcPr>
          <w:p w14:paraId="6178D5D2" w14:textId="3B8158D5"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199" w:type="pct"/>
          </w:tcPr>
          <w:p w14:paraId="73AFB6A6" w14:textId="6C39A936"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BirdLife International (2015)</w:t>
            </w:r>
          </w:p>
        </w:tc>
      </w:tr>
      <w:tr w:rsidR="00EF7FD7" w:rsidRPr="00C96521" w14:paraId="1FD0BCC8" w14:textId="77777777" w:rsidTr="00235FA0">
        <w:trPr>
          <w:trHeight w:val="130"/>
        </w:trPr>
        <w:tc>
          <w:tcPr>
            <w:tcW w:w="524" w:type="pct"/>
            <w:shd w:val="clear" w:color="auto" w:fill="auto"/>
            <w:hideMark/>
          </w:tcPr>
          <w:p w14:paraId="550BBC3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Tunisia</w:t>
            </w:r>
          </w:p>
        </w:tc>
        <w:tc>
          <w:tcPr>
            <w:tcW w:w="530" w:type="pct"/>
            <w:shd w:val="clear" w:color="auto" w:fill="auto"/>
            <w:hideMark/>
          </w:tcPr>
          <w:p w14:paraId="3E3F74F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23765D41"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00" w:type="pct"/>
            <w:shd w:val="clear" w:color="auto" w:fill="auto"/>
            <w:hideMark/>
          </w:tcPr>
          <w:p w14:paraId="0EE44B53"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50" w:type="pct"/>
            <w:shd w:val="clear" w:color="auto" w:fill="auto"/>
            <w:hideMark/>
          </w:tcPr>
          <w:p w14:paraId="672A7848"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499" w:type="pct"/>
            <w:shd w:val="clear" w:color="auto" w:fill="auto"/>
            <w:hideMark/>
          </w:tcPr>
          <w:p w14:paraId="635546C8"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49" w:type="pct"/>
            <w:shd w:val="clear" w:color="auto" w:fill="auto"/>
            <w:hideMark/>
          </w:tcPr>
          <w:p w14:paraId="598964A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199" w:type="pct"/>
          </w:tcPr>
          <w:p w14:paraId="06E87B5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w:t>
            </w:r>
          </w:p>
        </w:tc>
      </w:tr>
      <w:tr w:rsidR="00EF7FD7" w:rsidRPr="00C96521" w14:paraId="3469CEF3" w14:textId="77777777" w:rsidTr="00235FA0">
        <w:trPr>
          <w:trHeight w:val="203"/>
        </w:trPr>
        <w:tc>
          <w:tcPr>
            <w:tcW w:w="524" w:type="pct"/>
            <w:shd w:val="clear" w:color="auto" w:fill="auto"/>
            <w:hideMark/>
          </w:tcPr>
          <w:p w14:paraId="25E7080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Turkey</w:t>
            </w:r>
          </w:p>
        </w:tc>
        <w:tc>
          <w:tcPr>
            <w:tcW w:w="530" w:type="pct"/>
            <w:shd w:val="clear" w:color="auto" w:fill="auto"/>
            <w:hideMark/>
          </w:tcPr>
          <w:p w14:paraId="2B2B669C"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300,000-900,000</w:t>
            </w:r>
          </w:p>
        </w:tc>
        <w:tc>
          <w:tcPr>
            <w:tcW w:w="649" w:type="pct"/>
            <w:shd w:val="clear" w:color="auto" w:fill="auto"/>
            <w:hideMark/>
          </w:tcPr>
          <w:p w14:paraId="3B0C2A6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00" w:type="pct"/>
            <w:shd w:val="clear" w:color="auto" w:fill="auto"/>
            <w:hideMark/>
          </w:tcPr>
          <w:p w14:paraId="5CC30F40"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2016</w:t>
            </w:r>
          </w:p>
        </w:tc>
        <w:tc>
          <w:tcPr>
            <w:tcW w:w="550" w:type="pct"/>
            <w:shd w:val="clear" w:color="auto" w:fill="auto"/>
            <w:hideMark/>
          </w:tcPr>
          <w:p w14:paraId="422CEAA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10-30</w:t>
            </w:r>
          </w:p>
        </w:tc>
        <w:tc>
          <w:tcPr>
            <w:tcW w:w="499" w:type="pct"/>
            <w:shd w:val="clear" w:color="auto" w:fill="auto"/>
            <w:hideMark/>
          </w:tcPr>
          <w:p w14:paraId="50340CA5"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77D6044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199" w:type="pct"/>
          </w:tcPr>
          <w:p w14:paraId="687039E4"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Zeynel Arslangündogdu (</w:t>
            </w:r>
            <w:r w:rsidRPr="00C96521">
              <w:rPr>
                <w:rFonts w:cs="Arial"/>
                <w:i/>
                <w:sz w:val="16"/>
                <w:szCs w:val="16"/>
                <w:lang w:val="en-GB" w:eastAsia="ja-JP"/>
              </w:rPr>
              <w:t>pers comm</w:t>
            </w:r>
            <w:r w:rsidRPr="00C96521">
              <w:rPr>
                <w:rFonts w:cs="Arial"/>
                <w:sz w:val="16"/>
                <w:szCs w:val="16"/>
                <w:lang w:val="en-GB" w:eastAsia="ja-JP"/>
              </w:rPr>
              <w:t>), BirdLife International (2004), www.kusbank.org</w:t>
            </w:r>
          </w:p>
        </w:tc>
      </w:tr>
      <w:tr w:rsidR="00EF7FD7" w:rsidRPr="00C96521" w14:paraId="0FB4A5F4" w14:textId="77777777" w:rsidTr="00235FA0">
        <w:trPr>
          <w:trHeight w:val="60"/>
        </w:trPr>
        <w:tc>
          <w:tcPr>
            <w:tcW w:w="524" w:type="pct"/>
            <w:shd w:val="clear" w:color="auto" w:fill="auto"/>
            <w:hideMark/>
          </w:tcPr>
          <w:p w14:paraId="5A350210"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Ukraine</w:t>
            </w:r>
          </w:p>
        </w:tc>
        <w:tc>
          <w:tcPr>
            <w:tcW w:w="530" w:type="pct"/>
            <w:shd w:val="clear" w:color="auto" w:fill="auto"/>
            <w:hideMark/>
          </w:tcPr>
          <w:p w14:paraId="3E9D0C16"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60,000-80,000</w:t>
            </w:r>
          </w:p>
        </w:tc>
        <w:tc>
          <w:tcPr>
            <w:tcW w:w="649" w:type="pct"/>
            <w:shd w:val="clear" w:color="auto" w:fill="auto"/>
            <w:hideMark/>
          </w:tcPr>
          <w:p w14:paraId="29E56D87"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61A79D19"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2000-2010</w:t>
            </w:r>
          </w:p>
        </w:tc>
        <w:tc>
          <w:tcPr>
            <w:tcW w:w="550" w:type="pct"/>
            <w:shd w:val="clear" w:color="auto" w:fill="auto"/>
            <w:hideMark/>
          </w:tcPr>
          <w:p w14:paraId="7642A5BD"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25-40</w:t>
            </w:r>
          </w:p>
        </w:tc>
        <w:tc>
          <w:tcPr>
            <w:tcW w:w="499" w:type="pct"/>
            <w:shd w:val="clear" w:color="auto" w:fill="auto"/>
            <w:hideMark/>
          </w:tcPr>
          <w:p w14:paraId="75DD45C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44CC03AB"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199" w:type="pct"/>
          </w:tcPr>
          <w:p w14:paraId="61B59F7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Igor Gorban (</w:t>
            </w:r>
            <w:r w:rsidRPr="00C96521">
              <w:rPr>
                <w:rFonts w:cs="Arial"/>
                <w:i/>
                <w:sz w:val="16"/>
                <w:szCs w:val="16"/>
                <w:lang w:val="en-GB" w:eastAsia="ja-JP"/>
              </w:rPr>
              <w:t>pers comm</w:t>
            </w:r>
            <w:r w:rsidRPr="00C96521">
              <w:rPr>
                <w:rFonts w:cs="Arial"/>
                <w:sz w:val="16"/>
                <w:szCs w:val="16"/>
                <w:lang w:val="en-GB" w:eastAsia="ja-JP"/>
              </w:rPr>
              <w:t>)</w:t>
            </w:r>
          </w:p>
        </w:tc>
      </w:tr>
      <w:tr w:rsidR="00EF7FD7" w:rsidRPr="00C96521" w14:paraId="69AEB4ED" w14:textId="77777777" w:rsidTr="00235FA0">
        <w:trPr>
          <w:trHeight w:val="96"/>
        </w:trPr>
        <w:tc>
          <w:tcPr>
            <w:tcW w:w="524" w:type="pct"/>
            <w:shd w:val="clear" w:color="auto" w:fill="auto"/>
            <w:hideMark/>
          </w:tcPr>
          <w:p w14:paraId="204F3AD0"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United Kingdom</w:t>
            </w:r>
          </w:p>
        </w:tc>
        <w:tc>
          <w:tcPr>
            <w:tcW w:w="530" w:type="pct"/>
            <w:shd w:val="clear" w:color="auto" w:fill="auto"/>
            <w:hideMark/>
          </w:tcPr>
          <w:p w14:paraId="1A9007BE"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5,300</w:t>
            </w:r>
          </w:p>
        </w:tc>
        <w:tc>
          <w:tcPr>
            <w:tcW w:w="649" w:type="pct"/>
            <w:shd w:val="clear" w:color="auto" w:fill="auto"/>
            <w:hideMark/>
          </w:tcPr>
          <w:p w14:paraId="2285D71F"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00" w:type="pct"/>
            <w:shd w:val="clear" w:color="auto" w:fill="auto"/>
            <w:hideMark/>
          </w:tcPr>
          <w:p w14:paraId="039A849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1999-2016</w:t>
            </w:r>
          </w:p>
        </w:tc>
        <w:tc>
          <w:tcPr>
            <w:tcW w:w="550" w:type="pct"/>
            <w:shd w:val="clear" w:color="auto" w:fill="auto"/>
            <w:hideMark/>
          </w:tcPr>
          <w:p w14:paraId="59DDAE3C"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88-93</w:t>
            </w:r>
          </w:p>
        </w:tc>
        <w:tc>
          <w:tcPr>
            <w:tcW w:w="499" w:type="pct"/>
            <w:shd w:val="clear" w:color="auto" w:fill="auto"/>
            <w:hideMark/>
          </w:tcPr>
          <w:p w14:paraId="287206AB"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49" w:type="pct"/>
            <w:shd w:val="clear" w:color="auto" w:fill="auto"/>
            <w:hideMark/>
          </w:tcPr>
          <w:p w14:paraId="3976A3EA"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199" w:type="pct"/>
          </w:tcPr>
          <w:p w14:paraId="177B2107" w14:textId="77777777" w:rsidR="00EF7FD7" w:rsidRPr="00C96521" w:rsidRDefault="00EF7FD7" w:rsidP="00EF7FD7">
            <w:pPr>
              <w:widowControl/>
              <w:autoSpaceDE/>
              <w:autoSpaceDN/>
              <w:adjustRightInd/>
              <w:rPr>
                <w:rFonts w:cs="Arial"/>
                <w:sz w:val="16"/>
                <w:szCs w:val="16"/>
                <w:lang w:val="en-GB" w:eastAsia="ja-JP"/>
              </w:rPr>
            </w:pPr>
            <w:r w:rsidRPr="00C96521">
              <w:rPr>
                <w:rFonts w:cs="Arial"/>
                <w:sz w:val="16"/>
                <w:szCs w:val="16"/>
                <w:lang w:val="en-GB" w:eastAsia="ja-JP"/>
              </w:rPr>
              <w:t>EU (2013), Walker and Morris (2016)</w:t>
            </w:r>
          </w:p>
        </w:tc>
      </w:tr>
    </w:tbl>
    <w:p w14:paraId="6E5FC874" w14:textId="77777777" w:rsidR="00C96521" w:rsidRPr="00235FA0" w:rsidRDefault="00C96521" w:rsidP="00C96521">
      <w:pPr>
        <w:widowControl/>
        <w:autoSpaceDE/>
        <w:autoSpaceDN/>
        <w:adjustRightInd/>
        <w:spacing w:line="276" w:lineRule="auto"/>
        <w:rPr>
          <w:rFonts w:eastAsia="MS Mincho"/>
          <w:sz w:val="16"/>
          <w:szCs w:val="16"/>
          <w:lang w:val="en-GB" w:eastAsia="ja-JP"/>
        </w:rPr>
      </w:pPr>
    </w:p>
    <w:p w14:paraId="6B99FA9B"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The short-term trend is over the last 10 years (or 3 generations) but the period is not necessarily the same for all countries.</w:t>
      </w:r>
    </w:p>
    <w:p w14:paraId="0551A6E1"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Good (Observed) - based on reliable or representative quantitative data derived from complete counts or comprehensive measurements.</w:t>
      </w:r>
    </w:p>
    <w:p w14:paraId="287BAE80"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Good (Estimated) - based on reliable or representative quantitative data derived from sampling or interpolation.</w:t>
      </w:r>
    </w:p>
    <w:p w14:paraId="2BE23726"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Medium (Estimated) - based on incomplete quantitative data derived from sampling or interpolation.</w:t>
      </w:r>
    </w:p>
    <w:p w14:paraId="206A6DB2"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Medium (Inferred) - based on incomplete or poor quantitative data derived from indirect evidence.</w:t>
      </w:r>
    </w:p>
    <w:p w14:paraId="2DFF04AE"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Poor (Suspected) - based on no quantitative data, but estimates derived from circumstantial evidence</w:t>
      </w:r>
    </w:p>
    <w:p w14:paraId="1D2D714E"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lastRenderedPageBreak/>
        <w:t>Table 3. Migrating and non-breeding populations by country/territory</w:t>
      </w:r>
    </w:p>
    <w:p w14:paraId="7360788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6FCBFEA" w14:textId="77777777" w:rsidR="00C96521" w:rsidRPr="00C96521" w:rsidRDefault="00C96521" w:rsidP="00C96521">
      <w:pPr>
        <w:widowControl/>
        <w:autoSpaceDE/>
        <w:autoSpaceDN/>
        <w:adjustRightInd/>
        <w:spacing w:line="276" w:lineRule="auto"/>
        <w:rPr>
          <w:rFonts w:eastAsia="MS Mincho"/>
          <w:sz w:val="16"/>
          <w:szCs w:val="16"/>
          <w:lang w:val="en-GB" w:eastAsia="ja-JP"/>
        </w:rPr>
      </w:pPr>
      <w:r w:rsidRPr="00C96521">
        <w:rPr>
          <w:rFonts w:eastAsia="MS Mincho"/>
          <w:sz w:val="16"/>
          <w:szCs w:val="16"/>
          <w:lang w:val="en-GB" w:eastAsia="ja-JP"/>
        </w:rPr>
        <w:t>Good data on migrating and wintering numbers and trends for turtle-dove are generally lacking. This table collates known figures, but only represents a small part of the range (see Table 1).</w:t>
      </w:r>
    </w:p>
    <w:p w14:paraId="395B4B0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218"/>
        <w:gridCol w:w="12"/>
        <w:gridCol w:w="1361"/>
        <w:gridCol w:w="23"/>
        <w:gridCol w:w="1639"/>
        <w:gridCol w:w="12"/>
        <w:gridCol w:w="1961"/>
        <w:gridCol w:w="1212"/>
        <w:gridCol w:w="758"/>
        <w:gridCol w:w="1364"/>
        <w:gridCol w:w="9"/>
        <w:gridCol w:w="140"/>
        <w:gridCol w:w="1820"/>
        <w:gridCol w:w="3105"/>
      </w:tblGrid>
      <w:tr w:rsidR="00C96521" w:rsidRPr="00C96521" w14:paraId="5F43AA87" w14:textId="77777777" w:rsidTr="00235FA0">
        <w:trPr>
          <w:trHeight w:val="480"/>
        </w:trPr>
        <w:tc>
          <w:tcPr>
            <w:tcW w:w="420" w:type="pct"/>
            <w:gridSpan w:val="2"/>
            <w:shd w:val="clear" w:color="auto" w:fill="B6DDE8"/>
            <w:hideMark/>
          </w:tcPr>
          <w:p w14:paraId="7E59146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Country/ territory</w:t>
            </w:r>
          </w:p>
        </w:tc>
        <w:tc>
          <w:tcPr>
            <w:tcW w:w="473" w:type="pct"/>
            <w:gridSpan w:val="2"/>
            <w:shd w:val="clear" w:color="auto" w:fill="B6DDE8"/>
            <w:hideMark/>
          </w:tcPr>
          <w:p w14:paraId="3A71296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Season</w:t>
            </w:r>
          </w:p>
        </w:tc>
        <w:tc>
          <w:tcPr>
            <w:tcW w:w="564" w:type="pct"/>
            <w:gridSpan w:val="2"/>
            <w:shd w:val="clear" w:color="auto" w:fill="B6DDE8"/>
            <w:hideMark/>
          </w:tcPr>
          <w:p w14:paraId="224E613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Numbers (birds)</w:t>
            </w:r>
          </w:p>
        </w:tc>
        <w:tc>
          <w:tcPr>
            <w:tcW w:w="670" w:type="pct"/>
            <w:shd w:val="clear" w:color="auto" w:fill="B6DDE8"/>
            <w:hideMark/>
          </w:tcPr>
          <w:p w14:paraId="33F413B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Quality</w:t>
            </w:r>
          </w:p>
        </w:tc>
        <w:tc>
          <w:tcPr>
            <w:tcW w:w="414" w:type="pct"/>
            <w:shd w:val="clear" w:color="auto" w:fill="B6DDE8"/>
            <w:hideMark/>
          </w:tcPr>
          <w:p w14:paraId="35A4DE5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Years</w:t>
            </w:r>
          </w:p>
        </w:tc>
        <w:tc>
          <w:tcPr>
            <w:tcW w:w="259" w:type="pct"/>
            <w:shd w:val="clear" w:color="auto" w:fill="B6DDE8"/>
            <w:hideMark/>
          </w:tcPr>
          <w:p w14:paraId="10F2BCC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Short-term trend (%)</w:t>
            </w:r>
          </w:p>
        </w:tc>
        <w:tc>
          <w:tcPr>
            <w:tcW w:w="517" w:type="pct"/>
            <w:gridSpan w:val="3"/>
            <w:shd w:val="clear" w:color="auto" w:fill="B6DDE8"/>
            <w:hideMark/>
          </w:tcPr>
          <w:p w14:paraId="4B40B37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Direction</w:t>
            </w:r>
          </w:p>
        </w:tc>
        <w:tc>
          <w:tcPr>
            <w:tcW w:w="622" w:type="pct"/>
            <w:shd w:val="clear" w:color="auto" w:fill="B6DDE8"/>
            <w:hideMark/>
          </w:tcPr>
          <w:p w14:paraId="0C32F87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Quality</w:t>
            </w:r>
          </w:p>
        </w:tc>
        <w:tc>
          <w:tcPr>
            <w:tcW w:w="1061" w:type="pct"/>
            <w:shd w:val="clear" w:color="auto" w:fill="B6DDE8"/>
            <w:hideMark/>
          </w:tcPr>
          <w:p w14:paraId="1A7395B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Reference</w:t>
            </w:r>
          </w:p>
        </w:tc>
      </w:tr>
      <w:tr w:rsidR="00C96521" w:rsidRPr="00C96521" w14:paraId="19D5B847" w14:textId="77777777" w:rsidTr="00235FA0">
        <w:tc>
          <w:tcPr>
            <w:tcW w:w="420" w:type="pct"/>
            <w:gridSpan w:val="2"/>
            <w:shd w:val="clear" w:color="auto" w:fill="auto"/>
            <w:hideMark/>
          </w:tcPr>
          <w:p w14:paraId="41F1F27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Belarus</w:t>
            </w:r>
          </w:p>
        </w:tc>
        <w:tc>
          <w:tcPr>
            <w:tcW w:w="473" w:type="pct"/>
            <w:gridSpan w:val="2"/>
            <w:shd w:val="clear" w:color="auto" w:fill="auto"/>
            <w:hideMark/>
          </w:tcPr>
          <w:p w14:paraId="79EF3E2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6A31561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70" w:type="pct"/>
            <w:shd w:val="clear" w:color="auto" w:fill="auto"/>
            <w:hideMark/>
          </w:tcPr>
          <w:p w14:paraId="01C048B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14" w:type="pct"/>
            <w:shd w:val="clear" w:color="auto" w:fill="auto"/>
            <w:hideMark/>
          </w:tcPr>
          <w:p w14:paraId="48B222DE"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259" w:type="pct"/>
            <w:shd w:val="clear" w:color="auto" w:fill="auto"/>
            <w:hideMark/>
          </w:tcPr>
          <w:p w14:paraId="74F073B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17" w:type="pct"/>
            <w:gridSpan w:val="3"/>
            <w:shd w:val="clear" w:color="auto" w:fill="auto"/>
            <w:hideMark/>
          </w:tcPr>
          <w:p w14:paraId="4793445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22" w:type="pct"/>
            <w:shd w:val="clear" w:color="auto" w:fill="auto"/>
            <w:hideMark/>
          </w:tcPr>
          <w:p w14:paraId="77B26F6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061" w:type="pct"/>
            <w:shd w:val="clear" w:color="auto" w:fill="auto"/>
            <w:hideMark/>
          </w:tcPr>
          <w:p w14:paraId="13680D5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Levy S, Gritchik V, Vorobei N, Kozulin A, Dombrovski V, Vintchevski A, Sakhvon V, Kuzmitski A and Yakubovich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361CFF10" w14:textId="77777777" w:rsidTr="00235FA0">
        <w:tc>
          <w:tcPr>
            <w:tcW w:w="420" w:type="pct"/>
            <w:gridSpan w:val="2"/>
            <w:shd w:val="clear" w:color="auto" w:fill="auto"/>
            <w:hideMark/>
          </w:tcPr>
          <w:p w14:paraId="370B293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Bulgaria</w:t>
            </w:r>
          </w:p>
        </w:tc>
        <w:tc>
          <w:tcPr>
            <w:tcW w:w="473" w:type="pct"/>
            <w:gridSpan w:val="2"/>
            <w:shd w:val="clear" w:color="auto" w:fill="auto"/>
            <w:hideMark/>
          </w:tcPr>
          <w:p w14:paraId="4238663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08B619E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70" w:type="pct"/>
            <w:shd w:val="clear" w:color="auto" w:fill="auto"/>
            <w:hideMark/>
          </w:tcPr>
          <w:p w14:paraId="4D0CAF8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14" w:type="pct"/>
            <w:shd w:val="clear" w:color="auto" w:fill="auto"/>
            <w:hideMark/>
          </w:tcPr>
          <w:p w14:paraId="7AB6842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259" w:type="pct"/>
            <w:shd w:val="clear" w:color="auto" w:fill="auto"/>
            <w:hideMark/>
          </w:tcPr>
          <w:p w14:paraId="46F8387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17" w:type="pct"/>
            <w:gridSpan w:val="3"/>
            <w:shd w:val="clear" w:color="auto" w:fill="auto"/>
            <w:hideMark/>
          </w:tcPr>
          <w:p w14:paraId="3B9AE98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22" w:type="pct"/>
            <w:shd w:val="clear" w:color="auto" w:fill="auto"/>
            <w:hideMark/>
          </w:tcPr>
          <w:p w14:paraId="40FE822A"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061" w:type="pct"/>
            <w:shd w:val="clear" w:color="auto" w:fill="auto"/>
            <w:hideMark/>
          </w:tcPr>
          <w:p w14:paraId="7ED46B1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BSPB (</w:t>
            </w:r>
            <w:r w:rsidRPr="00C96521">
              <w:rPr>
                <w:rFonts w:cs="Arial"/>
                <w:i/>
                <w:sz w:val="16"/>
                <w:szCs w:val="16"/>
                <w:lang w:val="en-GB" w:eastAsia="ja-JP"/>
              </w:rPr>
              <w:t>pers comm</w:t>
            </w:r>
            <w:r w:rsidRPr="00C96521">
              <w:rPr>
                <w:rFonts w:cs="Arial"/>
                <w:sz w:val="16"/>
                <w:szCs w:val="16"/>
                <w:lang w:val="en-GB" w:eastAsia="ja-JP"/>
              </w:rPr>
              <w:t>)</w:t>
            </w:r>
          </w:p>
        </w:tc>
      </w:tr>
      <w:tr w:rsidR="00C96521" w:rsidRPr="00C96521" w14:paraId="321A6F9C" w14:textId="77777777" w:rsidTr="00235FA0">
        <w:tc>
          <w:tcPr>
            <w:tcW w:w="420" w:type="pct"/>
            <w:gridSpan w:val="2"/>
            <w:shd w:val="clear" w:color="auto" w:fill="auto"/>
            <w:hideMark/>
          </w:tcPr>
          <w:p w14:paraId="1171DB2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Chad</w:t>
            </w:r>
          </w:p>
        </w:tc>
        <w:tc>
          <w:tcPr>
            <w:tcW w:w="473" w:type="pct"/>
            <w:gridSpan w:val="2"/>
            <w:shd w:val="clear" w:color="auto" w:fill="auto"/>
            <w:hideMark/>
          </w:tcPr>
          <w:p w14:paraId="57F17F45"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non-breeding</w:t>
            </w:r>
          </w:p>
        </w:tc>
        <w:tc>
          <w:tcPr>
            <w:tcW w:w="564" w:type="pct"/>
            <w:gridSpan w:val="2"/>
            <w:shd w:val="clear" w:color="auto" w:fill="auto"/>
            <w:hideMark/>
          </w:tcPr>
          <w:p w14:paraId="66AC6FE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&gt;1,000</w:t>
            </w:r>
          </w:p>
        </w:tc>
        <w:tc>
          <w:tcPr>
            <w:tcW w:w="670" w:type="pct"/>
            <w:shd w:val="clear" w:color="auto" w:fill="auto"/>
            <w:hideMark/>
          </w:tcPr>
          <w:p w14:paraId="004ECC9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14" w:type="pct"/>
            <w:shd w:val="clear" w:color="auto" w:fill="auto"/>
            <w:hideMark/>
          </w:tcPr>
          <w:p w14:paraId="6A0B6923"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2015</w:t>
            </w:r>
          </w:p>
        </w:tc>
        <w:tc>
          <w:tcPr>
            <w:tcW w:w="259" w:type="pct"/>
            <w:shd w:val="clear" w:color="auto" w:fill="auto"/>
            <w:hideMark/>
          </w:tcPr>
          <w:p w14:paraId="52CD4AF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17" w:type="pct"/>
            <w:gridSpan w:val="3"/>
            <w:shd w:val="clear" w:color="auto" w:fill="auto"/>
            <w:hideMark/>
          </w:tcPr>
          <w:p w14:paraId="28C1D97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22" w:type="pct"/>
            <w:shd w:val="clear" w:color="auto" w:fill="auto"/>
            <w:hideMark/>
          </w:tcPr>
          <w:p w14:paraId="2FC1A8F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061" w:type="pct"/>
            <w:shd w:val="clear" w:color="auto" w:fill="auto"/>
            <w:hideMark/>
          </w:tcPr>
          <w:p w14:paraId="337BDEA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WABDaB (2016)</w:t>
            </w:r>
          </w:p>
        </w:tc>
      </w:tr>
      <w:tr w:rsidR="00C96521" w:rsidRPr="00C96521" w14:paraId="2299BA8B" w14:textId="77777777" w:rsidTr="00235FA0">
        <w:tc>
          <w:tcPr>
            <w:tcW w:w="420" w:type="pct"/>
            <w:gridSpan w:val="2"/>
            <w:shd w:val="clear" w:color="auto" w:fill="auto"/>
            <w:hideMark/>
          </w:tcPr>
          <w:p w14:paraId="3B388891"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Finland</w:t>
            </w:r>
          </w:p>
        </w:tc>
        <w:tc>
          <w:tcPr>
            <w:tcW w:w="473" w:type="pct"/>
            <w:gridSpan w:val="2"/>
            <w:shd w:val="clear" w:color="auto" w:fill="auto"/>
            <w:hideMark/>
          </w:tcPr>
          <w:p w14:paraId="02DBF4CD"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non-breeding</w:t>
            </w:r>
          </w:p>
        </w:tc>
        <w:tc>
          <w:tcPr>
            <w:tcW w:w="564" w:type="pct"/>
            <w:gridSpan w:val="2"/>
            <w:shd w:val="clear" w:color="auto" w:fill="auto"/>
            <w:hideMark/>
          </w:tcPr>
          <w:p w14:paraId="4B4B12F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50-100</w:t>
            </w:r>
          </w:p>
        </w:tc>
        <w:tc>
          <w:tcPr>
            <w:tcW w:w="670" w:type="pct"/>
            <w:shd w:val="clear" w:color="auto" w:fill="auto"/>
            <w:hideMark/>
          </w:tcPr>
          <w:p w14:paraId="1A22A9C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14" w:type="pct"/>
            <w:shd w:val="clear" w:color="auto" w:fill="auto"/>
            <w:hideMark/>
          </w:tcPr>
          <w:p w14:paraId="3ED81C4C"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2010-2014</w:t>
            </w:r>
          </w:p>
        </w:tc>
        <w:tc>
          <w:tcPr>
            <w:tcW w:w="259" w:type="pct"/>
            <w:shd w:val="clear" w:color="auto" w:fill="auto"/>
            <w:hideMark/>
          </w:tcPr>
          <w:p w14:paraId="03C263C2"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30-50</w:t>
            </w:r>
          </w:p>
        </w:tc>
        <w:tc>
          <w:tcPr>
            <w:tcW w:w="517" w:type="pct"/>
            <w:gridSpan w:val="3"/>
            <w:shd w:val="clear" w:color="auto" w:fill="auto"/>
            <w:hideMark/>
          </w:tcPr>
          <w:p w14:paraId="5379BC47"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22" w:type="pct"/>
            <w:shd w:val="clear" w:color="auto" w:fill="auto"/>
            <w:hideMark/>
          </w:tcPr>
          <w:p w14:paraId="0038CF7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hideMark/>
          </w:tcPr>
          <w:p w14:paraId="1E7C537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BirdLife Finland (</w:t>
            </w:r>
            <w:r w:rsidRPr="00C96521">
              <w:rPr>
                <w:rFonts w:cs="Arial"/>
                <w:i/>
                <w:sz w:val="16"/>
                <w:szCs w:val="16"/>
                <w:lang w:val="en-GB" w:eastAsia="ja-JP"/>
              </w:rPr>
              <w:t>unpublished data</w:t>
            </w:r>
            <w:r w:rsidRPr="00C96521">
              <w:rPr>
                <w:rFonts w:cs="Arial"/>
                <w:sz w:val="16"/>
                <w:szCs w:val="16"/>
                <w:lang w:val="en-GB" w:eastAsia="ja-JP"/>
              </w:rPr>
              <w:t>)</w:t>
            </w:r>
          </w:p>
        </w:tc>
      </w:tr>
      <w:tr w:rsidR="00C96521" w:rsidRPr="00C96521" w14:paraId="35D4A17A" w14:textId="77777777" w:rsidTr="00235FA0">
        <w:tc>
          <w:tcPr>
            <w:tcW w:w="420" w:type="pct"/>
            <w:gridSpan w:val="2"/>
            <w:shd w:val="clear" w:color="auto" w:fill="auto"/>
            <w:hideMark/>
          </w:tcPr>
          <w:p w14:paraId="7E9639F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France</w:t>
            </w:r>
          </w:p>
        </w:tc>
        <w:tc>
          <w:tcPr>
            <w:tcW w:w="473" w:type="pct"/>
            <w:gridSpan w:val="2"/>
            <w:shd w:val="clear" w:color="auto" w:fill="auto"/>
            <w:hideMark/>
          </w:tcPr>
          <w:p w14:paraId="643A9FE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64" w:type="pct"/>
            <w:gridSpan w:val="2"/>
            <w:shd w:val="clear" w:color="auto" w:fill="auto"/>
            <w:hideMark/>
          </w:tcPr>
          <w:p w14:paraId="381565C4"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70" w:type="pct"/>
            <w:shd w:val="clear" w:color="auto" w:fill="auto"/>
            <w:hideMark/>
          </w:tcPr>
          <w:p w14:paraId="27EDEBEB"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14" w:type="pct"/>
            <w:shd w:val="clear" w:color="auto" w:fill="auto"/>
            <w:hideMark/>
          </w:tcPr>
          <w:p w14:paraId="6D80566F"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259" w:type="pct"/>
            <w:shd w:val="clear" w:color="auto" w:fill="auto"/>
            <w:hideMark/>
          </w:tcPr>
          <w:p w14:paraId="6F80C5C6"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17" w:type="pct"/>
            <w:gridSpan w:val="3"/>
            <w:shd w:val="clear" w:color="auto" w:fill="auto"/>
            <w:hideMark/>
          </w:tcPr>
          <w:p w14:paraId="3A303B09"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decreasing (this refers to birds passing through France during spring and autumn migration)</w:t>
            </w:r>
          </w:p>
        </w:tc>
        <w:tc>
          <w:tcPr>
            <w:tcW w:w="622" w:type="pct"/>
            <w:shd w:val="clear" w:color="auto" w:fill="auto"/>
            <w:hideMark/>
          </w:tcPr>
          <w:p w14:paraId="675596B8"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hideMark/>
          </w:tcPr>
          <w:p w14:paraId="5983F180" w14:textId="77777777"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Hervé Lormée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4A717077" w14:textId="77777777" w:rsidTr="00235FA0">
        <w:tc>
          <w:tcPr>
            <w:tcW w:w="420" w:type="pct"/>
            <w:gridSpan w:val="2"/>
            <w:shd w:val="clear" w:color="auto" w:fill="auto"/>
          </w:tcPr>
          <w:p w14:paraId="16AA7D21" w14:textId="7EB82F78"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The Gambia</w:t>
            </w:r>
          </w:p>
        </w:tc>
        <w:tc>
          <w:tcPr>
            <w:tcW w:w="473" w:type="pct"/>
            <w:gridSpan w:val="2"/>
            <w:shd w:val="clear" w:color="auto" w:fill="auto"/>
          </w:tcPr>
          <w:p w14:paraId="258F25C5" w14:textId="19BF1145"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4" w:type="pct"/>
            <w:gridSpan w:val="2"/>
            <w:shd w:val="clear" w:color="auto" w:fill="auto"/>
          </w:tcPr>
          <w:p w14:paraId="7FA8B4AE" w14:textId="52063D89"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max &gt; 1,000,000 in 1970s</w:t>
            </w:r>
          </w:p>
        </w:tc>
        <w:tc>
          <w:tcPr>
            <w:tcW w:w="670" w:type="pct"/>
            <w:shd w:val="clear" w:color="auto" w:fill="auto"/>
          </w:tcPr>
          <w:p w14:paraId="0628674F" w14:textId="547396D2"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14" w:type="pct"/>
            <w:shd w:val="clear" w:color="auto" w:fill="auto"/>
          </w:tcPr>
          <w:p w14:paraId="570FEAFC" w14:textId="716DDF43"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1970-2016</w:t>
            </w:r>
          </w:p>
        </w:tc>
        <w:tc>
          <w:tcPr>
            <w:tcW w:w="259" w:type="pct"/>
            <w:shd w:val="clear" w:color="auto" w:fill="auto"/>
          </w:tcPr>
          <w:p w14:paraId="18B6A29C" w14:textId="1F1AF98A"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65-75</w:t>
            </w:r>
          </w:p>
        </w:tc>
        <w:tc>
          <w:tcPr>
            <w:tcW w:w="517" w:type="pct"/>
            <w:gridSpan w:val="3"/>
            <w:shd w:val="clear" w:color="auto" w:fill="auto"/>
          </w:tcPr>
          <w:p w14:paraId="31890514" w14:textId="68E3E1B2"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 xml:space="preserve">fluctuating or decreasing </w:t>
            </w:r>
          </w:p>
        </w:tc>
        <w:tc>
          <w:tcPr>
            <w:tcW w:w="622" w:type="pct"/>
            <w:shd w:val="clear" w:color="auto" w:fill="auto"/>
          </w:tcPr>
          <w:p w14:paraId="709491E6" w14:textId="09565D35"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tcPr>
          <w:p w14:paraId="0EAE2942" w14:textId="5142712D" w:rsidR="00235FA0" w:rsidRPr="00C96521" w:rsidRDefault="00235FA0" w:rsidP="00235FA0">
            <w:pPr>
              <w:widowControl/>
              <w:autoSpaceDE/>
              <w:autoSpaceDN/>
              <w:adjustRightInd/>
              <w:rPr>
                <w:rFonts w:cs="Arial"/>
                <w:sz w:val="16"/>
                <w:szCs w:val="16"/>
                <w:lang w:val="en-GB" w:eastAsia="ja-JP"/>
              </w:rPr>
            </w:pPr>
            <w:r w:rsidRPr="00890F11">
              <w:rPr>
                <w:rFonts w:cs="Arial"/>
                <w:sz w:val="16"/>
                <w:szCs w:val="16"/>
                <w:lang w:val="fr-FR" w:eastAsia="ja-JP"/>
              </w:rPr>
              <w:t>Gore (1980), WABSA (</w:t>
            </w:r>
            <w:r w:rsidRPr="00890F11">
              <w:rPr>
                <w:rFonts w:cs="Arial"/>
                <w:i/>
                <w:sz w:val="16"/>
                <w:szCs w:val="16"/>
                <w:lang w:val="fr-FR" w:eastAsia="ja-JP"/>
              </w:rPr>
              <w:t>pers comm</w:t>
            </w:r>
            <w:r w:rsidRPr="00890F11">
              <w:rPr>
                <w:rFonts w:cs="Arial"/>
                <w:sz w:val="16"/>
                <w:szCs w:val="16"/>
                <w:lang w:val="fr-FR" w:eastAsia="ja-JP"/>
              </w:rPr>
              <w:t>), Habitat Africa (</w:t>
            </w:r>
            <w:r w:rsidRPr="00890F11">
              <w:rPr>
                <w:rFonts w:cs="Arial"/>
                <w:i/>
                <w:sz w:val="16"/>
                <w:szCs w:val="16"/>
                <w:lang w:val="fr-FR" w:eastAsia="ja-JP"/>
              </w:rPr>
              <w:t>pers comm</w:t>
            </w:r>
            <w:r w:rsidRPr="00890F11">
              <w:rPr>
                <w:rFonts w:cs="Arial"/>
                <w:sz w:val="16"/>
                <w:szCs w:val="16"/>
                <w:lang w:val="fr-FR" w:eastAsia="ja-JP"/>
              </w:rPr>
              <w:t>), DPWM (</w:t>
            </w:r>
            <w:r w:rsidRPr="00890F11">
              <w:rPr>
                <w:rFonts w:cs="Arial"/>
                <w:i/>
                <w:sz w:val="16"/>
                <w:szCs w:val="16"/>
                <w:lang w:val="fr-FR" w:eastAsia="ja-JP"/>
              </w:rPr>
              <w:t>pers comm</w:t>
            </w:r>
            <w:r w:rsidRPr="00890F11">
              <w:rPr>
                <w:rFonts w:cs="Arial"/>
                <w:sz w:val="16"/>
                <w:szCs w:val="16"/>
                <w:lang w:val="fr-FR" w:eastAsia="ja-JP"/>
              </w:rPr>
              <w:t xml:space="preserve">), Barlow </w:t>
            </w:r>
            <w:r w:rsidRPr="00890F11">
              <w:rPr>
                <w:rFonts w:cs="Arial"/>
                <w:i/>
                <w:iCs/>
                <w:sz w:val="16"/>
                <w:szCs w:val="16"/>
                <w:lang w:val="fr-FR" w:eastAsia="ja-JP"/>
              </w:rPr>
              <w:t>et al (</w:t>
            </w:r>
            <w:r w:rsidRPr="00890F11">
              <w:rPr>
                <w:rFonts w:cs="Arial"/>
                <w:sz w:val="16"/>
                <w:szCs w:val="16"/>
                <w:lang w:val="fr-FR" w:eastAsia="ja-JP"/>
              </w:rPr>
              <w:t>1997)</w:t>
            </w:r>
          </w:p>
        </w:tc>
      </w:tr>
      <w:tr w:rsidR="00235FA0" w:rsidRPr="00C96521" w14:paraId="5BE8D3B1" w14:textId="77777777" w:rsidTr="00235FA0">
        <w:tc>
          <w:tcPr>
            <w:tcW w:w="420" w:type="pct"/>
            <w:gridSpan w:val="2"/>
            <w:shd w:val="clear" w:color="auto" w:fill="auto"/>
            <w:hideMark/>
          </w:tcPr>
          <w:p w14:paraId="3943A754"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Greece</w:t>
            </w:r>
          </w:p>
        </w:tc>
        <w:tc>
          <w:tcPr>
            <w:tcW w:w="473" w:type="pct"/>
            <w:gridSpan w:val="2"/>
            <w:shd w:val="clear" w:color="auto" w:fill="auto"/>
            <w:hideMark/>
          </w:tcPr>
          <w:p w14:paraId="73770B7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38FFDF26"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120,000-320,000</w:t>
            </w:r>
          </w:p>
        </w:tc>
        <w:tc>
          <w:tcPr>
            <w:tcW w:w="670" w:type="pct"/>
            <w:shd w:val="clear" w:color="auto" w:fill="auto"/>
            <w:hideMark/>
          </w:tcPr>
          <w:p w14:paraId="4B2085A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14" w:type="pct"/>
            <w:shd w:val="clear" w:color="auto" w:fill="auto"/>
            <w:hideMark/>
          </w:tcPr>
          <w:p w14:paraId="39B43122"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2010</w:t>
            </w:r>
          </w:p>
        </w:tc>
        <w:tc>
          <w:tcPr>
            <w:tcW w:w="259" w:type="pct"/>
            <w:shd w:val="clear" w:color="auto" w:fill="auto"/>
            <w:hideMark/>
          </w:tcPr>
          <w:p w14:paraId="50CDBA8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10-25</w:t>
            </w:r>
          </w:p>
        </w:tc>
        <w:tc>
          <w:tcPr>
            <w:tcW w:w="517" w:type="pct"/>
            <w:gridSpan w:val="3"/>
            <w:shd w:val="clear" w:color="auto" w:fill="auto"/>
            <w:hideMark/>
          </w:tcPr>
          <w:p w14:paraId="7F7A547D"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22" w:type="pct"/>
            <w:shd w:val="clear" w:color="auto" w:fill="auto"/>
            <w:hideMark/>
          </w:tcPr>
          <w:p w14:paraId="13083221"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061" w:type="pct"/>
            <w:shd w:val="clear" w:color="auto" w:fill="auto"/>
            <w:hideMark/>
          </w:tcPr>
          <w:p w14:paraId="3C77D310"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HOS (</w:t>
            </w:r>
            <w:r w:rsidRPr="00C96521">
              <w:rPr>
                <w:rFonts w:cs="Arial"/>
                <w:i/>
                <w:sz w:val="16"/>
                <w:szCs w:val="16"/>
                <w:lang w:val="en-GB" w:eastAsia="ja-JP"/>
              </w:rPr>
              <w:t>pers comm</w:t>
            </w:r>
            <w:r w:rsidRPr="00C96521">
              <w:rPr>
                <w:rFonts w:cs="Arial"/>
                <w:sz w:val="16"/>
                <w:szCs w:val="16"/>
                <w:lang w:val="en-GB" w:eastAsia="ja-JP"/>
              </w:rPr>
              <w:t>)</w:t>
            </w:r>
          </w:p>
        </w:tc>
      </w:tr>
      <w:tr w:rsidR="00235FA0" w:rsidRPr="009213E9" w14:paraId="7E977937" w14:textId="77777777" w:rsidTr="00235FA0">
        <w:tc>
          <w:tcPr>
            <w:tcW w:w="420" w:type="pct"/>
            <w:gridSpan w:val="2"/>
            <w:shd w:val="clear" w:color="auto" w:fill="auto"/>
            <w:hideMark/>
          </w:tcPr>
          <w:p w14:paraId="422C69D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Lebanon</w:t>
            </w:r>
          </w:p>
        </w:tc>
        <w:tc>
          <w:tcPr>
            <w:tcW w:w="473" w:type="pct"/>
            <w:gridSpan w:val="2"/>
            <w:shd w:val="clear" w:color="auto" w:fill="auto"/>
            <w:hideMark/>
          </w:tcPr>
          <w:p w14:paraId="3CE5553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4502FF5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15,000-18,000</w:t>
            </w:r>
          </w:p>
        </w:tc>
        <w:tc>
          <w:tcPr>
            <w:tcW w:w="670" w:type="pct"/>
            <w:shd w:val="clear" w:color="auto" w:fill="auto"/>
            <w:hideMark/>
          </w:tcPr>
          <w:p w14:paraId="1F0A76B6"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14" w:type="pct"/>
            <w:shd w:val="clear" w:color="auto" w:fill="auto"/>
            <w:hideMark/>
          </w:tcPr>
          <w:p w14:paraId="6F78F03E"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2000-2015</w:t>
            </w:r>
          </w:p>
        </w:tc>
        <w:tc>
          <w:tcPr>
            <w:tcW w:w="259" w:type="pct"/>
            <w:shd w:val="clear" w:color="auto" w:fill="auto"/>
            <w:hideMark/>
          </w:tcPr>
          <w:p w14:paraId="0DA5695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95</w:t>
            </w:r>
          </w:p>
        </w:tc>
        <w:tc>
          <w:tcPr>
            <w:tcW w:w="517" w:type="pct"/>
            <w:gridSpan w:val="3"/>
            <w:shd w:val="clear" w:color="auto" w:fill="auto"/>
            <w:hideMark/>
          </w:tcPr>
          <w:p w14:paraId="1DC7215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22" w:type="pct"/>
            <w:shd w:val="clear" w:color="auto" w:fill="auto"/>
            <w:hideMark/>
          </w:tcPr>
          <w:p w14:paraId="7B562425"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061" w:type="pct"/>
            <w:shd w:val="clear" w:color="auto" w:fill="auto"/>
            <w:hideMark/>
          </w:tcPr>
          <w:p w14:paraId="32B5AC15" w14:textId="77777777" w:rsidR="00235FA0" w:rsidRPr="00235FA0" w:rsidRDefault="00235FA0" w:rsidP="00235FA0">
            <w:pPr>
              <w:widowControl/>
              <w:autoSpaceDE/>
              <w:autoSpaceDN/>
              <w:adjustRightInd/>
              <w:rPr>
                <w:rFonts w:cs="Arial"/>
                <w:sz w:val="16"/>
                <w:szCs w:val="16"/>
                <w:lang w:val="fr-FR" w:eastAsia="ja-JP"/>
              </w:rPr>
            </w:pPr>
            <w:r w:rsidRPr="00235FA0">
              <w:rPr>
                <w:rFonts w:cs="Arial"/>
                <w:sz w:val="16"/>
                <w:szCs w:val="16"/>
                <w:lang w:val="fr-FR" w:eastAsia="ja-JP"/>
              </w:rPr>
              <w:t>Ghassan Ramadan Jaradi (</w:t>
            </w:r>
            <w:r w:rsidRPr="00235FA0">
              <w:rPr>
                <w:rFonts w:cs="Arial"/>
                <w:i/>
                <w:sz w:val="16"/>
                <w:szCs w:val="16"/>
                <w:lang w:val="fr-FR" w:eastAsia="ja-JP"/>
              </w:rPr>
              <w:t>pers comm</w:t>
            </w:r>
            <w:r w:rsidRPr="00235FA0">
              <w:rPr>
                <w:rFonts w:cs="Arial"/>
                <w:sz w:val="16"/>
                <w:szCs w:val="16"/>
                <w:lang w:val="fr-FR" w:eastAsia="ja-JP"/>
              </w:rPr>
              <w:t>)</w:t>
            </w:r>
          </w:p>
        </w:tc>
      </w:tr>
      <w:tr w:rsidR="00235FA0" w:rsidRPr="00C96521" w14:paraId="6EC03CCD" w14:textId="77777777" w:rsidTr="00235FA0">
        <w:tc>
          <w:tcPr>
            <w:tcW w:w="420" w:type="pct"/>
            <w:gridSpan w:val="2"/>
            <w:shd w:val="clear" w:color="auto" w:fill="auto"/>
            <w:hideMark/>
          </w:tcPr>
          <w:p w14:paraId="14124026"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Mali</w:t>
            </w:r>
          </w:p>
        </w:tc>
        <w:tc>
          <w:tcPr>
            <w:tcW w:w="473" w:type="pct"/>
            <w:gridSpan w:val="2"/>
            <w:shd w:val="clear" w:color="auto" w:fill="auto"/>
            <w:hideMark/>
          </w:tcPr>
          <w:p w14:paraId="1B33AD60"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4" w:type="pct"/>
            <w:gridSpan w:val="2"/>
            <w:shd w:val="clear" w:color="auto" w:fill="auto"/>
            <w:hideMark/>
          </w:tcPr>
          <w:p w14:paraId="288EFEDD"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100,000-150,000</w:t>
            </w:r>
          </w:p>
        </w:tc>
        <w:tc>
          <w:tcPr>
            <w:tcW w:w="670" w:type="pct"/>
            <w:shd w:val="clear" w:color="auto" w:fill="auto"/>
            <w:hideMark/>
          </w:tcPr>
          <w:p w14:paraId="10D4269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414" w:type="pct"/>
            <w:shd w:val="clear" w:color="auto" w:fill="auto"/>
            <w:hideMark/>
          </w:tcPr>
          <w:p w14:paraId="35D98BE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2008</w:t>
            </w:r>
          </w:p>
        </w:tc>
        <w:tc>
          <w:tcPr>
            <w:tcW w:w="259" w:type="pct"/>
            <w:shd w:val="clear" w:color="auto" w:fill="auto"/>
            <w:hideMark/>
          </w:tcPr>
          <w:p w14:paraId="75D91254"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517" w:type="pct"/>
            <w:gridSpan w:val="3"/>
            <w:shd w:val="clear" w:color="auto" w:fill="auto"/>
            <w:hideMark/>
          </w:tcPr>
          <w:p w14:paraId="23A1128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increasing</w:t>
            </w:r>
          </w:p>
        </w:tc>
        <w:tc>
          <w:tcPr>
            <w:tcW w:w="622" w:type="pct"/>
            <w:shd w:val="clear" w:color="auto" w:fill="auto"/>
            <w:hideMark/>
          </w:tcPr>
          <w:p w14:paraId="7551BD1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Good (Observed)</w:t>
            </w:r>
          </w:p>
        </w:tc>
        <w:tc>
          <w:tcPr>
            <w:tcW w:w="1061" w:type="pct"/>
            <w:shd w:val="clear" w:color="auto" w:fill="auto"/>
            <w:hideMark/>
          </w:tcPr>
          <w:p w14:paraId="5BD0A7B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Bouba Fofana (</w:t>
            </w:r>
            <w:r w:rsidRPr="00C96521">
              <w:rPr>
                <w:rFonts w:cs="Arial"/>
                <w:i/>
                <w:sz w:val="16"/>
                <w:szCs w:val="16"/>
                <w:lang w:val="en-GB" w:eastAsia="ja-JP"/>
              </w:rPr>
              <w:t>unpublished</w:t>
            </w:r>
            <w:r w:rsidRPr="00C96521">
              <w:rPr>
                <w:rFonts w:cs="Arial"/>
                <w:sz w:val="16"/>
                <w:szCs w:val="16"/>
                <w:lang w:val="en-GB" w:eastAsia="ja-JP"/>
              </w:rPr>
              <w:t>)</w:t>
            </w:r>
          </w:p>
        </w:tc>
      </w:tr>
      <w:tr w:rsidR="00235FA0" w:rsidRPr="00C96521" w14:paraId="1AB0AAAA" w14:textId="77777777" w:rsidTr="00235FA0">
        <w:trPr>
          <w:trHeight w:val="144"/>
        </w:trPr>
        <w:tc>
          <w:tcPr>
            <w:tcW w:w="416" w:type="pct"/>
            <w:shd w:val="clear" w:color="auto" w:fill="auto"/>
          </w:tcPr>
          <w:p w14:paraId="0D71545F" w14:textId="6B33091C"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Malta</w:t>
            </w:r>
          </w:p>
        </w:tc>
        <w:tc>
          <w:tcPr>
            <w:tcW w:w="469" w:type="pct"/>
            <w:gridSpan w:val="2"/>
            <w:shd w:val="clear" w:color="auto" w:fill="auto"/>
          </w:tcPr>
          <w:p w14:paraId="4FBE6D8B" w14:textId="0A9AB0F0"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8" w:type="pct"/>
            <w:gridSpan w:val="2"/>
            <w:shd w:val="clear" w:color="auto" w:fill="auto"/>
          </w:tcPr>
          <w:p w14:paraId="577D4DB4" w14:textId="6B829916"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18,054-57,161</w:t>
            </w:r>
          </w:p>
        </w:tc>
        <w:tc>
          <w:tcPr>
            <w:tcW w:w="674" w:type="pct"/>
            <w:gridSpan w:val="2"/>
            <w:shd w:val="clear" w:color="auto" w:fill="auto"/>
          </w:tcPr>
          <w:p w14:paraId="7D1AD4EB" w14:textId="0C37E026"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Good (Estimate)</w:t>
            </w:r>
          </w:p>
        </w:tc>
        <w:tc>
          <w:tcPr>
            <w:tcW w:w="414" w:type="pct"/>
            <w:shd w:val="clear" w:color="auto" w:fill="auto"/>
          </w:tcPr>
          <w:p w14:paraId="0967361B" w14:textId="569ECEB8"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2011-2016</w:t>
            </w:r>
          </w:p>
        </w:tc>
        <w:tc>
          <w:tcPr>
            <w:tcW w:w="259" w:type="pct"/>
            <w:shd w:val="clear" w:color="auto" w:fill="auto"/>
          </w:tcPr>
          <w:p w14:paraId="579371AA" w14:textId="256D5C89"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6.5</w:t>
            </w:r>
          </w:p>
        </w:tc>
        <w:tc>
          <w:tcPr>
            <w:tcW w:w="469" w:type="pct"/>
            <w:gridSpan w:val="2"/>
            <w:shd w:val="clear" w:color="auto" w:fill="auto"/>
          </w:tcPr>
          <w:p w14:paraId="4E7C6804" w14:textId="6F83B8A0"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70" w:type="pct"/>
            <w:gridSpan w:val="2"/>
            <w:shd w:val="clear" w:color="auto" w:fill="auto"/>
          </w:tcPr>
          <w:p w14:paraId="15AF3274" w14:textId="2B4ECF8E"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Good (Estimated)</w:t>
            </w:r>
          </w:p>
        </w:tc>
        <w:tc>
          <w:tcPr>
            <w:tcW w:w="1061" w:type="pct"/>
            <w:shd w:val="clear" w:color="auto" w:fill="auto"/>
          </w:tcPr>
          <w:p w14:paraId="7D2F4D2D" w14:textId="097D5720"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Wild Birds Regulation Unit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0EC90A3D" w14:textId="77777777" w:rsidTr="00235FA0">
        <w:trPr>
          <w:trHeight w:val="144"/>
        </w:trPr>
        <w:tc>
          <w:tcPr>
            <w:tcW w:w="416" w:type="pct"/>
            <w:shd w:val="clear" w:color="auto" w:fill="auto"/>
            <w:hideMark/>
          </w:tcPr>
          <w:p w14:paraId="5FE96C52"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Mauritania</w:t>
            </w:r>
          </w:p>
        </w:tc>
        <w:tc>
          <w:tcPr>
            <w:tcW w:w="469" w:type="pct"/>
            <w:gridSpan w:val="2"/>
            <w:shd w:val="clear" w:color="auto" w:fill="auto"/>
            <w:hideMark/>
          </w:tcPr>
          <w:p w14:paraId="18ED7CB4"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8" w:type="pct"/>
            <w:gridSpan w:val="2"/>
            <w:shd w:val="clear" w:color="auto" w:fill="auto"/>
            <w:hideMark/>
          </w:tcPr>
          <w:p w14:paraId="69D5C2F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500-2,500</w:t>
            </w:r>
          </w:p>
        </w:tc>
        <w:tc>
          <w:tcPr>
            <w:tcW w:w="674" w:type="pct"/>
            <w:gridSpan w:val="2"/>
            <w:shd w:val="clear" w:color="auto" w:fill="auto"/>
            <w:hideMark/>
          </w:tcPr>
          <w:p w14:paraId="48A5FCDC"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14" w:type="pct"/>
            <w:shd w:val="clear" w:color="auto" w:fill="auto"/>
            <w:hideMark/>
          </w:tcPr>
          <w:p w14:paraId="22E2706C"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2015</w:t>
            </w:r>
          </w:p>
        </w:tc>
        <w:tc>
          <w:tcPr>
            <w:tcW w:w="259" w:type="pct"/>
            <w:shd w:val="clear" w:color="auto" w:fill="auto"/>
            <w:hideMark/>
          </w:tcPr>
          <w:p w14:paraId="63FF934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69" w:type="pct"/>
            <w:gridSpan w:val="2"/>
            <w:shd w:val="clear" w:color="auto" w:fill="auto"/>
            <w:hideMark/>
          </w:tcPr>
          <w:p w14:paraId="5EC320C1"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70" w:type="pct"/>
            <w:gridSpan w:val="2"/>
            <w:shd w:val="clear" w:color="auto" w:fill="auto"/>
            <w:hideMark/>
          </w:tcPr>
          <w:p w14:paraId="7ECC6AE5"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061" w:type="pct"/>
            <w:shd w:val="clear" w:color="auto" w:fill="auto"/>
            <w:hideMark/>
          </w:tcPr>
          <w:p w14:paraId="032DCAC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Djibril Diallo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2D320AA6" w14:textId="77777777" w:rsidTr="00235FA0">
        <w:trPr>
          <w:trHeight w:val="144"/>
        </w:trPr>
        <w:tc>
          <w:tcPr>
            <w:tcW w:w="416" w:type="pct"/>
            <w:shd w:val="clear" w:color="auto" w:fill="auto"/>
            <w:hideMark/>
          </w:tcPr>
          <w:p w14:paraId="519A86C0"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Niger</w:t>
            </w:r>
          </w:p>
        </w:tc>
        <w:tc>
          <w:tcPr>
            <w:tcW w:w="469" w:type="pct"/>
            <w:gridSpan w:val="2"/>
            <w:shd w:val="clear" w:color="auto" w:fill="auto"/>
            <w:hideMark/>
          </w:tcPr>
          <w:p w14:paraId="30305442"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8" w:type="pct"/>
            <w:gridSpan w:val="2"/>
            <w:shd w:val="clear" w:color="auto" w:fill="auto"/>
            <w:hideMark/>
          </w:tcPr>
          <w:p w14:paraId="491D4004"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&gt;500</w:t>
            </w:r>
          </w:p>
        </w:tc>
        <w:tc>
          <w:tcPr>
            <w:tcW w:w="674" w:type="pct"/>
            <w:gridSpan w:val="2"/>
            <w:shd w:val="clear" w:color="auto" w:fill="auto"/>
            <w:hideMark/>
          </w:tcPr>
          <w:p w14:paraId="022DC3B5"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14" w:type="pct"/>
            <w:shd w:val="clear" w:color="auto" w:fill="auto"/>
            <w:hideMark/>
          </w:tcPr>
          <w:p w14:paraId="30B9999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2006</w:t>
            </w:r>
          </w:p>
        </w:tc>
        <w:tc>
          <w:tcPr>
            <w:tcW w:w="259" w:type="pct"/>
            <w:shd w:val="clear" w:color="auto" w:fill="auto"/>
            <w:hideMark/>
          </w:tcPr>
          <w:p w14:paraId="5B4647D1"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69" w:type="pct"/>
            <w:gridSpan w:val="2"/>
            <w:shd w:val="clear" w:color="auto" w:fill="auto"/>
            <w:hideMark/>
          </w:tcPr>
          <w:p w14:paraId="323E077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70" w:type="pct"/>
            <w:gridSpan w:val="2"/>
            <w:shd w:val="clear" w:color="auto" w:fill="auto"/>
            <w:hideMark/>
          </w:tcPr>
          <w:p w14:paraId="10B1920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1061" w:type="pct"/>
            <w:shd w:val="clear" w:color="auto" w:fill="auto"/>
            <w:hideMark/>
          </w:tcPr>
          <w:p w14:paraId="073C3E6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WABDaB (2016)</w:t>
            </w:r>
          </w:p>
        </w:tc>
      </w:tr>
      <w:tr w:rsidR="00235FA0" w:rsidRPr="00C96521" w14:paraId="5BAD8F4A" w14:textId="77777777" w:rsidTr="00235FA0">
        <w:tc>
          <w:tcPr>
            <w:tcW w:w="416" w:type="pct"/>
            <w:shd w:val="clear" w:color="auto" w:fill="auto"/>
            <w:hideMark/>
          </w:tcPr>
          <w:p w14:paraId="73CF3BF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Nigeria</w:t>
            </w:r>
          </w:p>
        </w:tc>
        <w:tc>
          <w:tcPr>
            <w:tcW w:w="469" w:type="pct"/>
            <w:gridSpan w:val="2"/>
            <w:shd w:val="clear" w:color="auto" w:fill="auto"/>
            <w:hideMark/>
          </w:tcPr>
          <w:p w14:paraId="703DA09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8" w:type="pct"/>
            <w:gridSpan w:val="2"/>
            <w:shd w:val="clear" w:color="auto" w:fill="auto"/>
            <w:hideMark/>
          </w:tcPr>
          <w:p w14:paraId="0746C3E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tens of thousands (see note)</w:t>
            </w:r>
          </w:p>
        </w:tc>
        <w:tc>
          <w:tcPr>
            <w:tcW w:w="674" w:type="pct"/>
            <w:gridSpan w:val="2"/>
            <w:shd w:val="clear" w:color="auto" w:fill="auto"/>
            <w:hideMark/>
          </w:tcPr>
          <w:p w14:paraId="40D6694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414" w:type="pct"/>
            <w:shd w:val="clear" w:color="auto" w:fill="auto"/>
            <w:hideMark/>
          </w:tcPr>
          <w:p w14:paraId="7C91CC5D"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1980s</w:t>
            </w:r>
          </w:p>
        </w:tc>
        <w:tc>
          <w:tcPr>
            <w:tcW w:w="259" w:type="pct"/>
            <w:shd w:val="clear" w:color="auto" w:fill="auto"/>
            <w:hideMark/>
          </w:tcPr>
          <w:p w14:paraId="005A0A7E"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69" w:type="pct"/>
            <w:gridSpan w:val="2"/>
            <w:shd w:val="clear" w:color="auto" w:fill="auto"/>
            <w:hideMark/>
          </w:tcPr>
          <w:p w14:paraId="19513D3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unknown</w:t>
            </w:r>
          </w:p>
        </w:tc>
        <w:tc>
          <w:tcPr>
            <w:tcW w:w="670" w:type="pct"/>
            <w:gridSpan w:val="2"/>
            <w:shd w:val="clear" w:color="auto" w:fill="auto"/>
            <w:hideMark/>
          </w:tcPr>
          <w:p w14:paraId="5CA7599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Poor (Suspected)</w:t>
            </w:r>
          </w:p>
        </w:tc>
        <w:tc>
          <w:tcPr>
            <w:tcW w:w="1061" w:type="pct"/>
            <w:shd w:val="clear" w:color="auto" w:fill="auto"/>
            <w:hideMark/>
          </w:tcPr>
          <w:p w14:paraId="1B2453B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Phillip Hall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349F3755" w14:textId="77777777" w:rsidTr="00235FA0">
        <w:tc>
          <w:tcPr>
            <w:tcW w:w="420" w:type="pct"/>
            <w:gridSpan w:val="2"/>
            <w:shd w:val="clear" w:color="auto" w:fill="auto"/>
            <w:hideMark/>
          </w:tcPr>
          <w:p w14:paraId="2C5EFFF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Senegal</w:t>
            </w:r>
          </w:p>
        </w:tc>
        <w:tc>
          <w:tcPr>
            <w:tcW w:w="473" w:type="pct"/>
            <w:gridSpan w:val="2"/>
            <w:shd w:val="clear" w:color="auto" w:fill="auto"/>
            <w:hideMark/>
          </w:tcPr>
          <w:p w14:paraId="538EB11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wintering</w:t>
            </w:r>
          </w:p>
        </w:tc>
        <w:tc>
          <w:tcPr>
            <w:tcW w:w="564" w:type="pct"/>
            <w:gridSpan w:val="2"/>
            <w:shd w:val="clear" w:color="auto" w:fill="auto"/>
            <w:hideMark/>
          </w:tcPr>
          <w:p w14:paraId="242DDEE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7,500-50,000</w:t>
            </w:r>
          </w:p>
        </w:tc>
        <w:tc>
          <w:tcPr>
            <w:tcW w:w="670" w:type="pct"/>
            <w:shd w:val="clear" w:color="auto" w:fill="auto"/>
            <w:hideMark/>
          </w:tcPr>
          <w:p w14:paraId="0ECD52A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414" w:type="pct"/>
            <w:shd w:val="clear" w:color="auto" w:fill="auto"/>
            <w:hideMark/>
          </w:tcPr>
          <w:p w14:paraId="75E8D1D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2015-2016</w:t>
            </w:r>
          </w:p>
        </w:tc>
        <w:tc>
          <w:tcPr>
            <w:tcW w:w="259" w:type="pct"/>
            <w:shd w:val="clear" w:color="auto" w:fill="auto"/>
            <w:hideMark/>
          </w:tcPr>
          <w:p w14:paraId="7FC72B00"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66" w:type="pct"/>
            <w:shd w:val="clear" w:color="auto" w:fill="auto"/>
            <w:hideMark/>
          </w:tcPr>
          <w:p w14:paraId="16C98F9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fluctuating</w:t>
            </w:r>
          </w:p>
        </w:tc>
        <w:tc>
          <w:tcPr>
            <w:tcW w:w="673" w:type="pct"/>
            <w:gridSpan w:val="3"/>
            <w:shd w:val="clear" w:color="auto" w:fill="auto"/>
            <w:hideMark/>
          </w:tcPr>
          <w:p w14:paraId="4D977A8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hideMark/>
          </w:tcPr>
          <w:p w14:paraId="4744C751"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Malang Sarr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0C9BE758" w14:textId="77777777" w:rsidTr="00235FA0">
        <w:tc>
          <w:tcPr>
            <w:tcW w:w="420" w:type="pct"/>
            <w:gridSpan w:val="2"/>
            <w:shd w:val="clear" w:color="auto" w:fill="auto"/>
            <w:hideMark/>
          </w:tcPr>
          <w:p w14:paraId="5B1A879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Serbia</w:t>
            </w:r>
          </w:p>
        </w:tc>
        <w:tc>
          <w:tcPr>
            <w:tcW w:w="473" w:type="pct"/>
            <w:gridSpan w:val="2"/>
            <w:shd w:val="clear" w:color="auto" w:fill="auto"/>
            <w:hideMark/>
          </w:tcPr>
          <w:p w14:paraId="23D102F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246BF71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670" w:type="pct"/>
            <w:shd w:val="clear" w:color="auto" w:fill="auto"/>
            <w:hideMark/>
          </w:tcPr>
          <w:p w14:paraId="5CF388D2"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14" w:type="pct"/>
            <w:shd w:val="clear" w:color="auto" w:fill="auto"/>
            <w:hideMark/>
          </w:tcPr>
          <w:p w14:paraId="05D4BB1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2008-2013</w:t>
            </w:r>
          </w:p>
        </w:tc>
        <w:tc>
          <w:tcPr>
            <w:tcW w:w="259" w:type="pct"/>
            <w:shd w:val="clear" w:color="auto" w:fill="auto"/>
            <w:hideMark/>
          </w:tcPr>
          <w:p w14:paraId="4D1AB3F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w:t>
            </w:r>
          </w:p>
        </w:tc>
        <w:tc>
          <w:tcPr>
            <w:tcW w:w="466" w:type="pct"/>
            <w:shd w:val="clear" w:color="auto" w:fill="auto"/>
            <w:hideMark/>
          </w:tcPr>
          <w:p w14:paraId="14776E5E"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73" w:type="pct"/>
            <w:gridSpan w:val="3"/>
            <w:shd w:val="clear" w:color="auto" w:fill="auto"/>
            <w:hideMark/>
          </w:tcPr>
          <w:p w14:paraId="44D1B8E1"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(Estimated)</w:t>
            </w:r>
          </w:p>
        </w:tc>
        <w:tc>
          <w:tcPr>
            <w:tcW w:w="1061" w:type="pct"/>
            <w:shd w:val="clear" w:color="auto" w:fill="auto"/>
            <w:hideMark/>
          </w:tcPr>
          <w:p w14:paraId="3CAE7A70"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 xml:space="preserve">Puzović </w:t>
            </w:r>
            <w:r w:rsidRPr="00C96521">
              <w:rPr>
                <w:rFonts w:cs="Arial"/>
                <w:i/>
                <w:iCs/>
                <w:sz w:val="16"/>
                <w:szCs w:val="16"/>
                <w:lang w:val="en-GB" w:eastAsia="ja-JP"/>
              </w:rPr>
              <w:t>et al</w:t>
            </w:r>
            <w:r w:rsidRPr="00C96521">
              <w:rPr>
                <w:rFonts w:cs="Arial"/>
                <w:sz w:val="16"/>
                <w:szCs w:val="16"/>
                <w:lang w:val="en-GB" w:eastAsia="ja-JP"/>
              </w:rPr>
              <w:t xml:space="preserve"> (2003)</w:t>
            </w:r>
          </w:p>
        </w:tc>
      </w:tr>
      <w:tr w:rsidR="00235FA0" w:rsidRPr="00C96521" w14:paraId="4F918A20" w14:textId="77777777" w:rsidTr="00235FA0">
        <w:tc>
          <w:tcPr>
            <w:tcW w:w="420" w:type="pct"/>
            <w:gridSpan w:val="2"/>
            <w:shd w:val="clear" w:color="auto" w:fill="auto"/>
            <w:hideMark/>
          </w:tcPr>
          <w:p w14:paraId="5406C77A" w14:textId="5B126653"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Syria</w:t>
            </w:r>
            <w:r>
              <w:rPr>
                <w:rFonts w:cs="Arial"/>
                <w:sz w:val="16"/>
                <w:szCs w:val="16"/>
                <w:lang w:val="en-GB" w:eastAsia="ja-JP"/>
              </w:rPr>
              <w:t>n Arab Republic</w:t>
            </w:r>
          </w:p>
        </w:tc>
        <w:tc>
          <w:tcPr>
            <w:tcW w:w="473" w:type="pct"/>
            <w:gridSpan w:val="2"/>
            <w:shd w:val="clear" w:color="auto" w:fill="auto"/>
            <w:hideMark/>
          </w:tcPr>
          <w:p w14:paraId="231F691E"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0710568E"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100,000-250,000</w:t>
            </w:r>
          </w:p>
        </w:tc>
        <w:tc>
          <w:tcPr>
            <w:tcW w:w="670" w:type="pct"/>
            <w:shd w:val="clear" w:color="auto" w:fill="auto"/>
            <w:hideMark/>
          </w:tcPr>
          <w:p w14:paraId="18D530F9"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14" w:type="pct"/>
            <w:shd w:val="clear" w:color="auto" w:fill="auto"/>
            <w:hideMark/>
          </w:tcPr>
          <w:p w14:paraId="45C47A74"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2010</w:t>
            </w:r>
          </w:p>
        </w:tc>
        <w:tc>
          <w:tcPr>
            <w:tcW w:w="259" w:type="pct"/>
            <w:shd w:val="clear" w:color="auto" w:fill="auto"/>
            <w:hideMark/>
          </w:tcPr>
          <w:p w14:paraId="1D9A7E3F"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60-90</w:t>
            </w:r>
          </w:p>
        </w:tc>
        <w:tc>
          <w:tcPr>
            <w:tcW w:w="466" w:type="pct"/>
            <w:shd w:val="clear" w:color="auto" w:fill="auto"/>
            <w:hideMark/>
          </w:tcPr>
          <w:p w14:paraId="4AEA030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fluctuating</w:t>
            </w:r>
          </w:p>
        </w:tc>
        <w:tc>
          <w:tcPr>
            <w:tcW w:w="673" w:type="pct"/>
            <w:gridSpan w:val="3"/>
            <w:shd w:val="clear" w:color="auto" w:fill="auto"/>
            <w:hideMark/>
          </w:tcPr>
          <w:p w14:paraId="0E8278EA"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hideMark/>
          </w:tcPr>
          <w:p w14:paraId="3E654EEC"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Nabegh Ghazal Asswad (</w:t>
            </w:r>
            <w:r w:rsidRPr="00C96521">
              <w:rPr>
                <w:rFonts w:cs="Arial"/>
                <w:i/>
                <w:sz w:val="16"/>
                <w:szCs w:val="16"/>
                <w:lang w:val="en-GB" w:eastAsia="ja-JP"/>
              </w:rPr>
              <w:t>pers comm</w:t>
            </w:r>
            <w:r w:rsidRPr="00C96521">
              <w:rPr>
                <w:rFonts w:cs="Arial"/>
                <w:sz w:val="16"/>
                <w:szCs w:val="16"/>
                <w:lang w:val="en-GB" w:eastAsia="ja-JP"/>
              </w:rPr>
              <w:t>)</w:t>
            </w:r>
          </w:p>
        </w:tc>
      </w:tr>
      <w:tr w:rsidR="00235FA0" w:rsidRPr="00C96521" w14:paraId="3B3CB76F" w14:textId="77777777" w:rsidTr="00235FA0">
        <w:tc>
          <w:tcPr>
            <w:tcW w:w="420" w:type="pct"/>
            <w:gridSpan w:val="2"/>
            <w:shd w:val="clear" w:color="auto" w:fill="auto"/>
            <w:hideMark/>
          </w:tcPr>
          <w:p w14:paraId="1D6CD80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Ukraine</w:t>
            </w:r>
          </w:p>
        </w:tc>
        <w:tc>
          <w:tcPr>
            <w:tcW w:w="473" w:type="pct"/>
            <w:gridSpan w:val="2"/>
            <w:shd w:val="clear" w:color="auto" w:fill="auto"/>
            <w:hideMark/>
          </w:tcPr>
          <w:p w14:paraId="73A83552"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passage</w:t>
            </w:r>
          </w:p>
        </w:tc>
        <w:tc>
          <w:tcPr>
            <w:tcW w:w="564" w:type="pct"/>
            <w:gridSpan w:val="2"/>
            <w:shd w:val="clear" w:color="auto" w:fill="auto"/>
            <w:hideMark/>
          </w:tcPr>
          <w:p w14:paraId="17126E26"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300,000-500,000</w:t>
            </w:r>
          </w:p>
        </w:tc>
        <w:tc>
          <w:tcPr>
            <w:tcW w:w="670" w:type="pct"/>
            <w:shd w:val="clear" w:color="auto" w:fill="auto"/>
            <w:hideMark/>
          </w:tcPr>
          <w:p w14:paraId="391855E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414" w:type="pct"/>
            <w:shd w:val="clear" w:color="auto" w:fill="auto"/>
            <w:hideMark/>
          </w:tcPr>
          <w:p w14:paraId="75A3B423"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2000-2010</w:t>
            </w:r>
          </w:p>
        </w:tc>
        <w:tc>
          <w:tcPr>
            <w:tcW w:w="259" w:type="pct"/>
            <w:shd w:val="clear" w:color="auto" w:fill="auto"/>
            <w:hideMark/>
          </w:tcPr>
          <w:p w14:paraId="24429848"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25-30</w:t>
            </w:r>
          </w:p>
        </w:tc>
        <w:tc>
          <w:tcPr>
            <w:tcW w:w="466" w:type="pct"/>
            <w:shd w:val="clear" w:color="auto" w:fill="auto"/>
            <w:hideMark/>
          </w:tcPr>
          <w:p w14:paraId="29D8B57C"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decreasing</w:t>
            </w:r>
          </w:p>
        </w:tc>
        <w:tc>
          <w:tcPr>
            <w:tcW w:w="673" w:type="pct"/>
            <w:gridSpan w:val="3"/>
            <w:shd w:val="clear" w:color="auto" w:fill="auto"/>
            <w:hideMark/>
          </w:tcPr>
          <w:p w14:paraId="79B719C7"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Medium (Inferred)</w:t>
            </w:r>
          </w:p>
        </w:tc>
        <w:tc>
          <w:tcPr>
            <w:tcW w:w="1061" w:type="pct"/>
            <w:shd w:val="clear" w:color="auto" w:fill="auto"/>
            <w:hideMark/>
          </w:tcPr>
          <w:p w14:paraId="0064EF4B" w14:textId="77777777" w:rsidR="00235FA0" w:rsidRPr="00C96521" w:rsidRDefault="00235FA0" w:rsidP="00235FA0">
            <w:pPr>
              <w:widowControl/>
              <w:autoSpaceDE/>
              <w:autoSpaceDN/>
              <w:adjustRightInd/>
              <w:rPr>
                <w:rFonts w:cs="Arial"/>
                <w:sz w:val="16"/>
                <w:szCs w:val="16"/>
                <w:lang w:val="en-GB" w:eastAsia="ja-JP"/>
              </w:rPr>
            </w:pPr>
            <w:r w:rsidRPr="00C96521">
              <w:rPr>
                <w:rFonts w:cs="Arial"/>
                <w:sz w:val="16"/>
                <w:szCs w:val="16"/>
                <w:lang w:val="en-GB" w:eastAsia="ja-JP"/>
              </w:rPr>
              <w:t>Igor Gorban (</w:t>
            </w:r>
            <w:r w:rsidRPr="00C96521">
              <w:rPr>
                <w:rFonts w:cs="Arial"/>
                <w:i/>
                <w:sz w:val="16"/>
                <w:szCs w:val="16"/>
                <w:lang w:val="en-GB" w:eastAsia="ja-JP"/>
              </w:rPr>
              <w:t>pers comm</w:t>
            </w:r>
            <w:r w:rsidRPr="00C96521">
              <w:rPr>
                <w:rFonts w:cs="Arial"/>
                <w:sz w:val="16"/>
                <w:szCs w:val="16"/>
                <w:lang w:val="en-GB" w:eastAsia="ja-JP"/>
              </w:rPr>
              <w:t>)</w:t>
            </w:r>
          </w:p>
        </w:tc>
      </w:tr>
    </w:tbl>
    <w:p w14:paraId="2355F718" w14:textId="77777777" w:rsidR="00C96521" w:rsidRPr="00C96521" w:rsidRDefault="00C96521" w:rsidP="00C96521">
      <w:pPr>
        <w:widowControl/>
        <w:autoSpaceDE/>
        <w:autoSpaceDN/>
        <w:adjustRightInd/>
        <w:rPr>
          <w:rFonts w:cs="Arial"/>
          <w:sz w:val="16"/>
          <w:szCs w:val="16"/>
          <w:lang w:val="en-GB" w:eastAsia="ja-JP"/>
        </w:rPr>
      </w:pPr>
    </w:p>
    <w:p w14:paraId="33F50672" w14:textId="6DCEBC39" w:rsidR="00C96521" w:rsidRPr="00C96521" w:rsidRDefault="00C96521" w:rsidP="00C96521">
      <w:pPr>
        <w:widowControl/>
        <w:autoSpaceDE/>
        <w:autoSpaceDN/>
        <w:adjustRightInd/>
        <w:rPr>
          <w:rFonts w:cs="Arial"/>
          <w:sz w:val="16"/>
          <w:szCs w:val="16"/>
          <w:lang w:val="en-GB" w:eastAsia="ja-JP"/>
        </w:rPr>
      </w:pPr>
      <w:r w:rsidRPr="00C96521">
        <w:rPr>
          <w:rFonts w:cs="Arial"/>
          <w:sz w:val="16"/>
          <w:szCs w:val="16"/>
          <w:lang w:val="en-GB" w:eastAsia="ja-JP"/>
        </w:rPr>
        <w:t xml:space="preserve">Note on Nigeria: in the 1980s there were thousands of wintering </w:t>
      </w:r>
      <w:r w:rsidR="00230104">
        <w:rPr>
          <w:rFonts w:cs="Arial"/>
          <w:sz w:val="16"/>
          <w:szCs w:val="16"/>
          <w:lang w:val="en-GB" w:eastAsia="ja-JP"/>
        </w:rPr>
        <w:t>T</w:t>
      </w:r>
      <w:r w:rsidRPr="00C96521">
        <w:rPr>
          <w:rFonts w:cs="Arial"/>
          <w:sz w:val="16"/>
          <w:szCs w:val="16"/>
          <w:lang w:val="en-GB" w:eastAsia="ja-JP"/>
        </w:rPr>
        <w:t>urtle</w:t>
      </w:r>
      <w:r w:rsidR="00230104">
        <w:rPr>
          <w:rFonts w:cs="Arial"/>
          <w:sz w:val="16"/>
          <w:szCs w:val="16"/>
          <w:lang w:val="en-GB" w:eastAsia="ja-JP"/>
        </w:rPr>
        <w:t xml:space="preserve"> D</w:t>
      </w:r>
      <w:r w:rsidRPr="00C96521">
        <w:rPr>
          <w:rFonts w:cs="Arial"/>
          <w:sz w:val="16"/>
          <w:szCs w:val="16"/>
          <w:lang w:val="en-GB" w:eastAsia="ja-JP"/>
        </w:rPr>
        <w:t xml:space="preserve">oves in the Jeribowl area to the east of Maiduguri, and there were tens of thousands wintering across to the north of Cameroon, especially around the Lake Chad shore areas. Local unrest makes it impossible currently to visit the area. Turtle-doves have been reported from the ouadis of Kharma and Achim in Chad, in small flocks on the move (20-100 birds in multiple groups) (Tim Wacher </w:t>
      </w:r>
      <w:r w:rsidRPr="00C96521">
        <w:rPr>
          <w:rFonts w:cs="Arial"/>
          <w:i/>
          <w:sz w:val="16"/>
          <w:szCs w:val="16"/>
          <w:lang w:val="en-GB" w:eastAsia="ja-JP"/>
        </w:rPr>
        <w:t>pers comm</w:t>
      </w:r>
      <w:r w:rsidRPr="00C96521">
        <w:rPr>
          <w:rFonts w:cs="Arial"/>
          <w:sz w:val="16"/>
          <w:szCs w:val="16"/>
          <w:lang w:val="en-GB" w:eastAsia="ja-JP"/>
        </w:rPr>
        <w:t>).</w:t>
      </w:r>
    </w:p>
    <w:p w14:paraId="5A051C21" w14:textId="77777777" w:rsidR="00C96521" w:rsidRPr="00C96521" w:rsidRDefault="00C96521" w:rsidP="00C96521">
      <w:pPr>
        <w:widowControl/>
        <w:autoSpaceDE/>
        <w:autoSpaceDN/>
        <w:adjustRightInd/>
        <w:spacing w:line="276" w:lineRule="auto"/>
        <w:rPr>
          <w:rFonts w:eastAsia="MS Mincho"/>
          <w:sz w:val="16"/>
          <w:szCs w:val="16"/>
          <w:lang w:val="en-GB" w:eastAsia="ja-JP"/>
        </w:rPr>
      </w:pPr>
    </w:p>
    <w:p w14:paraId="1114FA3A" w14:textId="77777777" w:rsidR="00C96521" w:rsidRPr="00C96521" w:rsidRDefault="00C96521" w:rsidP="00C96521">
      <w:pPr>
        <w:widowControl/>
        <w:autoSpaceDE/>
        <w:autoSpaceDN/>
        <w:adjustRightInd/>
        <w:spacing w:line="276" w:lineRule="auto"/>
        <w:rPr>
          <w:rFonts w:eastAsia="MS Mincho"/>
          <w:sz w:val="16"/>
          <w:szCs w:val="16"/>
          <w:lang w:val="en-GB" w:eastAsia="ja-JP"/>
        </w:rPr>
        <w:sectPr w:rsidR="00C96521" w:rsidRPr="00C96521" w:rsidSect="00C96521">
          <w:pgSz w:w="16840" w:h="11920" w:orient="landscape"/>
          <w:pgMar w:top="1300" w:right="920" w:bottom="1300" w:left="1276" w:header="730" w:footer="738" w:gutter="0"/>
          <w:cols w:space="720"/>
          <w:docGrid w:linePitch="299"/>
        </w:sectPr>
      </w:pPr>
      <w:r w:rsidRPr="00C96521">
        <w:rPr>
          <w:rFonts w:eastAsia="MS Mincho"/>
          <w:sz w:val="16"/>
          <w:szCs w:val="16"/>
          <w:lang w:val="en-GB" w:eastAsia="ja-JP"/>
        </w:rPr>
        <w:t>See Table2 for trend and quality categories.</w:t>
      </w:r>
    </w:p>
    <w:p w14:paraId="6CD04D8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E3BE2D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A79B94E" w14:textId="4FD378D5" w:rsidR="00C96521" w:rsidRPr="00C96521" w:rsidRDefault="00C96521" w:rsidP="00C96521">
      <w:pPr>
        <w:widowControl/>
        <w:autoSpaceDE/>
        <w:autoSpaceDN/>
        <w:adjustRightInd/>
        <w:spacing w:line="276" w:lineRule="auto"/>
        <w:rPr>
          <w:rFonts w:eastAsia="MS Mincho" w:cs="Arial"/>
          <w:color w:val="FF0000"/>
          <w:sz w:val="20"/>
          <w:szCs w:val="22"/>
          <w:lang w:val="en-GB" w:eastAsia="ja-JP"/>
        </w:rPr>
      </w:pPr>
      <w:r w:rsidRPr="00C96521">
        <w:rPr>
          <w:rFonts w:eastAsia="MS Mincho" w:cs="Arial"/>
          <w:sz w:val="20"/>
          <w:szCs w:val="22"/>
          <w:lang w:val="en-GB" w:eastAsia="ja-JP"/>
        </w:rPr>
        <w:t>Figures 6</w:t>
      </w:r>
      <w:r w:rsidRPr="00C96521">
        <w:rPr>
          <w:rFonts w:eastAsia="MS Mincho" w:cs="Arial"/>
          <w:color w:val="FF0000"/>
          <w:sz w:val="20"/>
          <w:szCs w:val="22"/>
          <w:lang w:val="en-GB" w:eastAsia="ja-JP"/>
        </w:rPr>
        <w:t xml:space="preserve"> </w:t>
      </w:r>
      <w:r w:rsidRPr="00C96521">
        <w:rPr>
          <w:rFonts w:eastAsia="MS Mincho" w:cs="Arial"/>
          <w:sz w:val="20"/>
          <w:szCs w:val="22"/>
          <w:lang w:val="en-GB" w:eastAsia="ja-JP"/>
        </w:rPr>
        <w:t>to 11</w:t>
      </w:r>
      <w:r w:rsidRPr="00C96521">
        <w:rPr>
          <w:rFonts w:eastAsia="MS Mincho" w:cs="Arial"/>
          <w:color w:val="FF0000"/>
          <w:sz w:val="20"/>
          <w:szCs w:val="22"/>
          <w:lang w:val="en-GB" w:eastAsia="ja-JP"/>
        </w:rPr>
        <w:t xml:space="preserve"> </w:t>
      </w:r>
      <w:r w:rsidRPr="00C96521">
        <w:rPr>
          <w:rFonts w:eastAsia="MS Mincho" w:cs="Arial"/>
          <w:sz w:val="20"/>
          <w:szCs w:val="22"/>
          <w:lang w:val="en-GB" w:eastAsia="ja-JP"/>
        </w:rPr>
        <w:t xml:space="preserve">show the population trend of </w:t>
      </w:r>
      <w:r w:rsidR="00230104">
        <w:rPr>
          <w:rFonts w:eastAsia="MS Mincho" w:cs="Arial"/>
          <w:sz w:val="20"/>
          <w:szCs w:val="22"/>
          <w:lang w:val="en-GB" w:eastAsia="ja-JP"/>
        </w:rPr>
        <w:t>T</w:t>
      </w:r>
      <w:r w:rsidR="00230104" w:rsidRPr="00C96521">
        <w:rPr>
          <w:rFonts w:eastAsia="MS Mincho" w:cs="Arial"/>
          <w:sz w:val="20"/>
          <w:szCs w:val="22"/>
          <w:lang w:val="en-GB" w:eastAsia="ja-JP"/>
        </w:rPr>
        <w:t>urtle</w:t>
      </w:r>
      <w:r w:rsidR="00230104">
        <w:rPr>
          <w:rFonts w:eastAsia="MS Mincho" w:cs="Arial"/>
          <w:sz w:val="20"/>
          <w:szCs w:val="22"/>
          <w:lang w:val="en-GB" w:eastAsia="ja-JP"/>
        </w:rPr>
        <w:t xml:space="preserve"> D</w:t>
      </w:r>
      <w:r w:rsidR="00230104" w:rsidRPr="00C96521">
        <w:rPr>
          <w:rFonts w:eastAsia="MS Mincho" w:cs="Arial"/>
          <w:sz w:val="20"/>
          <w:szCs w:val="22"/>
          <w:lang w:val="en-GB" w:eastAsia="ja-JP"/>
        </w:rPr>
        <w:t xml:space="preserve">oves </w:t>
      </w:r>
      <w:r w:rsidRPr="00C96521">
        <w:rPr>
          <w:rFonts w:eastAsia="MS Mincho" w:cs="Arial"/>
          <w:sz w:val="20"/>
          <w:szCs w:val="22"/>
          <w:lang w:val="en-GB" w:eastAsia="ja-JP"/>
        </w:rPr>
        <w:t>in 22 European countries collected by the Pan-European Common Bird Monitoring Scheme (</w:t>
      </w:r>
      <w:r w:rsidRPr="00C96521">
        <w:rPr>
          <w:rFonts w:eastAsia="MS Mincho"/>
          <w:sz w:val="20"/>
          <w:szCs w:val="22"/>
          <w:lang w:val="en-GB" w:eastAsia="ja-JP"/>
        </w:rPr>
        <w:t>EBCC/RSPB/BirdLife/Statistics Netherlands</w:t>
      </w:r>
      <w:r w:rsidRPr="00C96521">
        <w:rPr>
          <w:rFonts w:eastAsia="MS Mincho" w:cs="Arial"/>
          <w:sz w:val="20"/>
          <w:szCs w:val="22"/>
          <w:lang w:val="en-GB" w:eastAsia="ja-JP"/>
        </w:rPr>
        <w:t xml:space="preserve"> 2016). Figures 12 and 13 show the population trend over time experienced by turtle-dove in the western and central-eastern </w:t>
      </w:r>
      <w:r w:rsidRPr="00C96521">
        <w:rPr>
          <w:rFonts w:eastAsia="MS Mincho" w:cs="Arial"/>
          <w:color w:val="000000"/>
          <w:sz w:val="20"/>
          <w:szCs w:val="22"/>
          <w:lang w:val="en-GB" w:eastAsia="ja-JP"/>
        </w:rPr>
        <w:t>populations respectively, while Figure 14 shows all trends. Data for these figures were provided by national breeding bird surveys contributing to the Pan-European Common Bird Monitoring Scheme. In some cases, national coordinators may have chosen to present indices with a different base year; however, the trend of the index remains the same.</w:t>
      </w:r>
    </w:p>
    <w:p w14:paraId="1AC6BA7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54EBDB2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drawing>
          <wp:inline distT="0" distB="0" distL="0" distR="0" wp14:anchorId="7C64B1DB" wp14:editId="3E0825F4">
            <wp:extent cx="5349922" cy="4326340"/>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743D117"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Figure 6. Population trend index for countries in the western European population.</w:t>
      </w:r>
    </w:p>
    <w:p w14:paraId="7FB962B4"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60C7D4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lastRenderedPageBreak/>
        <w:drawing>
          <wp:inline distT="0" distB="0" distL="0" distR="0" wp14:anchorId="59A4E42C" wp14:editId="25D2405B">
            <wp:extent cx="5922334" cy="3338623"/>
            <wp:effectExtent l="0" t="0" r="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82E6682"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Figure 7. Population trend index for Estonia, Latvia, Lithuania and Poland.</w:t>
      </w:r>
    </w:p>
    <w:p w14:paraId="171F43AC"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2573EB09" w14:textId="77777777" w:rsidR="00C96521" w:rsidRPr="00C96521" w:rsidRDefault="00C96521" w:rsidP="00C96521">
      <w:pPr>
        <w:widowControl/>
        <w:autoSpaceDE/>
        <w:autoSpaceDN/>
        <w:adjustRightInd/>
        <w:spacing w:line="276" w:lineRule="auto"/>
        <w:jc w:val="both"/>
        <w:rPr>
          <w:rFonts w:eastAsia="MS Mincho" w:cs="Arial"/>
          <w:sz w:val="20"/>
          <w:szCs w:val="22"/>
          <w:lang w:val="en-GB" w:eastAsia="ja-JP"/>
        </w:rPr>
      </w:pPr>
      <w:r w:rsidRPr="00C96521">
        <w:rPr>
          <w:rFonts w:eastAsia="MS Mincho" w:cs="Arial"/>
          <w:noProof/>
          <w:sz w:val="20"/>
          <w:szCs w:val="22"/>
        </w:rPr>
        <w:drawing>
          <wp:inline distT="0" distB="0" distL="0" distR="0" wp14:anchorId="0DFBAAC5" wp14:editId="0AD2F487">
            <wp:extent cx="5922334" cy="3455582"/>
            <wp:effectExtent l="0" t="0" r="0" b="0"/>
            <wp:docPr id="1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B0C9208"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i/>
          <w:sz w:val="20"/>
          <w:szCs w:val="22"/>
          <w:lang w:val="en-GB" w:eastAsia="ja-JP"/>
        </w:rPr>
        <w:t>Figure 8. Population trend index for Austria, Czech Republic, Hungary, Italy, Slovakia, Slovenia and Switzerland.</w:t>
      </w:r>
    </w:p>
    <w:p w14:paraId="5C4B2DF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lastRenderedPageBreak/>
        <w:drawing>
          <wp:inline distT="0" distB="0" distL="0" distR="0" wp14:anchorId="59FB91EB" wp14:editId="2319CB06">
            <wp:extent cx="5922335" cy="3179134"/>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B2F870B" w14:textId="35182606"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9. Population trend index for Bulgaria, Cyprus, Greece and Romania. </w:t>
      </w:r>
    </w:p>
    <w:p w14:paraId="795C85D0"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6D866E14"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noProof/>
          <w:sz w:val="20"/>
          <w:szCs w:val="22"/>
        </w:rPr>
        <w:drawing>
          <wp:inline distT="0" distB="0" distL="0" distR="0" wp14:anchorId="2F8E792D" wp14:editId="07CB7E94">
            <wp:extent cx="4838700" cy="3571875"/>
            <wp:effectExtent l="0" t="0" r="0" b="0"/>
            <wp:docPr id="1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939D64C"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10. Population trend index for the five largest populations of turtle-dove contributing to the Pan-European Common Bird Monitoring Scheme. </w:t>
      </w:r>
    </w:p>
    <w:p w14:paraId="1ADF0425"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noProof/>
          <w:sz w:val="20"/>
          <w:szCs w:val="22"/>
        </w:rPr>
        <w:lastRenderedPageBreak/>
        <w:drawing>
          <wp:inline distT="0" distB="0" distL="0" distR="0" wp14:anchorId="24C3B554" wp14:editId="03102EE3">
            <wp:extent cx="5886450" cy="3371850"/>
            <wp:effectExtent l="0" t="0" r="0" b="0"/>
            <wp:docPr id="1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8AEAD72" w14:textId="6AE8BFE8"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11. Population trend index for the five populations of </w:t>
      </w:r>
      <w:r w:rsidR="00230104">
        <w:rPr>
          <w:rFonts w:eastAsia="MS Mincho" w:cs="Arial"/>
          <w:i/>
          <w:sz w:val="20"/>
          <w:szCs w:val="22"/>
          <w:lang w:val="en-GB" w:eastAsia="ja-JP"/>
        </w:rPr>
        <w:t>T</w:t>
      </w:r>
      <w:r w:rsidRPr="00C96521">
        <w:rPr>
          <w:rFonts w:eastAsia="MS Mincho" w:cs="Arial"/>
          <w:i/>
          <w:sz w:val="20"/>
          <w:szCs w:val="22"/>
          <w:lang w:val="en-GB" w:eastAsia="ja-JP"/>
        </w:rPr>
        <w:t>urtle</w:t>
      </w:r>
      <w:r w:rsidR="00230104">
        <w:rPr>
          <w:rFonts w:eastAsia="MS Mincho" w:cs="Arial"/>
          <w:i/>
          <w:sz w:val="20"/>
          <w:szCs w:val="22"/>
          <w:lang w:val="en-GB" w:eastAsia="ja-JP"/>
        </w:rPr>
        <w:t xml:space="preserve"> D</w:t>
      </w:r>
      <w:r w:rsidRPr="00C96521">
        <w:rPr>
          <w:rFonts w:eastAsia="MS Mincho" w:cs="Arial"/>
          <w:i/>
          <w:sz w:val="20"/>
          <w:szCs w:val="22"/>
          <w:lang w:val="en-GB" w:eastAsia="ja-JP"/>
        </w:rPr>
        <w:t xml:space="preserve">ove showing the strongest declines based on the multiplicative trend index contributing to the Pan-European Common Bird Monitoring Scheme. </w:t>
      </w:r>
    </w:p>
    <w:p w14:paraId="6040DC7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357547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84F5342" w14:textId="77777777" w:rsidR="00C96521" w:rsidRPr="00C96521" w:rsidRDefault="00C96521" w:rsidP="00C96521">
      <w:pPr>
        <w:widowControl/>
        <w:autoSpaceDE/>
        <w:autoSpaceDN/>
        <w:adjustRightInd/>
        <w:spacing w:line="276" w:lineRule="auto"/>
        <w:jc w:val="center"/>
        <w:rPr>
          <w:rFonts w:eastAsia="MS Mincho" w:cs="Arial"/>
          <w:sz w:val="20"/>
          <w:szCs w:val="22"/>
          <w:lang w:val="en-GB" w:eastAsia="ja-JP"/>
        </w:rPr>
      </w:pPr>
      <w:r w:rsidRPr="00C96521">
        <w:rPr>
          <w:rFonts w:eastAsia="MS Mincho" w:cs="Arial"/>
          <w:noProof/>
          <w:sz w:val="20"/>
          <w:szCs w:val="22"/>
        </w:rPr>
        <w:drawing>
          <wp:inline distT="0" distB="0" distL="0" distR="0" wp14:anchorId="1EE36600" wp14:editId="14CCD5F0">
            <wp:extent cx="4572000" cy="2362200"/>
            <wp:effectExtent l="0" t="0" r="0" b="0"/>
            <wp:docPr id="2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639ED82"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07596899" w14:textId="731B4A9E"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12. Population trend slope for </w:t>
      </w:r>
      <w:r w:rsidR="00230104" w:rsidRPr="00235FA0">
        <w:rPr>
          <w:rFonts w:eastAsia="MS Mincho" w:cs="Arial"/>
          <w:i/>
          <w:sz w:val="20"/>
          <w:szCs w:val="22"/>
          <w:lang w:val="en-GB" w:eastAsia="ja-JP"/>
        </w:rPr>
        <w:t>Turtle Doves</w:t>
      </w:r>
      <w:r w:rsidR="00230104" w:rsidRPr="00C96521">
        <w:rPr>
          <w:rFonts w:eastAsia="MS Mincho" w:cs="Arial"/>
          <w:sz w:val="20"/>
          <w:szCs w:val="22"/>
          <w:lang w:val="en-GB" w:eastAsia="ja-JP"/>
        </w:rPr>
        <w:t xml:space="preserve"> </w:t>
      </w:r>
      <w:r w:rsidRPr="00C96521">
        <w:rPr>
          <w:rFonts w:eastAsia="MS Mincho" w:cs="Arial"/>
          <w:i/>
          <w:sz w:val="20"/>
          <w:szCs w:val="22"/>
          <w:lang w:val="en-GB" w:eastAsia="ja-JP"/>
        </w:rPr>
        <w:t>in countries in the western population contributing to the Pan-European Common Bird Monitoring Scheme. The countries are ordered from north (top) to south. Multiplicative trend over a period considered (Belgium-Wallonia 1990-2014; France 1989-2014; Germany 1989-2014; Netherlands 1984-2014; Portugal 2004-2014; Spain 1998-2014; UK 1966-2014) reflects average percentage change per year. &gt; 1 positive trend, &lt; 1 negative trend.</w:t>
      </w:r>
    </w:p>
    <w:p w14:paraId="0C0E7D4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2E95335" w14:textId="77777777" w:rsidR="00C96521" w:rsidRPr="00C96521" w:rsidRDefault="00C96521" w:rsidP="00C96521">
      <w:pPr>
        <w:widowControl/>
        <w:autoSpaceDE/>
        <w:autoSpaceDN/>
        <w:adjustRightInd/>
        <w:spacing w:line="276" w:lineRule="auto"/>
        <w:jc w:val="center"/>
        <w:rPr>
          <w:rFonts w:eastAsia="MS Mincho" w:cs="Arial"/>
          <w:sz w:val="20"/>
          <w:szCs w:val="22"/>
          <w:lang w:val="en-GB" w:eastAsia="ja-JP"/>
        </w:rPr>
      </w:pPr>
      <w:r w:rsidRPr="00C96521">
        <w:rPr>
          <w:rFonts w:eastAsia="MS Mincho" w:cs="Arial"/>
          <w:noProof/>
          <w:sz w:val="20"/>
          <w:szCs w:val="22"/>
        </w:rPr>
        <w:lastRenderedPageBreak/>
        <w:drawing>
          <wp:inline distT="0" distB="0" distL="0" distR="0" wp14:anchorId="11380AB1" wp14:editId="2DFEEC1D">
            <wp:extent cx="4914900" cy="4972050"/>
            <wp:effectExtent l="0" t="0" r="0" b="0"/>
            <wp:docPr id="2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C29CB21" w14:textId="77777777" w:rsidR="00C96521" w:rsidRPr="00C96521" w:rsidRDefault="00C96521" w:rsidP="00C96521">
      <w:pPr>
        <w:widowControl/>
        <w:autoSpaceDE/>
        <w:autoSpaceDN/>
        <w:adjustRightInd/>
        <w:spacing w:line="276" w:lineRule="auto"/>
        <w:rPr>
          <w:rFonts w:eastAsia="MS Mincho" w:cs="Arial"/>
          <w:i/>
          <w:sz w:val="20"/>
          <w:szCs w:val="22"/>
          <w:lang w:val="en-GB" w:eastAsia="ja-JP"/>
        </w:rPr>
      </w:pPr>
    </w:p>
    <w:p w14:paraId="1A6297A5" w14:textId="3599F0C3"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13. Population trend slope for </w:t>
      </w:r>
      <w:r w:rsidR="00230104" w:rsidRPr="00235FA0">
        <w:rPr>
          <w:rFonts w:eastAsia="MS Mincho" w:cs="Arial"/>
          <w:i/>
          <w:sz w:val="20"/>
          <w:szCs w:val="22"/>
          <w:lang w:val="en-GB" w:eastAsia="ja-JP"/>
        </w:rPr>
        <w:t>Turtle Doves</w:t>
      </w:r>
      <w:r w:rsidR="00230104" w:rsidRPr="00C96521">
        <w:rPr>
          <w:rFonts w:eastAsia="MS Mincho" w:cs="Arial"/>
          <w:sz w:val="20"/>
          <w:szCs w:val="22"/>
          <w:lang w:val="en-GB" w:eastAsia="ja-JP"/>
        </w:rPr>
        <w:t xml:space="preserve"> </w:t>
      </w:r>
      <w:r w:rsidRPr="00C96521">
        <w:rPr>
          <w:rFonts w:eastAsia="MS Mincho" w:cs="Arial"/>
          <w:i/>
          <w:sz w:val="20"/>
          <w:szCs w:val="22"/>
          <w:lang w:val="en-GB" w:eastAsia="ja-JP"/>
        </w:rPr>
        <w:t>in countries in the central-eastern population contributing to the Pan-European Common Bird Monitoring Scheme. The countries are ordered east (top) to west. Multiplicative trend over a period considered (Austria 1998-2014; Bulgaria 2005-2014; Cyprus 2006-2014; Czech Republic 1982-2014; Estonia 1983-2014; Greece 2007-2014; Hungary 1999-2014; Italy 2000-2014; Latvia 1995-2014; Lithuania 2011-2014; Poland 2000-2014; Romania 2007-2014; Slovakia 2005-2014; Slovenia 2007-2014; Switzerland 1999-2014) reflects average percentage change per year. &gt; 1 positive trend, &lt; 1 negative trend.</w:t>
      </w:r>
    </w:p>
    <w:p w14:paraId="536042B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EEC8C6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lastRenderedPageBreak/>
        <w:drawing>
          <wp:inline distT="0" distB="0" distL="0" distR="0" wp14:anchorId="27B4D6C6" wp14:editId="5FA03348">
            <wp:extent cx="5962650" cy="5086350"/>
            <wp:effectExtent l="0" t="0" r="0" b="0"/>
            <wp:docPr id="1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D1F832" w14:textId="7A37C6CF"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14. Population trend slope for </w:t>
      </w:r>
      <w:r w:rsidR="00230104" w:rsidRPr="00235FA0">
        <w:rPr>
          <w:rFonts w:eastAsia="MS Mincho" w:cs="Arial"/>
          <w:i/>
          <w:sz w:val="20"/>
          <w:szCs w:val="22"/>
          <w:lang w:val="en-GB" w:eastAsia="ja-JP"/>
        </w:rPr>
        <w:t>Turtle Doves</w:t>
      </w:r>
      <w:r w:rsidR="00230104" w:rsidRPr="00C96521">
        <w:rPr>
          <w:rFonts w:eastAsia="MS Mincho" w:cs="Arial"/>
          <w:sz w:val="20"/>
          <w:szCs w:val="22"/>
          <w:lang w:val="en-GB" w:eastAsia="ja-JP"/>
        </w:rPr>
        <w:t xml:space="preserve"> </w:t>
      </w:r>
      <w:r w:rsidRPr="00C96521">
        <w:rPr>
          <w:rFonts w:eastAsia="MS Mincho" w:cs="Arial"/>
          <w:i/>
          <w:sz w:val="20"/>
          <w:szCs w:val="22"/>
          <w:lang w:val="en-GB" w:eastAsia="ja-JP"/>
        </w:rPr>
        <w:t>in all countries submitting national data to the Pan-European Common Bird Monitoring Scheme. The countries are ordered by population size (largest population at the top). Countries from the western population are shaded in dark grey, countries from the central-eastern populations are shaded in light grey. Multiplicative trend over a time period considered, reflects average percentage change per year. &gt; 1 positive trend, &lt; 1 negative trend.</w:t>
      </w:r>
    </w:p>
    <w:p w14:paraId="692B6E47"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2328B03" w14:textId="3F1633AC" w:rsidR="00C96521" w:rsidRPr="00C96521" w:rsidRDefault="00C96521" w:rsidP="00C96521">
      <w:pPr>
        <w:widowControl/>
        <w:autoSpaceDE/>
        <w:autoSpaceDN/>
        <w:adjustRightInd/>
        <w:spacing w:line="276" w:lineRule="auto"/>
        <w:rPr>
          <w:rFonts w:eastAsia="MS Mincho" w:cs="Arial"/>
          <w:sz w:val="20"/>
          <w:szCs w:val="22"/>
          <w:vertAlign w:val="superscript"/>
          <w:lang w:val="en-GB" w:eastAsia="ja-JP"/>
        </w:rPr>
      </w:pPr>
      <w:r w:rsidRPr="00C96521">
        <w:rPr>
          <w:rFonts w:eastAsia="MS Mincho" w:cs="Arial"/>
          <w:sz w:val="20"/>
          <w:szCs w:val="22"/>
          <w:lang w:val="en-GB" w:eastAsia="ja-JP"/>
        </w:rPr>
        <w:t>Outside of the European Union area, the formerly large population in European Russia has fallen by more than 80</w:t>
      </w:r>
      <w:r w:rsidR="00230104">
        <w:rPr>
          <w:rFonts w:eastAsia="MS Mincho" w:cs="Arial"/>
          <w:sz w:val="20"/>
          <w:szCs w:val="22"/>
          <w:lang w:val="en-GB" w:eastAsia="ja-JP"/>
        </w:rPr>
        <w:t xml:space="preserve"> per cent</w:t>
      </w:r>
      <w:r w:rsidRPr="00C96521">
        <w:rPr>
          <w:rFonts w:eastAsia="MS Mincho" w:cs="Arial"/>
          <w:sz w:val="20"/>
          <w:szCs w:val="22"/>
          <w:lang w:val="en-GB" w:eastAsia="ja-JP"/>
        </w:rPr>
        <w:t xml:space="preserve"> since 2000 and by more than 90</w:t>
      </w:r>
      <w:r w:rsidR="00230104">
        <w:rPr>
          <w:rFonts w:eastAsia="MS Mincho" w:cs="Arial"/>
          <w:sz w:val="20"/>
          <w:szCs w:val="22"/>
          <w:lang w:val="en-GB" w:eastAsia="ja-JP"/>
        </w:rPr>
        <w:t xml:space="preserve"> per cent</w:t>
      </w:r>
      <w:r w:rsidRPr="00C96521">
        <w:rPr>
          <w:rFonts w:eastAsia="MS Mincho" w:cs="Arial"/>
          <w:sz w:val="20"/>
          <w:szCs w:val="22"/>
          <w:lang w:val="en-GB" w:eastAsia="ja-JP"/>
        </w:rPr>
        <w:t xml:space="preserve"> since 1980 according to reports from the region (BirdLife International 2015). Declines have been reported for the species in both the forest and steppe zones of European Russia (Alexander Mischenko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The species underwent a strong decline in the 1990s and 2000s in the forest zone, in Leningrad, Kirov, Kostroma and Novgorod regions (Golovan 2002, Sotnikov 2002, Ivanchev and Denis 2011, Mischenko 2015). At a monitoring plot in the Kostroma Region, </w:t>
      </w:r>
      <w:r w:rsidR="00230104">
        <w:rPr>
          <w:rFonts w:eastAsia="MS Mincho" w:cs="Arial"/>
          <w:sz w:val="20"/>
          <w:szCs w:val="22"/>
          <w:lang w:val="en-GB" w:eastAsia="ja-JP"/>
        </w:rPr>
        <w:t>the T</w:t>
      </w:r>
      <w:r w:rsidR="00230104" w:rsidRPr="00C96521">
        <w:rPr>
          <w:rFonts w:eastAsia="MS Mincho" w:cs="Arial"/>
          <w:sz w:val="20"/>
          <w:szCs w:val="22"/>
          <w:lang w:val="en-GB" w:eastAsia="ja-JP"/>
        </w:rPr>
        <w:t>urtle</w:t>
      </w:r>
      <w:r w:rsidR="00230104">
        <w:rPr>
          <w:rFonts w:eastAsia="MS Mincho" w:cs="Arial"/>
          <w:sz w:val="20"/>
          <w:szCs w:val="22"/>
          <w:lang w:val="en-GB" w:eastAsia="ja-JP"/>
        </w:rPr>
        <w:t xml:space="preserve"> D</w:t>
      </w:r>
      <w:r w:rsidR="00230104" w:rsidRPr="00C96521">
        <w:rPr>
          <w:rFonts w:eastAsia="MS Mincho" w:cs="Arial"/>
          <w:sz w:val="20"/>
          <w:szCs w:val="22"/>
          <w:lang w:val="en-GB" w:eastAsia="ja-JP"/>
        </w:rPr>
        <w:t xml:space="preserve">oves </w:t>
      </w:r>
      <w:r w:rsidRPr="00C96521">
        <w:rPr>
          <w:rFonts w:eastAsia="MS Mincho" w:cs="Arial"/>
          <w:sz w:val="20"/>
          <w:szCs w:val="22"/>
          <w:lang w:val="en-GB" w:eastAsia="ja-JP"/>
        </w:rPr>
        <w:t>was common in 1978-1980, with an average abundance in woodlands of two individuals per km</w:t>
      </w:r>
      <w:r w:rsidRPr="00C96521">
        <w:rPr>
          <w:rFonts w:eastAsia="MS Mincho" w:cs="Arial"/>
          <w:sz w:val="20"/>
          <w:szCs w:val="22"/>
          <w:vertAlign w:val="superscript"/>
          <w:lang w:val="en-GB" w:eastAsia="ja-JP"/>
        </w:rPr>
        <w:t>2</w:t>
      </w:r>
      <w:r w:rsidRPr="00C96521">
        <w:rPr>
          <w:rFonts w:eastAsia="MS Mincho" w:cs="Arial"/>
          <w:sz w:val="20"/>
          <w:szCs w:val="22"/>
          <w:lang w:val="en-GB" w:eastAsia="ja-JP"/>
        </w:rPr>
        <w:t>. However, in 2008-2009 the species was completely absent (Preobrazhenskaya 2009). In many regions of the steppe zone of southern Russia there was a 20-40% decrease in the 1990s. In the Rostov and Volgograd regions and in the Dagestan Republic, populations decreased by approximately 50</w:t>
      </w:r>
      <w:r w:rsidR="00230104">
        <w:rPr>
          <w:rFonts w:eastAsia="MS Mincho" w:cs="Arial"/>
          <w:sz w:val="20"/>
          <w:szCs w:val="22"/>
          <w:lang w:val="en-GB" w:eastAsia="ja-JP"/>
        </w:rPr>
        <w:t xml:space="preserve"> per cent</w:t>
      </w:r>
      <w:r w:rsidRPr="00C96521">
        <w:rPr>
          <w:rFonts w:eastAsia="MS Mincho" w:cs="Arial"/>
          <w:sz w:val="20"/>
          <w:szCs w:val="22"/>
          <w:lang w:val="en-GB" w:eastAsia="ja-JP"/>
        </w:rPr>
        <w:t xml:space="preserve"> or more over 10 years (Belik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2003). The total population of </w:t>
      </w:r>
      <w:r w:rsidR="00230104">
        <w:rPr>
          <w:rFonts w:eastAsia="MS Mincho" w:cs="Arial"/>
          <w:sz w:val="20"/>
          <w:szCs w:val="22"/>
          <w:lang w:val="en-GB" w:eastAsia="ja-JP"/>
        </w:rPr>
        <w:t>T</w:t>
      </w:r>
      <w:r w:rsidR="00230104" w:rsidRPr="00C96521">
        <w:rPr>
          <w:rFonts w:eastAsia="MS Mincho" w:cs="Arial"/>
          <w:sz w:val="20"/>
          <w:szCs w:val="22"/>
          <w:lang w:val="en-GB" w:eastAsia="ja-JP"/>
        </w:rPr>
        <w:t>urtle</w:t>
      </w:r>
      <w:r w:rsidR="00230104">
        <w:rPr>
          <w:rFonts w:eastAsia="MS Mincho" w:cs="Arial"/>
          <w:sz w:val="20"/>
          <w:szCs w:val="22"/>
          <w:lang w:val="en-GB" w:eastAsia="ja-JP"/>
        </w:rPr>
        <w:t xml:space="preserve"> D</w:t>
      </w:r>
      <w:r w:rsidR="00230104" w:rsidRPr="00C96521">
        <w:rPr>
          <w:rFonts w:eastAsia="MS Mincho" w:cs="Arial"/>
          <w:sz w:val="20"/>
          <w:szCs w:val="22"/>
          <w:lang w:val="en-GB" w:eastAsia="ja-JP"/>
        </w:rPr>
        <w:t xml:space="preserve">oves </w:t>
      </w:r>
      <w:r w:rsidRPr="00C96521">
        <w:rPr>
          <w:rFonts w:eastAsia="MS Mincho" w:cs="Arial"/>
          <w:sz w:val="20"/>
          <w:szCs w:val="22"/>
          <w:lang w:val="en-GB" w:eastAsia="ja-JP"/>
        </w:rPr>
        <w:t>in southern Russia at the beginning of the 21</w:t>
      </w:r>
      <w:r w:rsidRPr="00235FA0">
        <w:rPr>
          <w:rFonts w:eastAsia="MS Mincho" w:cs="Arial"/>
          <w:sz w:val="20"/>
          <w:szCs w:val="22"/>
          <w:vertAlign w:val="superscript"/>
          <w:lang w:val="en-GB" w:eastAsia="ja-JP"/>
        </w:rPr>
        <w:t>st</w:t>
      </w:r>
      <w:r w:rsidR="00230104">
        <w:rPr>
          <w:rFonts w:eastAsia="MS Mincho" w:cs="Arial"/>
          <w:sz w:val="20"/>
          <w:szCs w:val="22"/>
          <w:lang w:val="en-GB" w:eastAsia="ja-JP"/>
        </w:rPr>
        <w:t xml:space="preserve"> </w:t>
      </w:r>
      <w:r w:rsidRPr="00C96521">
        <w:rPr>
          <w:rFonts w:eastAsia="MS Mincho" w:cs="Arial"/>
          <w:sz w:val="20"/>
          <w:szCs w:val="22"/>
          <w:lang w:val="en-GB" w:eastAsia="ja-JP"/>
        </w:rPr>
        <w:t>century was estimated to be 100</w:t>
      </w:r>
      <w:r w:rsidR="00230104">
        <w:rPr>
          <w:rFonts w:eastAsia="MS Mincho" w:cs="Arial"/>
          <w:sz w:val="20"/>
          <w:szCs w:val="22"/>
          <w:lang w:val="en-GB" w:eastAsia="ja-JP"/>
        </w:rPr>
        <w:t>,000</w:t>
      </w:r>
      <w:r w:rsidRPr="00C96521">
        <w:rPr>
          <w:rFonts w:eastAsia="MS Mincho" w:cs="Arial"/>
          <w:sz w:val="20"/>
          <w:szCs w:val="22"/>
          <w:lang w:val="en-GB" w:eastAsia="ja-JP"/>
        </w:rPr>
        <w:t xml:space="preserve">-300,000 pairs, while in the 2010s the population was estimated at just 1-2,000 pairs (Belik 2005, 2014). The overall population estimate for </w:t>
      </w:r>
      <w:r w:rsidR="00230104">
        <w:rPr>
          <w:rFonts w:eastAsia="MS Mincho" w:cs="Arial"/>
          <w:sz w:val="20"/>
          <w:szCs w:val="22"/>
          <w:lang w:val="en-GB" w:eastAsia="ja-JP"/>
        </w:rPr>
        <w:t>T</w:t>
      </w:r>
      <w:r w:rsidR="00230104" w:rsidRPr="00C96521">
        <w:rPr>
          <w:rFonts w:eastAsia="MS Mincho" w:cs="Arial"/>
          <w:sz w:val="20"/>
          <w:szCs w:val="22"/>
          <w:lang w:val="en-GB" w:eastAsia="ja-JP"/>
        </w:rPr>
        <w:t>urtle</w:t>
      </w:r>
      <w:r w:rsidR="00230104">
        <w:rPr>
          <w:rFonts w:eastAsia="MS Mincho" w:cs="Arial"/>
          <w:sz w:val="20"/>
          <w:szCs w:val="22"/>
          <w:lang w:val="en-GB" w:eastAsia="ja-JP"/>
        </w:rPr>
        <w:t xml:space="preserve"> D</w:t>
      </w:r>
      <w:r w:rsidR="00230104" w:rsidRPr="00C96521">
        <w:rPr>
          <w:rFonts w:eastAsia="MS Mincho" w:cs="Arial"/>
          <w:sz w:val="20"/>
          <w:szCs w:val="22"/>
          <w:lang w:val="en-GB" w:eastAsia="ja-JP"/>
        </w:rPr>
        <w:t xml:space="preserve">oves </w:t>
      </w:r>
      <w:r w:rsidRPr="00C96521">
        <w:rPr>
          <w:rFonts w:eastAsia="MS Mincho" w:cs="Arial"/>
          <w:sz w:val="20"/>
          <w:szCs w:val="22"/>
          <w:lang w:val="en-GB" w:eastAsia="ja-JP"/>
        </w:rPr>
        <w:t>in European Russia decreased from 1</w:t>
      </w:r>
      <w:r w:rsidR="00230104">
        <w:rPr>
          <w:rFonts w:eastAsia="MS Mincho" w:cs="Arial"/>
          <w:sz w:val="20"/>
          <w:szCs w:val="22"/>
          <w:lang w:val="en-GB" w:eastAsia="ja-JP"/>
        </w:rPr>
        <w:t xml:space="preserve"> million </w:t>
      </w:r>
      <w:r w:rsidRPr="00C96521">
        <w:rPr>
          <w:rFonts w:eastAsia="MS Mincho" w:cs="Arial"/>
          <w:sz w:val="20"/>
          <w:szCs w:val="22"/>
          <w:lang w:val="en-GB" w:eastAsia="ja-JP"/>
        </w:rPr>
        <w:t xml:space="preserve">-2.5 million pairs in 2000 (Mischenko 2004) to 30-80,000 pairs in 2012 (Mischenko </w:t>
      </w:r>
      <w:r w:rsidRPr="00C96521">
        <w:rPr>
          <w:rFonts w:eastAsia="MS Mincho" w:cs="Arial"/>
          <w:i/>
          <w:sz w:val="20"/>
          <w:szCs w:val="22"/>
          <w:lang w:val="en-GB" w:eastAsia="ja-JP"/>
        </w:rPr>
        <w:t>in press</w:t>
      </w:r>
      <w:r w:rsidRPr="00C96521">
        <w:rPr>
          <w:rFonts w:eastAsia="MS Mincho" w:cs="Arial"/>
          <w:sz w:val="20"/>
          <w:szCs w:val="22"/>
          <w:lang w:val="en-GB" w:eastAsia="ja-JP"/>
        </w:rPr>
        <w:t xml:space="preserve">). The scale of the declines in the 1990s-2000s in both the steppe zone with strong farming and the forest zone with much </w:t>
      </w:r>
      <w:r w:rsidRPr="00C96521">
        <w:rPr>
          <w:rFonts w:eastAsia="MS Mincho" w:cs="Arial"/>
          <w:sz w:val="20"/>
          <w:szCs w:val="22"/>
          <w:lang w:val="en-GB" w:eastAsia="ja-JP"/>
        </w:rPr>
        <w:lastRenderedPageBreak/>
        <w:t xml:space="preserve">lower intensity farming, points to factors outside the breeding range having a strong negative influence on the Russian population (Alexander Mischenko </w:t>
      </w:r>
      <w:r w:rsidRPr="00C96521">
        <w:rPr>
          <w:rFonts w:eastAsia="MS Mincho" w:cs="Arial"/>
          <w:i/>
          <w:sz w:val="20"/>
          <w:szCs w:val="22"/>
          <w:lang w:val="en-GB" w:eastAsia="ja-JP"/>
        </w:rPr>
        <w:t>pers comm</w:t>
      </w:r>
      <w:r w:rsidRPr="00C96521">
        <w:rPr>
          <w:rFonts w:eastAsia="MS Mincho" w:cs="Arial"/>
          <w:sz w:val="20"/>
          <w:szCs w:val="22"/>
          <w:lang w:val="en-GB" w:eastAsia="ja-JP"/>
        </w:rPr>
        <w:t>).</w:t>
      </w:r>
    </w:p>
    <w:p w14:paraId="280BB72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47EFEF4"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Central Asia (Afghanistan, Kazakhstan, Kyrgyzstan, Tajikistan, Turkmenistan and Uzbekistan) a very simple analysis of opportunistic observations of the species suggests that it has experienced a moderate or possibly strong decline over the past two to four decades (Raffael Ayé </w:t>
      </w:r>
      <w:r w:rsidRPr="00C96521">
        <w:rPr>
          <w:rFonts w:eastAsia="MS Mincho" w:cs="Arial"/>
          <w:i/>
          <w:iCs/>
          <w:sz w:val="20"/>
          <w:szCs w:val="22"/>
          <w:lang w:val="en-GB" w:eastAsia="ja-JP"/>
        </w:rPr>
        <w:t>unpublished</w:t>
      </w:r>
      <w:r w:rsidRPr="00C96521">
        <w:rPr>
          <w:rFonts w:eastAsia="MS Mincho" w:cs="Arial"/>
          <w:sz w:val="20"/>
          <w:szCs w:val="22"/>
          <w:lang w:val="en-GB" w:eastAsia="ja-JP"/>
        </w:rPr>
        <w:t>). In Uzbekistan the species has declined severely over the past 30 years (Roman Kashkarov </w:t>
      </w:r>
      <w:r w:rsidRPr="00C96521">
        <w:rPr>
          <w:rFonts w:eastAsia="MS Mincho" w:cs="Arial"/>
          <w:i/>
          <w:iCs/>
          <w:sz w:val="20"/>
          <w:szCs w:val="22"/>
          <w:lang w:val="en-GB" w:eastAsia="ja-JP"/>
        </w:rPr>
        <w:t>unpublished</w:t>
      </w:r>
      <w:r w:rsidRPr="00C96521">
        <w:rPr>
          <w:rFonts w:eastAsia="MS Mincho" w:cs="Arial"/>
          <w:sz w:val="20"/>
          <w:szCs w:val="22"/>
          <w:lang w:val="en-GB" w:eastAsia="ja-JP"/>
        </w:rPr>
        <w:t xml:space="preserve">). Declines have also been reported from parts of east and south-east Kazakhstan, for example the species is now rare, or even absent in the Manrak Mountains, where it was once common (Wassink and Oreel 2008). </w:t>
      </w:r>
    </w:p>
    <w:p w14:paraId="7707CD0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1515F16" w14:textId="0348DCBA"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 reduction in turtle-dove numbers on the wintering grounds has also been observed. Despite an increase in rice cultivation in northern Senegal, meaning an increase in an important food resource for the species, declines have still been reported since the 1970s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On the Inner Niger Delta in Mali, numbers of </w:t>
      </w:r>
      <w:r w:rsidR="00230104">
        <w:rPr>
          <w:rFonts w:eastAsia="MS Mincho" w:cs="Arial"/>
          <w:sz w:val="20"/>
          <w:szCs w:val="22"/>
          <w:lang w:val="en-GB" w:eastAsia="ja-JP"/>
        </w:rPr>
        <w:t>T</w:t>
      </w:r>
      <w:r w:rsidR="00230104" w:rsidRPr="00C96521">
        <w:rPr>
          <w:rFonts w:eastAsia="MS Mincho" w:cs="Arial"/>
          <w:sz w:val="20"/>
          <w:szCs w:val="22"/>
          <w:lang w:val="en-GB" w:eastAsia="ja-JP"/>
        </w:rPr>
        <w:t>urtle</w:t>
      </w:r>
      <w:r w:rsidR="00230104">
        <w:rPr>
          <w:rFonts w:eastAsia="MS Mincho" w:cs="Arial"/>
          <w:sz w:val="20"/>
          <w:szCs w:val="22"/>
          <w:lang w:val="en-GB" w:eastAsia="ja-JP"/>
        </w:rPr>
        <w:t xml:space="preserve"> D</w:t>
      </w:r>
      <w:r w:rsidR="00230104" w:rsidRPr="00C96521">
        <w:rPr>
          <w:rFonts w:eastAsia="MS Mincho" w:cs="Arial"/>
          <w:sz w:val="20"/>
          <w:szCs w:val="22"/>
          <w:lang w:val="en-GB" w:eastAsia="ja-JP"/>
        </w:rPr>
        <w:t xml:space="preserve">oves </w:t>
      </w:r>
      <w:r w:rsidRPr="00C96521">
        <w:rPr>
          <w:rFonts w:eastAsia="MS Mincho" w:cs="Arial"/>
          <w:sz w:val="20"/>
          <w:szCs w:val="22"/>
          <w:lang w:val="en-GB" w:eastAsia="ja-JP"/>
        </w:rPr>
        <w:t xml:space="preserve">have dropped dramatically since the droughts of the 1980s from hundreds of thousands pre-drought conditions to just small flocks of at most several dozen over the period 1992-2007 (Zwarts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w:t>
      </w:r>
    </w:p>
    <w:p w14:paraId="29B984D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D2B0321"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Cs/>
          <w:color w:val="4F81BD"/>
          <w:sz w:val="26"/>
          <w:szCs w:val="26"/>
          <w:lang w:val="en-GB" w:eastAsia="ja-JP"/>
        </w:rPr>
      </w:pPr>
      <w:bookmarkStart w:id="22" w:name="_Toc478646907"/>
      <w:r w:rsidRPr="00C96521">
        <w:rPr>
          <w:rFonts w:ascii="Cambria" w:eastAsia="MS Gothic" w:hAnsi="Cambria"/>
          <w:b/>
          <w:bCs/>
          <w:color w:val="4F81BD"/>
          <w:sz w:val="26"/>
          <w:szCs w:val="26"/>
          <w:lang w:val="en-GB" w:eastAsia="ja-JP"/>
        </w:rPr>
        <w:t>Breakdown of turtle-dove population trends across Europe</w:t>
      </w:r>
      <w:bookmarkEnd w:id="22"/>
    </w:p>
    <w:p w14:paraId="0623DD19" w14:textId="77777777" w:rsidR="00C96521" w:rsidRPr="00C96521" w:rsidRDefault="00C96521" w:rsidP="00C96521">
      <w:pPr>
        <w:widowControl/>
        <w:autoSpaceDE/>
        <w:autoSpaceDN/>
        <w:adjustRightInd/>
        <w:spacing w:line="276" w:lineRule="auto"/>
        <w:rPr>
          <w:rFonts w:eastAsia="MS Mincho" w:cs="Arial"/>
          <w:b/>
          <w:sz w:val="20"/>
          <w:szCs w:val="22"/>
          <w:lang w:val="en-GB" w:eastAsia="ja-JP"/>
        </w:rPr>
      </w:pPr>
    </w:p>
    <w:p w14:paraId="28E5CA9F"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France/Portugal/Spain</w:t>
      </w:r>
    </w:p>
    <w:p w14:paraId="129AF4A1"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5DA7872C" w14:textId="25D941F8"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All three countries have reported long-term declines in turtle-dove, France and Portugal approaching 50</w:t>
      </w:r>
      <w:r w:rsidR="00230104">
        <w:rPr>
          <w:rFonts w:eastAsia="MS Mincho"/>
          <w:i/>
          <w:sz w:val="20"/>
          <w:szCs w:val="22"/>
          <w:lang w:val="en-GB" w:eastAsia="ja-JP"/>
        </w:rPr>
        <w:t xml:space="preserve"> per cent</w:t>
      </w:r>
      <w:r w:rsidRPr="00C96521">
        <w:rPr>
          <w:rFonts w:eastAsia="MS Mincho"/>
          <w:i/>
          <w:sz w:val="20"/>
          <w:szCs w:val="22"/>
          <w:lang w:val="en-GB" w:eastAsia="ja-JP"/>
        </w:rPr>
        <w:t>, albeit over different time periods (1989-2015 for France and 2004-2011 for Portugal). The Spanish population decreased at a rate approaching 30</w:t>
      </w:r>
      <w:r w:rsidR="00230104">
        <w:rPr>
          <w:rFonts w:eastAsia="MS Mincho"/>
          <w:i/>
          <w:sz w:val="20"/>
          <w:szCs w:val="22"/>
          <w:lang w:val="en-GB" w:eastAsia="ja-JP"/>
        </w:rPr>
        <w:t xml:space="preserve"> per cent</w:t>
      </w:r>
      <w:r w:rsidRPr="00C96521">
        <w:rPr>
          <w:rFonts w:eastAsia="MS Mincho"/>
          <w:i/>
          <w:sz w:val="20"/>
          <w:szCs w:val="22"/>
          <w:lang w:val="en-GB" w:eastAsia="ja-JP"/>
        </w:rPr>
        <w:t xml:space="preserve"> between 1998 and 2013. In the European Red List of Birds, the long-term population trends for these countries were assessed as 20-30</w:t>
      </w:r>
      <w:r w:rsidR="00230104">
        <w:rPr>
          <w:rFonts w:eastAsia="MS Mincho"/>
          <w:i/>
          <w:sz w:val="20"/>
          <w:szCs w:val="22"/>
          <w:lang w:val="en-GB" w:eastAsia="ja-JP"/>
        </w:rPr>
        <w:t xml:space="preserve"> per cent</w:t>
      </w:r>
      <w:r w:rsidRPr="00C96521">
        <w:rPr>
          <w:rFonts w:eastAsia="MS Mincho"/>
          <w:i/>
          <w:sz w:val="20"/>
          <w:szCs w:val="22"/>
          <w:lang w:val="en-GB" w:eastAsia="ja-JP"/>
        </w:rPr>
        <w:t xml:space="preserve"> decline for France and 20-40</w:t>
      </w:r>
      <w:r w:rsidR="00230104">
        <w:rPr>
          <w:rFonts w:eastAsia="MS Mincho"/>
          <w:i/>
          <w:sz w:val="20"/>
          <w:szCs w:val="22"/>
          <w:lang w:val="en-GB" w:eastAsia="ja-JP"/>
        </w:rPr>
        <w:t xml:space="preserve"> per cent</w:t>
      </w:r>
      <w:r w:rsidRPr="00C96521">
        <w:rPr>
          <w:rFonts w:eastAsia="MS Mincho"/>
          <w:i/>
          <w:sz w:val="20"/>
          <w:szCs w:val="22"/>
          <w:lang w:val="en-GB" w:eastAsia="ja-JP"/>
        </w:rPr>
        <w:t xml:space="preserve"> decline for Portugal (BirdLife International 2015). In both France and Spain, some areas have experienced increasing or stable populations.</w:t>
      </w:r>
    </w:p>
    <w:p w14:paraId="7EF9962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4802109D" w14:textId="08B6FD3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turtle-dove in France underwent a decrease of 48</w:t>
      </w:r>
      <w:r w:rsidR="00230104">
        <w:rPr>
          <w:rFonts w:eastAsia="MS Mincho"/>
          <w:sz w:val="20"/>
          <w:szCs w:val="22"/>
          <w:lang w:val="en-GB" w:eastAsia="ja-JP"/>
        </w:rPr>
        <w:t xml:space="preserve"> per cent</w:t>
      </w:r>
      <w:r w:rsidRPr="00C96521">
        <w:rPr>
          <w:rFonts w:eastAsia="MS Mincho"/>
          <w:sz w:val="20"/>
          <w:szCs w:val="22"/>
          <w:lang w:val="en-GB" w:eastAsia="ja-JP"/>
        </w:rPr>
        <w:t xml:space="preserve"> between 1989 and 2015, while in the last 10 years it decreased by 44</w:t>
      </w:r>
      <w:r w:rsidR="00230104">
        <w:rPr>
          <w:rFonts w:eastAsia="MS Mincho"/>
          <w:sz w:val="20"/>
          <w:szCs w:val="22"/>
          <w:lang w:val="en-GB" w:eastAsia="ja-JP"/>
        </w:rPr>
        <w:t xml:space="preserve"> per cent</w:t>
      </w:r>
      <w:r w:rsidRPr="00C96521">
        <w:rPr>
          <w:rFonts w:eastAsia="MS Mincho"/>
          <w:sz w:val="20"/>
          <w:szCs w:val="22"/>
          <w:lang w:val="en-GB" w:eastAsia="ja-JP"/>
        </w:rPr>
        <w:t xml:space="preserve"> (Jiguet 2016). A strong population decrease was observed in 2008, probably explained by low temperatures and heavy rains (Roux </w:t>
      </w:r>
      <w:r w:rsidRPr="00C96521">
        <w:rPr>
          <w:rFonts w:eastAsia="MS Mincho"/>
          <w:i/>
          <w:sz w:val="20"/>
          <w:szCs w:val="22"/>
          <w:lang w:val="en-GB" w:eastAsia="ja-JP"/>
        </w:rPr>
        <w:t>et al</w:t>
      </w:r>
      <w:r w:rsidRPr="00C96521">
        <w:rPr>
          <w:rFonts w:eastAsia="MS Mincho"/>
          <w:sz w:val="20"/>
          <w:szCs w:val="22"/>
          <w:lang w:val="en-GB" w:eastAsia="ja-JP"/>
        </w:rPr>
        <w:t xml:space="preserve"> 2011). A strong decline was detected in the 1970s-</w:t>
      </w:r>
      <w:r w:rsidR="00230104">
        <w:rPr>
          <w:rFonts w:eastAsia="MS Mincho"/>
          <w:sz w:val="20"/>
          <w:szCs w:val="22"/>
          <w:lang w:val="en-GB" w:eastAsia="ja-JP"/>
        </w:rPr>
        <w:t>‘</w:t>
      </w:r>
      <w:r w:rsidRPr="00C96521">
        <w:rPr>
          <w:rFonts w:eastAsia="MS Mincho"/>
          <w:sz w:val="20"/>
          <w:szCs w:val="22"/>
          <w:lang w:val="en-GB" w:eastAsia="ja-JP"/>
        </w:rPr>
        <w:t>80s with an effective reduction of at least 50</w:t>
      </w:r>
      <w:r w:rsidR="00230104">
        <w:rPr>
          <w:rFonts w:eastAsia="MS Mincho"/>
          <w:sz w:val="20"/>
          <w:szCs w:val="22"/>
          <w:lang w:val="en-GB" w:eastAsia="ja-JP"/>
        </w:rPr>
        <w:t xml:space="preserve"> per cent</w:t>
      </w:r>
      <w:r w:rsidRPr="00C96521">
        <w:rPr>
          <w:rFonts w:eastAsia="MS Mincho"/>
          <w:sz w:val="20"/>
          <w:szCs w:val="22"/>
          <w:lang w:val="en-GB" w:eastAsia="ja-JP"/>
        </w:rPr>
        <w:t xml:space="preserve"> in the following </w:t>
      </w:r>
      <w:r w:rsidR="001523DA">
        <w:rPr>
          <w:rFonts w:eastAsia="MS Mincho"/>
          <w:sz w:val="20"/>
          <w:szCs w:val="22"/>
          <w:lang w:val="en-GB" w:eastAsia="ja-JP"/>
        </w:rPr>
        <w:t>regions/</w:t>
      </w:r>
      <w:r w:rsidRPr="00C96521">
        <w:rPr>
          <w:rFonts w:eastAsia="MS Mincho"/>
          <w:sz w:val="20"/>
          <w:szCs w:val="22"/>
          <w:lang w:val="en-GB" w:eastAsia="ja-JP"/>
        </w:rPr>
        <w:t xml:space="preserve">departments: Bretagne, Charente, Vendée, Centre, Île-de-France, Champagne, Rhône-Alpes, Midi-Pyrénées (Dubois </w:t>
      </w:r>
      <w:r w:rsidRPr="00C96521">
        <w:rPr>
          <w:rFonts w:eastAsia="MS Mincho"/>
          <w:i/>
          <w:sz w:val="20"/>
          <w:szCs w:val="22"/>
          <w:lang w:val="en-GB" w:eastAsia="ja-JP"/>
        </w:rPr>
        <w:t>et al</w:t>
      </w:r>
      <w:r w:rsidRPr="00C96521">
        <w:rPr>
          <w:rFonts w:eastAsia="MS Mincho"/>
          <w:sz w:val="20"/>
          <w:szCs w:val="22"/>
          <w:lang w:val="en-GB" w:eastAsia="ja-JP"/>
        </w:rPr>
        <w:t xml:space="preserve"> 2008). Populations were stable or declines weaker in: Normandie, Loir-et-Cher, Franche-Comté and Haute-Provence. Overall stability (or even a slight increase) followed in the 1990s, but with different trends across the regions. At a sub-national scale, three French regions experienced increases in 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Dove </w:t>
      </w:r>
      <w:r w:rsidRPr="00C96521">
        <w:rPr>
          <w:rFonts w:eastAsia="MS Mincho"/>
          <w:sz w:val="20"/>
          <w:szCs w:val="22"/>
          <w:lang w:val="en-GB" w:eastAsia="ja-JP"/>
        </w:rPr>
        <w:t>population index, namely Languedoc-Rou</w:t>
      </w:r>
      <w:r w:rsidR="00691BFF">
        <w:rPr>
          <w:rFonts w:eastAsia="MS Mincho"/>
          <w:sz w:val="20"/>
          <w:szCs w:val="22"/>
          <w:lang w:val="en-GB" w:eastAsia="ja-JP"/>
        </w:rPr>
        <w:t>s</w:t>
      </w:r>
      <w:r w:rsidRPr="00C96521">
        <w:rPr>
          <w:rFonts w:eastAsia="MS Mincho"/>
          <w:sz w:val="20"/>
          <w:szCs w:val="22"/>
          <w:lang w:val="en-GB" w:eastAsia="ja-JP"/>
        </w:rPr>
        <w:t xml:space="preserve">sillon, Aquitaine and Poitou-Charentes (Roux </w:t>
      </w:r>
      <w:r w:rsidRPr="00C96521">
        <w:rPr>
          <w:rFonts w:eastAsia="MS Mincho"/>
          <w:i/>
          <w:sz w:val="20"/>
          <w:szCs w:val="22"/>
          <w:lang w:val="en-GB" w:eastAsia="ja-JP"/>
        </w:rPr>
        <w:t>et al</w:t>
      </w:r>
      <w:r w:rsidRPr="00C96521">
        <w:rPr>
          <w:rFonts w:eastAsia="MS Mincho"/>
          <w:sz w:val="20"/>
          <w:szCs w:val="22"/>
          <w:lang w:val="en-GB" w:eastAsia="ja-JP"/>
        </w:rPr>
        <w:t xml:space="preserve"> 2011). All other regions experienced stable or downward trends. Declines appear strongest in those regions where the species was least abundant and the increases were in regions known to be strongholds for the species (Roux </w:t>
      </w:r>
      <w:r w:rsidRPr="00C96521">
        <w:rPr>
          <w:rFonts w:eastAsia="MS Mincho"/>
          <w:i/>
          <w:sz w:val="20"/>
          <w:szCs w:val="22"/>
          <w:lang w:val="en-GB" w:eastAsia="ja-JP"/>
        </w:rPr>
        <w:t>et al</w:t>
      </w:r>
      <w:r w:rsidRPr="00C96521">
        <w:rPr>
          <w:rFonts w:eastAsia="MS Mincho"/>
          <w:sz w:val="20"/>
          <w:szCs w:val="22"/>
          <w:lang w:val="en-GB" w:eastAsia="ja-JP"/>
        </w:rPr>
        <w:t xml:space="preserve"> 2011). Overall it appears that the end of the breeding season in France is getting earlier, this shortening of the breeding season being similar to trends observed in the UK (Lormée 2013). Woodland groves/thickets were identified as the most important nesting habitat for the species (supporting 46.2</w:t>
      </w:r>
      <w:r w:rsidR="00691BFF">
        <w:rPr>
          <w:rFonts w:eastAsia="MS Mincho"/>
          <w:sz w:val="20"/>
          <w:szCs w:val="22"/>
          <w:lang w:val="en-GB" w:eastAsia="ja-JP"/>
        </w:rPr>
        <w:t xml:space="preserve"> per cent</w:t>
      </w:r>
      <w:r w:rsidRPr="00C96521">
        <w:rPr>
          <w:rFonts w:eastAsia="MS Mincho"/>
          <w:sz w:val="20"/>
          <w:szCs w:val="22"/>
          <w:lang w:val="en-GB" w:eastAsia="ja-JP"/>
        </w:rPr>
        <w:t xml:space="preserve"> nests studied), followed by agricultural land (33</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nests).</w:t>
      </w:r>
    </w:p>
    <w:p w14:paraId="1244249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B3C6841" w14:textId="402BDF5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Portugal, the species is distributed across the country with highest relative abundance in the far north, centre and far south (Equipa Atlas 2008).The core areas for the breeding population are mainly north of the Tagus river. Areas along the Guadiana valley and the lowlands of central/coastal areas near Lisbon are considered important for breeding and post-breeding populations (Dias </w:t>
      </w:r>
      <w:r w:rsidRPr="00C96521">
        <w:rPr>
          <w:rFonts w:eastAsia="MS Mincho"/>
          <w:i/>
          <w:sz w:val="20"/>
          <w:szCs w:val="22"/>
          <w:lang w:val="en-GB" w:eastAsia="ja-JP"/>
        </w:rPr>
        <w:t>et al</w:t>
      </w:r>
      <w:r w:rsidRPr="00C96521">
        <w:rPr>
          <w:rFonts w:eastAsia="MS Mincho"/>
          <w:sz w:val="20"/>
          <w:szCs w:val="22"/>
          <w:lang w:val="en-GB" w:eastAsia="ja-JP"/>
        </w:rPr>
        <w:t xml:space="preserve"> 2013, Dias 2016). The species underwent a decline of 49</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 xml:space="preserve">between 2004 and 2011 (Meirinho </w:t>
      </w:r>
      <w:r w:rsidRPr="00C96521">
        <w:rPr>
          <w:rFonts w:eastAsia="MS Mincho"/>
          <w:i/>
          <w:sz w:val="20"/>
          <w:szCs w:val="22"/>
          <w:lang w:val="en-GB" w:eastAsia="ja-JP"/>
        </w:rPr>
        <w:t>et al</w:t>
      </w:r>
      <w:r w:rsidRPr="00C96521">
        <w:rPr>
          <w:rFonts w:eastAsia="MS Mincho"/>
          <w:sz w:val="20"/>
          <w:szCs w:val="22"/>
          <w:lang w:val="en-GB" w:eastAsia="ja-JP"/>
        </w:rPr>
        <w:t xml:space="preserve"> 2013). From 1994 to 2004 the decline was evaluated as moderate (annual rate -6.9 </w:t>
      </w:r>
      <w:r w:rsidR="00691BFF">
        <w:rPr>
          <w:rFonts w:eastAsia="MS Mincho"/>
          <w:sz w:val="20"/>
          <w:szCs w:val="22"/>
          <w:lang w:val="en-GB" w:eastAsia="ja-JP"/>
        </w:rPr>
        <w:t>per cent</w:t>
      </w:r>
      <w:r w:rsidR="00691BFF" w:rsidRPr="00C96521">
        <w:rPr>
          <w:rFonts w:eastAsia="MS Mincho"/>
          <w:sz w:val="20"/>
          <w:szCs w:val="22"/>
          <w:lang w:val="en-GB" w:eastAsia="ja-JP"/>
        </w:rPr>
        <w:t xml:space="preserve">). </w:t>
      </w:r>
      <w:r w:rsidRPr="00C96521">
        <w:rPr>
          <w:rFonts w:eastAsia="MS Mincho"/>
          <w:sz w:val="20"/>
          <w:szCs w:val="22"/>
          <w:lang w:val="en-GB" w:eastAsia="ja-JP"/>
        </w:rPr>
        <w:t>During this period, the highest declines were observed in those regions where the breeding population was concentrated. The long-term decline (1994-2011) was evaluated as moderate using the Pan-European Common Bird Monitoring Scheme as a common approach to analyse the data from two different monitoring schemes (Dias 2016).</w:t>
      </w:r>
    </w:p>
    <w:p w14:paraId="377876A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36DCEB9" w14:textId="5C803FDB"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Spain, the species underwent a population decline of 22.96</w:t>
      </w:r>
      <w:r w:rsidR="00691BFF">
        <w:rPr>
          <w:rFonts w:eastAsia="MS Mincho" w:cs="Arial"/>
          <w:sz w:val="20"/>
          <w:szCs w:val="22"/>
          <w:lang w:val="en-GB" w:eastAsia="ja-JP"/>
        </w:rPr>
        <w:t xml:space="preserve"> per cent</w:t>
      </w:r>
      <w:r w:rsidRPr="00C96521">
        <w:rPr>
          <w:rFonts w:eastAsia="MS Mincho" w:cs="Arial"/>
          <w:sz w:val="20"/>
          <w:szCs w:val="22"/>
          <w:lang w:val="en-GB" w:eastAsia="ja-JP"/>
        </w:rPr>
        <w:t xml:space="preserve"> between 1998 and 2015 (SEO/BirdLife 2016b). Following a slight increase in 2007, the population has since undergone a strong decline with the population index in 2015 the lowest recorded over the 1998-2015 period. At a sub-national scale the decline has been strongest in the Eurosiberiana biogeographic region (northern Spain) where the population trend over the period 1998-2015 was -69.80</w:t>
      </w:r>
      <w:r w:rsidR="00691BFF">
        <w:rPr>
          <w:rFonts w:eastAsia="MS Mincho" w:cs="Arial"/>
          <w:sz w:val="20"/>
          <w:szCs w:val="22"/>
          <w:lang w:val="en-GB" w:eastAsia="ja-JP"/>
        </w:rPr>
        <w:t xml:space="preserve"> per cent</w:t>
      </w:r>
      <w:r w:rsidR="00691BFF"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(SEO/BirdLife 2016b). This was followed by the </w:t>
      </w:r>
      <w:r w:rsidR="00691BFF">
        <w:rPr>
          <w:rFonts w:eastAsia="MS Mincho" w:cs="Arial"/>
          <w:sz w:val="20"/>
          <w:szCs w:val="22"/>
          <w:lang w:val="en-GB" w:eastAsia="ja-JP"/>
        </w:rPr>
        <w:t>M</w:t>
      </w:r>
      <w:r w:rsidRPr="00C96521">
        <w:rPr>
          <w:rFonts w:eastAsia="MS Mincho" w:cs="Arial"/>
          <w:sz w:val="20"/>
          <w:szCs w:val="22"/>
          <w:lang w:val="en-GB" w:eastAsia="ja-JP"/>
        </w:rPr>
        <w:t xml:space="preserve">editerránea </w:t>
      </w:r>
      <w:r w:rsidR="00691BFF">
        <w:rPr>
          <w:rFonts w:eastAsia="MS Mincho" w:cs="Arial"/>
          <w:sz w:val="20"/>
          <w:szCs w:val="22"/>
          <w:lang w:val="en-GB" w:eastAsia="ja-JP"/>
        </w:rPr>
        <w:t>S</w:t>
      </w:r>
      <w:r w:rsidRPr="00C96521">
        <w:rPr>
          <w:rFonts w:eastAsia="MS Mincho" w:cs="Arial"/>
          <w:sz w:val="20"/>
          <w:szCs w:val="22"/>
          <w:lang w:val="en-GB" w:eastAsia="ja-JP"/>
        </w:rPr>
        <w:t>ur area (central, southern and eastern Spain) where the population decreased 28.59</w:t>
      </w:r>
      <w:r w:rsidR="00691BFF">
        <w:rPr>
          <w:rFonts w:eastAsia="MS Mincho" w:cs="Arial"/>
          <w:sz w:val="20"/>
          <w:szCs w:val="22"/>
          <w:lang w:val="en-GB" w:eastAsia="ja-JP"/>
        </w:rPr>
        <w:t xml:space="preserve"> per cent</w:t>
      </w:r>
      <w:r w:rsidRPr="00C96521">
        <w:rPr>
          <w:rFonts w:eastAsia="MS Mincho" w:cs="Arial"/>
          <w:sz w:val="20"/>
          <w:szCs w:val="22"/>
          <w:lang w:val="en-GB" w:eastAsia="ja-JP"/>
        </w:rPr>
        <w:t xml:space="preserve"> between 1998 and 2015 and the </w:t>
      </w:r>
      <w:r w:rsidR="00691BFF">
        <w:rPr>
          <w:rFonts w:eastAsia="MS Mincho" w:cs="Arial"/>
          <w:sz w:val="20"/>
          <w:szCs w:val="22"/>
          <w:lang w:val="en-GB" w:eastAsia="ja-JP"/>
        </w:rPr>
        <w:t>M</w:t>
      </w:r>
      <w:r w:rsidRPr="00C96521">
        <w:rPr>
          <w:rFonts w:eastAsia="MS Mincho" w:cs="Arial"/>
          <w:sz w:val="20"/>
          <w:szCs w:val="22"/>
          <w:lang w:val="en-GB" w:eastAsia="ja-JP"/>
        </w:rPr>
        <w:t xml:space="preserve">editerránea </w:t>
      </w:r>
      <w:r w:rsidR="00691BFF">
        <w:rPr>
          <w:rFonts w:eastAsia="MS Mincho" w:cs="Arial"/>
          <w:sz w:val="20"/>
          <w:szCs w:val="22"/>
          <w:lang w:val="en-GB" w:eastAsia="ja-JP"/>
        </w:rPr>
        <w:t>N</w:t>
      </w:r>
      <w:r w:rsidRPr="00C96521">
        <w:rPr>
          <w:rFonts w:eastAsia="MS Mincho" w:cs="Arial"/>
          <w:sz w:val="20"/>
          <w:szCs w:val="22"/>
          <w:lang w:val="en-GB" w:eastAsia="ja-JP"/>
        </w:rPr>
        <w:t>orte area (to the south of the Eurosiberiana area in the north of Spain) where the decrease was 7</w:t>
      </w:r>
      <w:r w:rsidR="00691BFF">
        <w:rPr>
          <w:rFonts w:eastAsia="MS Mincho" w:cs="Arial"/>
          <w:sz w:val="20"/>
          <w:szCs w:val="22"/>
          <w:lang w:val="en-GB" w:eastAsia="ja-JP"/>
        </w:rPr>
        <w:t xml:space="preserve"> per cent</w:t>
      </w:r>
      <w:r w:rsidRPr="00C96521">
        <w:rPr>
          <w:rFonts w:eastAsia="MS Mincho" w:cs="Arial"/>
          <w:sz w:val="20"/>
          <w:szCs w:val="22"/>
          <w:lang w:val="en-GB" w:eastAsia="ja-JP"/>
        </w:rPr>
        <w:t xml:space="preserve"> over the same period. In contrast to these declines, the population in Catalonia remained stable between 2002 and 2015 (ICO 2016). A new analysis shows an even stronger national decline of 40</w:t>
      </w:r>
      <w:r w:rsidR="00691BFF">
        <w:rPr>
          <w:rFonts w:eastAsia="MS Mincho" w:cs="Arial"/>
          <w:sz w:val="20"/>
          <w:szCs w:val="22"/>
          <w:lang w:val="en-GB" w:eastAsia="ja-JP"/>
        </w:rPr>
        <w:t xml:space="preserve"> per cent</w:t>
      </w:r>
      <w:r w:rsidRPr="00C96521">
        <w:rPr>
          <w:rFonts w:eastAsia="MS Mincho" w:cs="Arial"/>
          <w:sz w:val="20"/>
          <w:szCs w:val="22"/>
          <w:lang w:val="en-GB" w:eastAsia="ja-JP"/>
        </w:rPr>
        <w:t xml:space="preserve"> between 1996 and 2016, including significant declines in ten regions: </w:t>
      </w:r>
      <w:r w:rsidR="001523DA">
        <w:rPr>
          <w:rFonts w:eastAsia="MS Mincho" w:cs="Arial"/>
          <w:sz w:val="20"/>
          <w:szCs w:val="22"/>
          <w:lang w:val="en-GB" w:eastAsia="ja-JP"/>
        </w:rPr>
        <w:t>Basque Country</w:t>
      </w:r>
      <w:r w:rsidRPr="00C96521">
        <w:rPr>
          <w:rFonts w:eastAsia="MS Mincho" w:cs="Arial"/>
          <w:sz w:val="20"/>
          <w:szCs w:val="22"/>
          <w:lang w:val="en-GB" w:eastAsia="ja-JP"/>
        </w:rPr>
        <w:t>, Galicia, Andalucia, Catal</w:t>
      </w:r>
      <w:r w:rsidR="001523DA">
        <w:rPr>
          <w:rFonts w:eastAsia="MS Mincho" w:cs="Arial"/>
          <w:sz w:val="20"/>
          <w:szCs w:val="22"/>
          <w:lang w:val="en-GB" w:eastAsia="ja-JP"/>
        </w:rPr>
        <w:t>o</w:t>
      </w:r>
      <w:r w:rsidRPr="00C96521">
        <w:rPr>
          <w:rFonts w:eastAsia="MS Mincho" w:cs="Arial"/>
          <w:sz w:val="20"/>
          <w:szCs w:val="22"/>
          <w:lang w:val="en-GB" w:eastAsia="ja-JP"/>
        </w:rPr>
        <w:t>n</w:t>
      </w:r>
      <w:r w:rsidR="001523DA">
        <w:rPr>
          <w:rFonts w:eastAsia="MS Mincho" w:cs="Arial"/>
          <w:sz w:val="20"/>
          <w:szCs w:val="22"/>
          <w:lang w:val="en-GB" w:eastAsia="ja-JP"/>
        </w:rPr>
        <w:t>i</w:t>
      </w:r>
      <w:r w:rsidRPr="00C96521">
        <w:rPr>
          <w:rFonts w:eastAsia="MS Mincho" w:cs="Arial"/>
          <w:sz w:val="20"/>
          <w:szCs w:val="22"/>
          <w:lang w:val="en-GB" w:eastAsia="ja-JP"/>
        </w:rPr>
        <w:t>a, Castill</w:t>
      </w:r>
      <w:r w:rsidR="001523DA">
        <w:rPr>
          <w:rFonts w:eastAsia="MS Mincho" w:cs="Arial"/>
          <w:sz w:val="20"/>
          <w:szCs w:val="22"/>
          <w:lang w:val="en-GB" w:eastAsia="ja-JP"/>
        </w:rPr>
        <w:t>e</w:t>
      </w:r>
      <w:r w:rsidRPr="00C96521">
        <w:rPr>
          <w:rFonts w:eastAsia="MS Mincho" w:cs="Arial"/>
          <w:sz w:val="20"/>
          <w:szCs w:val="22"/>
          <w:lang w:val="en-GB" w:eastAsia="ja-JP"/>
        </w:rPr>
        <w:t xml:space="preserve"> la Mancha, Castill</w:t>
      </w:r>
      <w:r w:rsidR="00AC5AD4">
        <w:rPr>
          <w:rFonts w:eastAsia="MS Mincho" w:cs="Arial"/>
          <w:sz w:val="20"/>
          <w:szCs w:val="22"/>
          <w:lang w:val="en-GB" w:eastAsia="ja-JP"/>
        </w:rPr>
        <w:t>e</w:t>
      </w:r>
      <w:r w:rsidRPr="00C96521">
        <w:rPr>
          <w:rFonts w:eastAsia="MS Mincho" w:cs="Arial"/>
          <w:sz w:val="20"/>
          <w:szCs w:val="22"/>
          <w:lang w:val="en-GB" w:eastAsia="ja-JP"/>
        </w:rPr>
        <w:t xml:space="preserve"> </w:t>
      </w:r>
      <w:r w:rsidR="00AC5AD4">
        <w:rPr>
          <w:rFonts w:eastAsia="MS Mincho" w:cs="Arial"/>
          <w:sz w:val="20"/>
          <w:szCs w:val="22"/>
          <w:lang w:val="en-GB" w:eastAsia="ja-JP"/>
        </w:rPr>
        <w:t>and</w:t>
      </w:r>
      <w:r w:rsidRPr="00C96521">
        <w:rPr>
          <w:rFonts w:eastAsia="MS Mincho" w:cs="Arial"/>
          <w:sz w:val="20"/>
          <w:szCs w:val="22"/>
          <w:lang w:val="en-GB" w:eastAsia="ja-JP"/>
        </w:rPr>
        <w:t xml:space="preserve"> León, Valencia</w:t>
      </w:r>
      <w:r w:rsidR="001523DA">
        <w:rPr>
          <w:rFonts w:eastAsia="MS Mincho" w:cs="Arial"/>
          <w:sz w:val="20"/>
          <w:szCs w:val="22"/>
          <w:lang w:val="en-GB" w:eastAsia="ja-JP"/>
        </w:rPr>
        <w:t>n Community</w:t>
      </w:r>
      <w:r w:rsidRPr="00C96521">
        <w:rPr>
          <w:rFonts w:eastAsia="MS Mincho" w:cs="Arial"/>
          <w:sz w:val="20"/>
          <w:szCs w:val="22"/>
          <w:lang w:val="en-GB" w:eastAsia="ja-JP"/>
        </w:rPr>
        <w:t>, Madrid, Aragón and Extremadura (SEO/BirdLife 2016a). One region showed a significant increase (Navarr</w:t>
      </w:r>
      <w:r w:rsidR="001523DA">
        <w:rPr>
          <w:rFonts w:eastAsia="MS Mincho" w:cs="Arial"/>
          <w:sz w:val="20"/>
          <w:szCs w:val="22"/>
          <w:lang w:val="en-GB" w:eastAsia="ja-JP"/>
        </w:rPr>
        <w:t>e</w:t>
      </w:r>
      <w:r w:rsidRPr="00C96521">
        <w:rPr>
          <w:rFonts w:eastAsia="MS Mincho" w:cs="Arial"/>
          <w:sz w:val="20"/>
          <w:szCs w:val="22"/>
          <w:lang w:val="en-GB" w:eastAsia="ja-JP"/>
        </w:rPr>
        <w:t xml:space="preserve"> and two regions showed no significant trends (Rioja and Murcia). In Navarr</w:t>
      </w:r>
      <w:r w:rsidR="001523DA">
        <w:rPr>
          <w:rFonts w:eastAsia="MS Mincho" w:cs="Arial"/>
          <w:sz w:val="20"/>
          <w:szCs w:val="22"/>
          <w:lang w:val="en-GB" w:eastAsia="ja-JP"/>
        </w:rPr>
        <w:t>e</w:t>
      </w:r>
      <w:r w:rsidRPr="00C96521">
        <w:rPr>
          <w:rFonts w:eastAsia="MS Mincho" w:cs="Arial"/>
          <w:sz w:val="20"/>
          <w:szCs w:val="22"/>
          <w:lang w:val="en-GB" w:eastAsia="ja-JP"/>
        </w:rPr>
        <w:t xml:space="preserve"> where the population increased, the increase was due to a high number of observations in 2016 compared to previous years when the population was somewhat stable. Declines were most marked in Galicia and Pais Vasco.</w:t>
      </w:r>
    </w:p>
    <w:p w14:paraId="46A05D0F"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111ED7B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Belgium/Denmark/Germany/Luxembourg/Netherlands/UK</w:t>
      </w:r>
    </w:p>
    <w:p w14:paraId="6746B4C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1E92886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In the northern part of the western flyway, populations are generally declining and in some areas the species has been lost from certain areas. For example, it no longer uses urban parks for nesting in Belgium. Declines in Flanders have been most dramatic in agricultural regions, while in the Netherlands declines were strongest in woodland followed by agricultural areas, while the species remained generally stable in marsh habitats. In the UK, the species underwent a strong retraction from Wales, the south-west, Midlands and northern England, and is now absent from these regions.</w:t>
      </w:r>
    </w:p>
    <w:p w14:paraId="76874A74"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3F403415" w14:textId="34935496"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species was considered very common in the north and less common in the central and southern regions of Belgium according to the 1972 Atlas (Lippens and Wille 1972). In 1988, a decline was inferred due to an increase in changes to habitat: changes in grassland crops, and agricultural intensification, with associated loss of hedges, groves, country lanes, vegetated stream banks and other linear features in the farmed environment (Devillers </w:t>
      </w:r>
      <w:r w:rsidRPr="00C96521">
        <w:rPr>
          <w:rFonts w:eastAsia="MS Mincho"/>
          <w:i/>
          <w:sz w:val="20"/>
          <w:szCs w:val="22"/>
          <w:lang w:val="en-GB" w:eastAsia="ja-JP"/>
        </w:rPr>
        <w:t>et al</w:t>
      </w:r>
      <w:r w:rsidRPr="00C96521">
        <w:rPr>
          <w:rFonts w:eastAsia="MS Mincho"/>
          <w:sz w:val="20"/>
          <w:szCs w:val="22"/>
          <w:lang w:val="en-GB" w:eastAsia="ja-JP"/>
        </w:rPr>
        <w:t xml:space="preserve"> 1988). While urban parks were previously used for nesting, in the 1988 atlas these were no longer considered a breeding habitat. The population of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w:t>
      </w:r>
      <w:r w:rsidR="00691BFF" w:rsidRPr="00C96521">
        <w:rPr>
          <w:rFonts w:eastAsia="MS Mincho" w:cs="Arial"/>
          <w:sz w:val="20"/>
          <w:szCs w:val="22"/>
          <w:lang w:val="en-GB" w:eastAsia="ja-JP"/>
        </w:rPr>
        <w:t xml:space="preserve">oves </w:t>
      </w:r>
      <w:r w:rsidRPr="00C96521">
        <w:rPr>
          <w:rFonts w:eastAsia="MS Mincho"/>
          <w:sz w:val="20"/>
          <w:szCs w:val="22"/>
          <w:lang w:val="en-GB" w:eastAsia="ja-JP"/>
        </w:rPr>
        <w:t>in Flanders dropped by more than 70</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 xml:space="preserve">in thirty years, with the species being lost from built-up areas as well as whole regions (Vermeersch </w:t>
      </w:r>
      <w:r w:rsidRPr="00C96521">
        <w:rPr>
          <w:rFonts w:eastAsia="MS Mincho"/>
          <w:i/>
          <w:sz w:val="20"/>
          <w:szCs w:val="22"/>
          <w:lang w:val="en-GB" w:eastAsia="ja-JP"/>
        </w:rPr>
        <w:t>et al</w:t>
      </w:r>
      <w:r w:rsidRPr="00C96521">
        <w:rPr>
          <w:rFonts w:eastAsia="MS Mincho"/>
          <w:sz w:val="20"/>
          <w:szCs w:val="22"/>
          <w:lang w:val="en-GB" w:eastAsia="ja-JP"/>
        </w:rPr>
        <w:t xml:space="preserve"> 2004). The population declines have been most dramatic in important agricultural regions (Moyenne-Belgique and Condroz) but equally in Fagne and Lesse-et-Lomme. In Wallonie the species is currently in severe decline having undergone a loss of 70</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 xml:space="preserve">in 30 years and is considered Vulnerable (Jacob </w:t>
      </w:r>
      <w:r w:rsidRPr="00C96521">
        <w:rPr>
          <w:rFonts w:eastAsia="MS Mincho"/>
          <w:i/>
          <w:sz w:val="20"/>
          <w:szCs w:val="22"/>
          <w:lang w:val="en-GB" w:eastAsia="ja-JP"/>
        </w:rPr>
        <w:t>et al</w:t>
      </w:r>
      <w:r w:rsidRPr="00C96521">
        <w:rPr>
          <w:rFonts w:eastAsia="MS Mincho"/>
          <w:sz w:val="20"/>
          <w:szCs w:val="22"/>
          <w:lang w:val="en-GB" w:eastAsia="ja-JP"/>
        </w:rPr>
        <w:t xml:space="preserve"> 2010, Biodiversité Wallonie 2016).</w:t>
      </w:r>
    </w:p>
    <w:p w14:paraId="1D1AF1D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DBD2B70" w14:textId="05F69A8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population trend for the Netherlands shows a marked decrease since 1990, with slight increases in 1996 and again in 2007 (Compendium voor de Leefomgeving 2016). The 1998-2000 breeding bird atlas highlights that the population declined between the 1973-1985 period and 1998-2000 (retraction of breeding range in the lowlands and a 70-90</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 xml:space="preserve">reduction in numbers in some populations) (SOVON 2002). Highest densities in the 1998-2000 period were found in the south-west of the country in polders (low-lying land reclaimed from the sea or a river and protected by dykes) in Lake Ijsselmeer, with the species generally absent from the north of the country. Declines were most prominent in Friesland, </w:t>
      </w:r>
      <w:r w:rsidR="001523DA">
        <w:rPr>
          <w:rFonts w:eastAsia="MS Mincho"/>
          <w:sz w:val="20"/>
          <w:szCs w:val="22"/>
          <w:lang w:val="en-GB" w:eastAsia="ja-JP"/>
        </w:rPr>
        <w:t xml:space="preserve">South-east </w:t>
      </w:r>
      <w:r w:rsidRPr="00C96521">
        <w:rPr>
          <w:rFonts w:eastAsia="MS Mincho"/>
          <w:sz w:val="20"/>
          <w:szCs w:val="22"/>
          <w:lang w:val="en-GB" w:eastAsia="ja-JP"/>
        </w:rPr>
        <w:t>Drenthe and West</w:t>
      </w:r>
      <w:r w:rsidR="001523DA">
        <w:rPr>
          <w:rFonts w:eastAsia="MS Mincho"/>
          <w:sz w:val="20"/>
          <w:szCs w:val="22"/>
          <w:lang w:val="en-GB" w:eastAsia="ja-JP"/>
        </w:rPr>
        <w:t>ern</w:t>
      </w:r>
      <w:r w:rsidRPr="00C96521">
        <w:rPr>
          <w:rFonts w:eastAsia="MS Mincho"/>
          <w:sz w:val="20"/>
          <w:szCs w:val="22"/>
          <w:lang w:val="en-GB" w:eastAsia="ja-JP"/>
        </w:rPr>
        <w:t xml:space="preserve"> Ne</w:t>
      </w:r>
      <w:r w:rsidR="001523DA">
        <w:rPr>
          <w:rFonts w:eastAsia="MS Mincho"/>
          <w:sz w:val="20"/>
          <w:szCs w:val="22"/>
          <w:lang w:val="en-GB" w:eastAsia="ja-JP"/>
        </w:rPr>
        <w:t>th</w:t>
      </w:r>
      <w:r w:rsidRPr="00C96521">
        <w:rPr>
          <w:rFonts w:eastAsia="MS Mincho"/>
          <w:sz w:val="20"/>
          <w:szCs w:val="22"/>
          <w:lang w:val="en-GB" w:eastAsia="ja-JP"/>
        </w:rPr>
        <w:t>erland</w:t>
      </w:r>
      <w:r w:rsidR="001523DA">
        <w:rPr>
          <w:rFonts w:eastAsia="MS Mincho"/>
          <w:sz w:val="20"/>
          <w:szCs w:val="22"/>
          <w:lang w:val="en-GB" w:eastAsia="ja-JP"/>
        </w:rPr>
        <w:t>s</w:t>
      </w:r>
      <w:r w:rsidRPr="00C96521">
        <w:rPr>
          <w:rFonts w:eastAsia="MS Mincho"/>
          <w:sz w:val="20"/>
          <w:szCs w:val="22"/>
          <w:lang w:val="en-GB" w:eastAsia="ja-JP"/>
        </w:rPr>
        <w:t>. The decline was strongest in deciduous woodland followed by farmland. The trend in marsh habitats remained relatively stable over the 1970-2000 period.</w:t>
      </w:r>
    </w:p>
    <w:p w14:paraId="4D38291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E8D93DF" w14:textId="43829C6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species is a relatively new addition to the avifauna of Denmark, first appearing as a breeding species in 1918 (Fenger </w:t>
      </w:r>
      <w:r w:rsidRPr="00C96521">
        <w:rPr>
          <w:rFonts w:eastAsia="MS Mincho"/>
          <w:i/>
          <w:sz w:val="20"/>
          <w:szCs w:val="22"/>
          <w:lang w:val="en-GB" w:eastAsia="ja-JP"/>
        </w:rPr>
        <w:t>et al</w:t>
      </w:r>
      <w:r w:rsidRPr="00C96521">
        <w:rPr>
          <w:rFonts w:eastAsia="MS Mincho"/>
          <w:sz w:val="20"/>
          <w:szCs w:val="22"/>
          <w:lang w:val="en-GB" w:eastAsia="ja-JP"/>
        </w:rPr>
        <w:t xml:space="preserve"> 2016). In the 1971-1974 atlas the species was recorded as possibly or probably breeding. In the 1993-1996 atlas the species was recorded breeding in Jutland. In Germany, the population generally increased between 1990 and 1995, and since then the overall trend has been declining (Dachverband Deutscher Avifaunisten 2016). Comparison of the distribution of the species in </w:t>
      </w:r>
      <w:r w:rsidRPr="00C96521">
        <w:rPr>
          <w:rFonts w:eastAsia="MS Mincho"/>
          <w:sz w:val="20"/>
          <w:szCs w:val="22"/>
          <w:lang w:val="en-GB" w:eastAsia="ja-JP"/>
        </w:rPr>
        <w:lastRenderedPageBreak/>
        <w:t xml:space="preserve">1985 and 2005-2009 shows that it is generally similar between the two periods. It is mainly found in the lowlands of northern Germany and the northern and western uplands (Gedeon </w:t>
      </w:r>
      <w:r w:rsidRPr="00C96521">
        <w:rPr>
          <w:rFonts w:eastAsia="MS Mincho"/>
          <w:i/>
          <w:sz w:val="20"/>
          <w:szCs w:val="22"/>
          <w:lang w:val="en-GB" w:eastAsia="ja-JP"/>
        </w:rPr>
        <w:t>et al</w:t>
      </w:r>
      <w:r w:rsidRPr="00C96521">
        <w:rPr>
          <w:rFonts w:eastAsia="MS Mincho"/>
          <w:sz w:val="20"/>
          <w:szCs w:val="22"/>
          <w:lang w:val="en-GB" w:eastAsia="ja-JP"/>
        </w:rPr>
        <w:t xml:space="preserve"> 2014). While there has been limited ringing of turtle-doves in Germany, it is thought that birds breeding in the west of the country migrate down through France and the </w:t>
      </w:r>
      <w:r w:rsidR="00691BFF" w:rsidRPr="00C96521">
        <w:rPr>
          <w:rFonts w:eastAsia="MS Mincho"/>
          <w:sz w:val="20"/>
          <w:szCs w:val="22"/>
          <w:lang w:val="en-GB" w:eastAsia="ja-JP"/>
        </w:rPr>
        <w:t>Iberian Peninsula</w:t>
      </w:r>
      <w:r w:rsidRPr="00C96521">
        <w:rPr>
          <w:rFonts w:eastAsia="MS Mincho"/>
          <w:sz w:val="20"/>
          <w:szCs w:val="22"/>
          <w:lang w:val="en-GB" w:eastAsia="ja-JP"/>
        </w:rPr>
        <w:t xml:space="preserve">, and birds breeding in the east of the country and Austria move down through Italy and Malta (Quillfeldt </w:t>
      </w:r>
      <w:r w:rsidRPr="00C96521">
        <w:rPr>
          <w:rFonts w:eastAsia="MS Mincho"/>
          <w:i/>
          <w:sz w:val="20"/>
          <w:szCs w:val="22"/>
          <w:lang w:val="en-GB" w:eastAsia="ja-JP"/>
        </w:rPr>
        <w:t>et al</w:t>
      </w:r>
      <w:r w:rsidRPr="00C96521">
        <w:rPr>
          <w:rFonts w:eastAsia="MS Mincho"/>
          <w:sz w:val="20"/>
          <w:szCs w:val="22"/>
          <w:lang w:val="en-GB" w:eastAsia="ja-JP"/>
        </w:rPr>
        <w:t xml:space="preserve"> 2014).</w:t>
      </w:r>
    </w:p>
    <w:p w14:paraId="186ED28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E8ED935"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breeding population in Luxembourg is very small at just 150-200 pairs (Lorgé </w:t>
      </w:r>
      <w:r w:rsidRPr="00C96521">
        <w:rPr>
          <w:rFonts w:eastAsia="MS Mincho"/>
          <w:i/>
          <w:sz w:val="20"/>
          <w:szCs w:val="22"/>
          <w:lang w:val="en-GB" w:eastAsia="ja-JP"/>
        </w:rPr>
        <w:t>et al</w:t>
      </w:r>
      <w:r w:rsidRPr="00C96521">
        <w:rPr>
          <w:rFonts w:eastAsia="MS Mincho"/>
          <w:sz w:val="20"/>
          <w:szCs w:val="22"/>
          <w:lang w:val="en-GB" w:eastAsia="ja-JP"/>
        </w:rPr>
        <w:t xml:space="preserve"> 2014). No population trend estimates are available, but the species was uplisted from Vulnerable in 2010 (Lorgé and Biver 2010) to Endangered in 2014 (Lorgé </w:t>
      </w:r>
      <w:r w:rsidRPr="00C96521">
        <w:rPr>
          <w:rFonts w:eastAsia="MS Mincho"/>
          <w:i/>
          <w:sz w:val="20"/>
          <w:szCs w:val="22"/>
          <w:lang w:val="en-GB" w:eastAsia="ja-JP"/>
        </w:rPr>
        <w:t>et al</w:t>
      </w:r>
      <w:r w:rsidRPr="00C96521">
        <w:rPr>
          <w:rFonts w:eastAsia="MS Mincho"/>
          <w:sz w:val="20"/>
          <w:szCs w:val="22"/>
          <w:lang w:val="en-GB" w:eastAsia="ja-JP"/>
        </w:rPr>
        <w:t xml:space="preserve"> 2014).</w:t>
      </w:r>
    </w:p>
    <w:p w14:paraId="792FBC7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75EF987" w14:textId="025F41A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the UK, the population underwent a decline of 93</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 xml:space="preserve">between 1995 and 2014 (Harris </w:t>
      </w:r>
      <w:r w:rsidRPr="00C96521">
        <w:rPr>
          <w:rFonts w:eastAsia="MS Mincho"/>
          <w:i/>
          <w:sz w:val="20"/>
          <w:szCs w:val="22"/>
          <w:lang w:val="en-GB" w:eastAsia="ja-JP"/>
        </w:rPr>
        <w:t>et al</w:t>
      </w:r>
      <w:r w:rsidRPr="00C96521">
        <w:rPr>
          <w:rFonts w:eastAsia="MS Mincho"/>
          <w:sz w:val="20"/>
          <w:szCs w:val="22"/>
          <w:lang w:val="en-GB" w:eastAsia="ja-JP"/>
        </w:rPr>
        <w:t xml:space="preserve"> 2016). Regionally the species declined by 92</w:t>
      </w:r>
      <w:r w:rsidR="00691BFF">
        <w:rPr>
          <w:rFonts w:eastAsia="MS Mincho"/>
          <w:sz w:val="20"/>
          <w:szCs w:val="22"/>
          <w:lang w:val="en-GB" w:eastAsia="ja-JP"/>
        </w:rPr>
        <w:t xml:space="preserve"> per cent</w:t>
      </w:r>
      <w:r w:rsidRPr="00C96521">
        <w:rPr>
          <w:rFonts w:eastAsia="MS Mincho"/>
          <w:sz w:val="20"/>
          <w:szCs w:val="22"/>
          <w:lang w:val="en-GB" w:eastAsia="ja-JP"/>
        </w:rPr>
        <w:t xml:space="preserve"> in the east of England (Bedfordshire, Cambridgeshire, Essex, Hertfordshire, Norfolk, Suffolk) and 94</w:t>
      </w:r>
      <w:r w:rsidR="00691BFF">
        <w:rPr>
          <w:rFonts w:eastAsia="MS Mincho"/>
          <w:sz w:val="20"/>
          <w:szCs w:val="22"/>
          <w:lang w:val="en-GB" w:eastAsia="ja-JP"/>
        </w:rPr>
        <w:t xml:space="preserve"> per cent</w:t>
      </w:r>
      <w:r w:rsidRPr="00C96521">
        <w:rPr>
          <w:rFonts w:eastAsia="MS Mincho"/>
          <w:sz w:val="20"/>
          <w:szCs w:val="22"/>
          <w:lang w:val="en-GB" w:eastAsia="ja-JP"/>
        </w:rPr>
        <w:t xml:space="preserve"> in the south</w:t>
      </w:r>
      <w:r w:rsidR="00691BFF">
        <w:rPr>
          <w:rFonts w:eastAsia="MS Mincho"/>
          <w:sz w:val="20"/>
          <w:szCs w:val="22"/>
          <w:lang w:val="en-GB" w:eastAsia="ja-JP"/>
        </w:rPr>
        <w:t>-</w:t>
      </w:r>
      <w:r w:rsidRPr="00C96521">
        <w:rPr>
          <w:rFonts w:eastAsia="MS Mincho"/>
          <w:sz w:val="20"/>
          <w:szCs w:val="22"/>
          <w:lang w:val="en-GB" w:eastAsia="ja-JP"/>
        </w:rPr>
        <w:t>east of England (Berkshire, Buckinghamshire, Hampshire, Isle of Wight, Kent, Oxfordshire, Surrey, Sussex). The range of the species in the UK retracted between the 1968-1972 and 2008-2011 atlases (BTO 2016). The species remains in the east and south-east of England, but has generally been lost from the south-west, Wales,</w:t>
      </w:r>
      <w:r w:rsidR="00691BFF">
        <w:rPr>
          <w:rFonts w:eastAsia="MS Mincho"/>
          <w:sz w:val="20"/>
          <w:szCs w:val="22"/>
          <w:lang w:val="en-GB" w:eastAsia="ja-JP"/>
        </w:rPr>
        <w:t xml:space="preserve"> the</w:t>
      </w:r>
      <w:r w:rsidRPr="00C96521">
        <w:rPr>
          <w:rFonts w:eastAsia="MS Mincho"/>
          <w:sz w:val="20"/>
          <w:szCs w:val="22"/>
          <w:lang w:val="en-GB" w:eastAsia="ja-JP"/>
        </w:rPr>
        <w:t xml:space="preserve"> Midlands and northern England. Based on the current rate of decline </w:t>
      </w:r>
      <w:r w:rsidR="00691BFF">
        <w:rPr>
          <w:rFonts w:eastAsia="MS Mincho"/>
          <w:sz w:val="20"/>
          <w:szCs w:val="22"/>
          <w:lang w:val="en-GB" w:eastAsia="ja-JP"/>
        </w:rPr>
        <w:t xml:space="preserve">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w:t>
      </w:r>
      <w:r w:rsidR="00691BFF" w:rsidRPr="00C96521">
        <w:rPr>
          <w:rFonts w:eastAsia="MS Mincho" w:cs="Arial"/>
          <w:sz w:val="20"/>
          <w:szCs w:val="22"/>
          <w:lang w:val="en-GB" w:eastAsia="ja-JP"/>
        </w:rPr>
        <w:t xml:space="preserve">ove </w:t>
      </w:r>
      <w:r w:rsidRPr="00C96521">
        <w:rPr>
          <w:rFonts w:eastAsia="MS Mincho"/>
          <w:sz w:val="20"/>
          <w:szCs w:val="22"/>
          <w:lang w:val="en-GB" w:eastAsia="ja-JP"/>
        </w:rPr>
        <w:t>may be lost as a breeding bird in the UK by 2021 (Dunn and Morris 2012).</w:t>
      </w:r>
    </w:p>
    <w:p w14:paraId="51977C1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B808C92"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Estonia/Finland/Latvia/Lithuania</w:t>
      </w:r>
    </w:p>
    <w:p w14:paraId="4D9D8D70"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3047D7B5" w14:textId="317F7F69"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 xml:space="preserve">Countries around the Baltic Sea have generally experienced a decline in </w:t>
      </w:r>
      <w:r w:rsidR="00691BFF" w:rsidRPr="005D6A2A">
        <w:rPr>
          <w:rFonts w:eastAsia="MS Mincho" w:cs="Arial"/>
          <w:i/>
          <w:sz w:val="20"/>
          <w:szCs w:val="22"/>
          <w:lang w:val="en-GB" w:eastAsia="ja-JP"/>
        </w:rPr>
        <w:t>Turtle Dove</w:t>
      </w:r>
      <w:r w:rsidR="00691BFF">
        <w:rPr>
          <w:rFonts w:eastAsia="MS Mincho" w:cs="Arial"/>
          <w:sz w:val="20"/>
          <w:szCs w:val="22"/>
          <w:lang w:val="en-GB" w:eastAsia="ja-JP"/>
        </w:rPr>
        <w:t xml:space="preserve"> </w:t>
      </w:r>
      <w:r w:rsidRPr="00C96521">
        <w:rPr>
          <w:rFonts w:eastAsia="MS Mincho"/>
          <w:i/>
          <w:sz w:val="20"/>
          <w:szCs w:val="22"/>
          <w:lang w:val="en-GB" w:eastAsia="ja-JP"/>
        </w:rPr>
        <w:t>numbers or range. The decline in Latvia between 1995 and 2014 was very strong, and the Lithuanian population declined at an average rate of about</w:t>
      </w:r>
      <w:r w:rsidR="00691BFF">
        <w:rPr>
          <w:rFonts w:eastAsia="MS Mincho"/>
          <w:i/>
          <w:sz w:val="20"/>
          <w:szCs w:val="22"/>
          <w:lang w:val="en-GB" w:eastAsia="ja-JP"/>
        </w:rPr>
        <w:t xml:space="preserve"> </w:t>
      </w:r>
      <w:r w:rsidRPr="00C96521">
        <w:rPr>
          <w:rFonts w:eastAsia="MS Mincho"/>
          <w:i/>
          <w:sz w:val="20"/>
          <w:szCs w:val="22"/>
          <w:lang w:val="en-GB" w:eastAsia="ja-JP"/>
        </w:rPr>
        <w:t>13</w:t>
      </w:r>
      <w:r w:rsidR="00691BFF">
        <w:rPr>
          <w:rFonts w:eastAsia="MS Mincho"/>
          <w:i/>
          <w:sz w:val="20"/>
          <w:szCs w:val="22"/>
          <w:lang w:val="en-GB" w:eastAsia="ja-JP"/>
        </w:rPr>
        <w:t xml:space="preserve"> per cent</w:t>
      </w:r>
      <w:r w:rsidRPr="00C96521">
        <w:rPr>
          <w:rFonts w:eastAsia="MS Mincho"/>
          <w:i/>
          <w:sz w:val="20"/>
          <w:szCs w:val="22"/>
          <w:lang w:val="en-GB" w:eastAsia="ja-JP"/>
        </w:rPr>
        <w:t xml:space="preserve"> per year between 1994 and 2013.</w:t>
      </w:r>
    </w:p>
    <w:p w14:paraId="4F2B024F"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40047C72" w14:textId="26F2DC4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Finland, comparison of the 1974-1979, 1986-1989 and 2006-2010 breeding atlases shows that there are fewer records of the species in the most recent atlas than in previous versions (Lehikoinen 2016). The species is found mainly in the south-east of the country where it breeds in agricultural areas. It was first recorded breeding in Finland in 1979, and the population size was estimated at 70 pairs in 1980-1990 but is now estimated to be 5 pairs. The number of atlas squares in which the species was recorded dropped from 130 in the 1970s, 90 in the 1980s, to 30 in the 2000s. If the decline continues, 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Dove </w:t>
      </w:r>
      <w:r w:rsidRPr="00C96521">
        <w:rPr>
          <w:rFonts w:eastAsia="MS Mincho"/>
          <w:sz w:val="20"/>
          <w:szCs w:val="22"/>
          <w:lang w:val="en-GB" w:eastAsia="ja-JP"/>
        </w:rPr>
        <w:t>will be lost as a breeding species. The population decline in Finland is thought to be related to broader declines across Europe.</w:t>
      </w:r>
    </w:p>
    <w:p w14:paraId="072702E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EA6F117" w14:textId="25C2BB1F"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w:t>
      </w:r>
      <w:r w:rsidR="00691BFF" w:rsidRPr="00C96521">
        <w:rPr>
          <w:rFonts w:eastAsia="MS Mincho" w:cs="Arial"/>
          <w:sz w:val="20"/>
          <w:szCs w:val="22"/>
          <w:lang w:val="en-GB" w:eastAsia="ja-JP"/>
        </w:rPr>
        <w:t xml:space="preserve">ove </w:t>
      </w:r>
      <w:r w:rsidRPr="00C96521">
        <w:rPr>
          <w:rFonts w:eastAsia="MS Mincho"/>
          <w:sz w:val="20"/>
          <w:szCs w:val="22"/>
          <w:lang w:val="en-GB" w:eastAsia="ja-JP"/>
        </w:rPr>
        <w:t xml:space="preserve">population in Estonia fluctuated greatly over the period 1983-2010 (Kuresoo </w:t>
      </w:r>
      <w:r w:rsidRPr="00C96521">
        <w:rPr>
          <w:rFonts w:eastAsia="MS Mincho"/>
          <w:i/>
          <w:sz w:val="20"/>
          <w:szCs w:val="22"/>
          <w:lang w:val="en-GB" w:eastAsia="ja-JP"/>
        </w:rPr>
        <w:t>et al</w:t>
      </w:r>
      <w:r w:rsidRPr="00C96521">
        <w:rPr>
          <w:rFonts w:eastAsia="MS Mincho"/>
          <w:sz w:val="20"/>
          <w:szCs w:val="22"/>
          <w:lang w:val="en-GB" w:eastAsia="ja-JP"/>
        </w:rPr>
        <w:t xml:space="preserve"> 2011). The species increased between the 1970s and 1990s (Rouxel 2000) but exhibited a sharp decline in 1996-1998. In the early 2000s, the species dropped to 1983 levels or below (Kuresoo </w:t>
      </w:r>
      <w:r w:rsidRPr="00C96521">
        <w:rPr>
          <w:rFonts w:eastAsia="MS Mincho"/>
          <w:i/>
          <w:sz w:val="20"/>
          <w:szCs w:val="22"/>
          <w:lang w:val="en-GB" w:eastAsia="ja-JP"/>
        </w:rPr>
        <w:t>et al</w:t>
      </w:r>
      <w:r w:rsidRPr="00C96521">
        <w:rPr>
          <w:rFonts w:eastAsia="MS Mincho"/>
          <w:sz w:val="20"/>
          <w:szCs w:val="22"/>
          <w:lang w:val="en-GB" w:eastAsia="ja-JP"/>
        </w:rPr>
        <w:t xml:space="preserve"> 2011).</w:t>
      </w:r>
    </w:p>
    <w:p w14:paraId="657C00C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135E0A0" w14:textId="345449D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According to the first 10 years of data collected as part of the Latvian Common Bird Monitoring Scheme, the population of turtle-dove decreased 87.9</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between 2005 and 2014 (Auniņš 2015). The trend between 1995 and 2014 was -82.0</w:t>
      </w:r>
      <w:r w:rsidR="00691BFF">
        <w:rPr>
          <w:rFonts w:eastAsia="MS Mincho"/>
          <w:sz w:val="20"/>
          <w:szCs w:val="22"/>
          <w:lang w:val="en-GB" w:eastAsia="ja-JP"/>
        </w:rPr>
        <w:t xml:space="preserve"> per cent</w:t>
      </w:r>
      <w:r w:rsidRPr="00C96521">
        <w:rPr>
          <w:rFonts w:eastAsia="MS Mincho"/>
          <w:sz w:val="20"/>
          <w:szCs w:val="22"/>
          <w:lang w:val="en-GB" w:eastAsia="ja-JP"/>
        </w:rPr>
        <w:t>. The average annual trend was estimated at -9.7 to -2.5</w:t>
      </w:r>
      <w:r w:rsidR="00691BFF">
        <w:rPr>
          <w:rFonts w:eastAsia="MS Mincho"/>
          <w:sz w:val="20"/>
          <w:szCs w:val="22"/>
          <w:lang w:val="en-GB" w:eastAsia="ja-JP"/>
        </w:rPr>
        <w:t xml:space="preserve"> per cent</w:t>
      </w:r>
      <w:r w:rsidRPr="00C96521">
        <w:rPr>
          <w:rFonts w:eastAsia="MS Mincho"/>
          <w:sz w:val="20"/>
          <w:szCs w:val="22"/>
          <w:lang w:val="en-GB" w:eastAsia="ja-JP"/>
        </w:rPr>
        <w:t xml:space="preserve">. The species is distributed across Latvia with slightly more records in the south than north of the country (Kerus 2005). In the past, the species was described as most common in the east of the country, but always at low densities (Rouxel 2000). The range of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Dove </w:t>
      </w:r>
      <w:r w:rsidRPr="00C96521">
        <w:rPr>
          <w:rFonts w:eastAsia="MS Mincho"/>
          <w:sz w:val="20"/>
          <w:szCs w:val="22"/>
          <w:lang w:val="en-GB" w:eastAsia="ja-JP"/>
        </w:rPr>
        <w:t>expanded northwards from the 1930s until at least the 1960s.</w:t>
      </w:r>
    </w:p>
    <w:p w14:paraId="6AF74545"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2B295E88" w14:textId="1E3BD41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Lithuania</w:t>
      </w:r>
      <w:r w:rsidR="00691BFF">
        <w:rPr>
          <w:rFonts w:eastAsia="MS Mincho"/>
          <w:sz w:val="20"/>
          <w:szCs w:val="22"/>
          <w:lang w:val="en-GB" w:eastAsia="ja-JP"/>
        </w:rPr>
        <w:t>,</w:t>
      </w:r>
      <w:r w:rsidRPr="00C96521">
        <w:rPr>
          <w:rFonts w:eastAsia="MS Mincho"/>
          <w:sz w:val="20"/>
          <w:szCs w:val="22"/>
          <w:lang w:val="en-GB" w:eastAsia="ja-JP"/>
        </w:rPr>
        <w:t xml:space="preserve"> 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Dove</w:t>
      </w:r>
      <w:r w:rsidR="00691BFF" w:rsidRPr="00C96521">
        <w:rPr>
          <w:rFonts w:eastAsia="MS Mincho" w:cs="Arial"/>
          <w:sz w:val="20"/>
          <w:szCs w:val="22"/>
          <w:lang w:val="en-GB" w:eastAsia="ja-JP"/>
        </w:rPr>
        <w:t xml:space="preserve"> </w:t>
      </w:r>
      <w:r w:rsidRPr="00C96521">
        <w:rPr>
          <w:rFonts w:eastAsia="MS Mincho"/>
          <w:sz w:val="20"/>
          <w:szCs w:val="22"/>
          <w:lang w:val="en-GB" w:eastAsia="ja-JP"/>
        </w:rPr>
        <w:t xml:space="preserve">is a widespread species, but the population abundance index for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w:t>
      </w:r>
      <w:r w:rsidR="00691BFF" w:rsidRPr="00C96521">
        <w:rPr>
          <w:rFonts w:eastAsia="MS Mincho" w:cs="Arial"/>
          <w:sz w:val="20"/>
          <w:szCs w:val="22"/>
          <w:lang w:val="en-GB" w:eastAsia="ja-JP"/>
        </w:rPr>
        <w:t xml:space="preserve">ove </w:t>
      </w:r>
      <w:r w:rsidRPr="00C96521">
        <w:rPr>
          <w:rFonts w:eastAsia="MS Mincho"/>
          <w:sz w:val="20"/>
          <w:szCs w:val="22"/>
          <w:lang w:val="en-GB" w:eastAsia="ja-JP"/>
        </w:rPr>
        <w:t>between 1994 and 2013 was 0.87 (standard error 0.03) signalling a statistically significant average rate of decline of roughly 13</w:t>
      </w:r>
      <w:r w:rsidR="00691BFF">
        <w:rPr>
          <w:rFonts w:eastAsia="MS Mincho"/>
          <w:sz w:val="20"/>
          <w:szCs w:val="22"/>
          <w:lang w:val="en-GB" w:eastAsia="ja-JP"/>
        </w:rPr>
        <w:t xml:space="preserve"> per cent</w:t>
      </w:r>
      <w:r w:rsidRPr="00C96521">
        <w:rPr>
          <w:rFonts w:eastAsia="MS Mincho"/>
          <w:sz w:val="20"/>
          <w:szCs w:val="22"/>
          <w:lang w:val="en-GB" w:eastAsia="ja-JP"/>
        </w:rPr>
        <w:t xml:space="preserve"> per year (</w:t>
      </w:r>
      <w:hyperlink r:id="rId47" w:history="1">
        <w:r w:rsidRPr="00C96521">
          <w:rPr>
            <w:rFonts w:eastAsia="MS Mincho"/>
            <w:sz w:val="20"/>
            <w:szCs w:val="22"/>
            <w:lang w:val="en-GB" w:eastAsia="ja-JP"/>
          </w:rPr>
          <w:t>Lietuvos Ornitologų Draugija</w:t>
        </w:r>
      </w:hyperlink>
      <w:r w:rsidRPr="00C96521">
        <w:rPr>
          <w:rFonts w:eastAsia="MS Mincho"/>
          <w:sz w:val="20"/>
          <w:szCs w:val="22"/>
          <w:lang w:val="en-GB" w:eastAsia="ja-JP"/>
        </w:rPr>
        <w:t xml:space="preserve"> 2013). The species also declined between 1970 and 1990 (Kurlavičius 2006). </w:t>
      </w:r>
    </w:p>
    <w:p w14:paraId="6D1C41A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00E7622"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Austria/Czech Republic/Hungary/Italy/Poland/Slovakia/Switzerland</w:t>
      </w:r>
    </w:p>
    <w:p w14:paraId="75D6DC7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4ED52456"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An overall population trend for this region is unclear. Several countries have reported stable populations (Italy and Hungary) while other national trends are decreasing (Austria, Czech Republic and Poland).</w:t>
      </w:r>
    </w:p>
    <w:p w14:paraId="61DFE65C"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65953F92" w14:textId="171A43D8"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Austria over the period 2010-2015, the </w:t>
      </w:r>
      <w:r w:rsidR="00691BFF">
        <w:rPr>
          <w:rFonts w:eastAsia="MS Mincho" w:cs="Arial"/>
          <w:sz w:val="20"/>
          <w:szCs w:val="22"/>
          <w:lang w:val="en-GB" w:eastAsia="ja-JP"/>
        </w:rPr>
        <w:t>T</w:t>
      </w:r>
      <w:r w:rsidR="00691BFF" w:rsidRPr="00C96521">
        <w:rPr>
          <w:rFonts w:eastAsia="MS Mincho" w:cs="Arial"/>
          <w:sz w:val="20"/>
          <w:szCs w:val="22"/>
          <w:lang w:val="en-GB" w:eastAsia="ja-JP"/>
        </w:rPr>
        <w:t>urtle</w:t>
      </w:r>
      <w:r w:rsidR="00691BFF">
        <w:rPr>
          <w:rFonts w:eastAsia="MS Mincho" w:cs="Arial"/>
          <w:sz w:val="20"/>
          <w:szCs w:val="22"/>
          <w:lang w:val="en-GB" w:eastAsia="ja-JP"/>
        </w:rPr>
        <w:t xml:space="preserve"> Dove </w:t>
      </w:r>
      <w:r w:rsidRPr="00C96521">
        <w:rPr>
          <w:rFonts w:eastAsia="MS Mincho"/>
          <w:sz w:val="20"/>
          <w:szCs w:val="22"/>
          <w:lang w:val="en-GB" w:eastAsia="ja-JP"/>
        </w:rPr>
        <w:t>underwent a strong decline of 40</w:t>
      </w:r>
      <w:r w:rsidR="00691BFF">
        <w:rPr>
          <w:rFonts w:eastAsia="MS Mincho"/>
          <w:sz w:val="20"/>
          <w:szCs w:val="22"/>
          <w:lang w:val="en-GB" w:eastAsia="ja-JP"/>
        </w:rPr>
        <w:t xml:space="preserve"> per cent</w:t>
      </w:r>
      <w:r w:rsidR="00691BFF" w:rsidRPr="00C96521">
        <w:rPr>
          <w:rFonts w:eastAsia="MS Mincho"/>
          <w:sz w:val="20"/>
          <w:szCs w:val="22"/>
          <w:lang w:val="en-GB" w:eastAsia="ja-JP"/>
        </w:rPr>
        <w:t xml:space="preserve"> </w:t>
      </w:r>
      <w:r w:rsidRPr="00C96521">
        <w:rPr>
          <w:rFonts w:eastAsia="MS Mincho"/>
          <w:sz w:val="20"/>
          <w:szCs w:val="22"/>
          <w:lang w:val="en-GB" w:eastAsia="ja-JP"/>
        </w:rPr>
        <w:t>(annual decline of 9.8</w:t>
      </w:r>
      <w:r w:rsidR="00691BFF">
        <w:rPr>
          <w:rFonts w:eastAsia="MS Mincho"/>
          <w:sz w:val="20"/>
          <w:szCs w:val="22"/>
          <w:lang w:val="en-GB" w:eastAsia="ja-JP"/>
        </w:rPr>
        <w:t xml:space="preserve"> per cent</w:t>
      </w:r>
      <w:r w:rsidRPr="00C96521">
        <w:rPr>
          <w:rFonts w:eastAsia="MS Mincho"/>
          <w:sz w:val="20"/>
          <w:szCs w:val="22"/>
          <w:lang w:val="en-GB" w:eastAsia="ja-JP"/>
        </w:rPr>
        <w:t>) (Teufelbauer and Seaman 2016). Between 1998 and 2015, the species declined 54</w:t>
      </w:r>
      <w:r w:rsidR="00691BFF">
        <w:rPr>
          <w:rFonts w:eastAsia="MS Mincho"/>
          <w:sz w:val="20"/>
          <w:szCs w:val="22"/>
          <w:lang w:val="en-GB" w:eastAsia="ja-JP"/>
        </w:rPr>
        <w:t xml:space="preserve"> per cent</w:t>
      </w:r>
      <w:r w:rsidRPr="00C96521">
        <w:rPr>
          <w:rFonts w:eastAsia="MS Mincho"/>
          <w:sz w:val="20"/>
          <w:szCs w:val="22"/>
          <w:lang w:val="en-GB" w:eastAsia="ja-JP"/>
        </w:rPr>
        <w:t xml:space="preserve"> overall, with an annual decline of 4.7</w:t>
      </w:r>
      <w:r w:rsidR="00691BFF">
        <w:rPr>
          <w:rFonts w:eastAsia="MS Mincho"/>
          <w:sz w:val="20"/>
          <w:szCs w:val="22"/>
          <w:lang w:val="en-GB" w:eastAsia="ja-JP"/>
        </w:rPr>
        <w:t xml:space="preserve"> per cent</w:t>
      </w:r>
      <w:r w:rsidRPr="00C96521">
        <w:rPr>
          <w:rFonts w:eastAsia="MS Mincho"/>
          <w:sz w:val="20"/>
          <w:szCs w:val="22"/>
          <w:lang w:val="en-GB" w:eastAsia="ja-JP"/>
        </w:rPr>
        <w:t xml:space="preserve">. The species is mainly found in the east of the country (Dvorak </w:t>
      </w:r>
      <w:r w:rsidRPr="00C96521">
        <w:rPr>
          <w:rFonts w:eastAsia="MS Mincho"/>
          <w:i/>
          <w:sz w:val="20"/>
          <w:szCs w:val="22"/>
          <w:lang w:val="en-GB" w:eastAsia="ja-JP"/>
        </w:rPr>
        <w:t>et al</w:t>
      </w:r>
      <w:r w:rsidRPr="00C96521">
        <w:rPr>
          <w:rFonts w:eastAsia="MS Mincho"/>
          <w:sz w:val="20"/>
          <w:szCs w:val="22"/>
          <w:lang w:val="en-GB" w:eastAsia="ja-JP"/>
        </w:rPr>
        <w:t xml:space="preserve"> 1993).</w:t>
      </w:r>
    </w:p>
    <w:p w14:paraId="29B4B050"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13DCB299" w14:textId="71BD552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Considered a species of farmland in the Czech Republic, the population is undergoing a slight decrease (CSO/JPSP 2015). Over the period 1982-2005, the species had an average annual population change of -2.81</w:t>
      </w:r>
      <w:r w:rsidR="00FB0078">
        <w:rPr>
          <w:rFonts w:eastAsia="MS Mincho"/>
          <w:sz w:val="20"/>
          <w:szCs w:val="22"/>
          <w:lang w:val="en-GB" w:eastAsia="ja-JP"/>
        </w:rPr>
        <w:t xml:space="preserve"> per cent</w:t>
      </w:r>
      <w:r w:rsidR="00FB0078" w:rsidRPr="00C96521">
        <w:rPr>
          <w:rFonts w:eastAsia="MS Mincho"/>
          <w:sz w:val="20"/>
          <w:szCs w:val="22"/>
          <w:lang w:val="en-GB" w:eastAsia="ja-JP"/>
        </w:rPr>
        <w:t xml:space="preserve"> </w:t>
      </w:r>
      <w:r w:rsidRPr="00C96521">
        <w:rPr>
          <w:rFonts w:eastAsia="MS Mincho"/>
          <w:sz w:val="20"/>
          <w:szCs w:val="22"/>
          <w:lang w:val="en-GB" w:eastAsia="ja-JP"/>
        </w:rPr>
        <w:t xml:space="preserve">(lower limit of confidence interval 0.96, upper limit 0.98) which was considered a moderate decline (Reif </w:t>
      </w:r>
      <w:r w:rsidRPr="00C96521">
        <w:rPr>
          <w:rFonts w:eastAsia="MS Mincho"/>
          <w:i/>
          <w:sz w:val="20"/>
          <w:szCs w:val="22"/>
          <w:lang w:val="en-GB" w:eastAsia="ja-JP"/>
        </w:rPr>
        <w:t>et al</w:t>
      </w:r>
      <w:r w:rsidRPr="00C96521">
        <w:rPr>
          <w:rFonts w:eastAsia="MS Mincho"/>
          <w:sz w:val="20"/>
          <w:szCs w:val="22"/>
          <w:lang w:val="en-GB" w:eastAsia="ja-JP"/>
        </w:rPr>
        <w:t xml:space="preserve"> 2006). Comparison between the 1973-1977 and 1985-1989 breeding atlas shows that the number of squares occupied by the species remained similar in both periods (Štastný </w:t>
      </w:r>
      <w:r w:rsidRPr="00C96521">
        <w:rPr>
          <w:rFonts w:eastAsia="MS Mincho"/>
          <w:i/>
          <w:sz w:val="20"/>
          <w:szCs w:val="22"/>
          <w:lang w:val="en-GB" w:eastAsia="ja-JP"/>
        </w:rPr>
        <w:t>et al</w:t>
      </w:r>
      <w:r w:rsidRPr="00C96521">
        <w:rPr>
          <w:rFonts w:eastAsia="MS Mincho"/>
          <w:sz w:val="20"/>
          <w:szCs w:val="22"/>
          <w:lang w:val="en-GB" w:eastAsia="ja-JP"/>
        </w:rPr>
        <w:t xml:space="preserve"> 1997). The 2001-2003 breeding bird atlas data show that quadrat occupancy did not dropped below 90% on any mapping occasion (Štastný </w:t>
      </w:r>
      <w:r w:rsidRPr="00C96521">
        <w:rPr>
          <w:rFonts w:eastAsia="MS Mincho"/>
          <w:i/>
          <w:sz w:val="20"/>
          <w:szCs w:val="22"/>
          <w:lang w:val="en-GB" w:eastAsia="ja-JP"/>
        </w:rPr>
        <w:t>et al</w:t>
      </w:r>
      <w:r w:rsidRPr="00C96521">
        <w:rPr>
          <w:rFonts w:eastAsia="MS Mincho"/>
          <w:sz w:val="20"/>
          <w:szCs w:val="22"/>
          <w:lang w:val="en-GB" w:eastAsia="ja-JP"/>
        </w:rPr>
        <w:t xml:space="preserve"> 2006).</w:t>
      </w:r>
    </w:p>
    <w:p w14:paraId="14BC60A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9D42AE1" w14:textId="682EC21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Slovakia, the population trend for </w:t>
      </w:r>
      <w:r w:rsidR="00FB0078">
        <w:rPr>
          <w:rFonts w:eastAsia="MS Mincho"/>
          <w:sz w:val="20"/>
          <w:szCs w:val="22"/>
          <w:lang w:val="en-GB" w:eastAsia="ja-JP"/>
        </w:rPr>
        <w:t xml:space="preserve">the </w:t>
      </w:r>
      <w:r w:rsidR="00FB0078">
        <w:rPr>
          <w:rFonts w:eastAsia="MS Mincho" w:cs="Arial"/>
          <w:sz w:val="20"/>
          <w:szCs w:val="22"/>
          <w:lang w:val="en-GB" w:eastAsia="ja-JP"/>
        </w:rPr>
        <w:t>T</w:t>
      </w:r>
      <w:r w:rsidR="00FB0078" w:rsidRPr="00C96521">
        <w:rPr>
          <w:rFonts w:eastAsia="MS Mincho" w:cs="Arial"/>
          <w:sz w:val="20"/>
          <w:szCs w:val="22"/>
          <w:lang w:val="en-GB" w:eastAsia="ja-JP"/>
        </w:rPr>
        <w:t>urtle</w:t>
      </w:r>
      <w:r w:rsidR="00FB0078">
        <w:rPr>
          <w:rFonts w:eastAsia="MS Mincho" w:cs="Arial"/>
          <w:sz w:val="20"/>
          <w:szCs w:val="22"/>
          <w:lang w:val="en-GB" w:eastAsia="ja-JP"/>
        </w:rPr>
        <w:t xml:space="preserve"> D</w:t>
      </w:r>
      <w:r w:rsidR="00FB0078" w:rsidRPr="00C96521">
        <w:rPr>
          <w:rFonts w:eastAsia="MS Mincho" w:cs="Arial"/>
          <w:sz w:val="20"/>
          <w:szCs w:val="22"/>
          <w:lang w:val="en-GB" w:eastAsia="ja-JP"/>
        </w:rPr>
        <w:t xml:space="preserve">ove </w:t>
      </w:r>
      <w:r w:rsidRPr="00C96521">
        <w:rPr>
          <w:rFonts w:eastAsia="MS Mincho"/>
          <w:sz w:val="20"/>
          <w:szCs w:val="22"/>
          <w:lang w:val="en-GB" w:eastAsia="ja-JP"/>
        </w:rPr>
        <w:t xml:space="preserve">is unclear. Although the trends for 2000-2012 and 1980-2012 were reported to be stable in the European Red List of Birds (BirdLife International 2015), analysis of Common Bird Monitoring data for the period 2005-2009 shows that the trend classification was uncertain with a negative tendency (Slabeyová </w:t>
      </w:r>
      <w:r w:rsidRPr="00C96521">
        <w:rPr>
          <w:rFonts w:eastAsia="MS Mincho"/>
          <w:i/>
          <w:sz w:val="20"/>
          <w:szCs w:val="22"/>
          <w:lang w:val="en-GB" w:eastAsia="ja-JP"/>
        </w:rPr>
        <w:t>et al</w:t>
      </w:r>
      <w:r w:rsidRPr="00C96521">
        <w:rPr>
          <w:rFonts w:eastAsia="MS Mincho"/>
          <w:sz w:val="20"/>
          <w:szCs w:val="22"/>
          <w:lang w:val="en-GB" w:eastAsia="ja-JP"/>
        </w:rPr>
        <w:t xml:space="preserve"> 2009). The average annual population change during 2005-2009 was -3.22</w:t>
      </w:r>
      <w:r w:rsidR="00FB0078">
        <w:rPr>
          <w:rFonts w:eastAsia="MS Mincho"/>
          <w:sz w:val="20"/>
          <w:szCs w:val="22"/>
          <w:lang w:val="en-GB" w:eastAsia="ja-JP"/>
        </w:rPr>
        <w:t xml:space="preserve"> per cent</w:t>
      </w:r>
      <w:r w:rsidRPr="00C96521">
        <w:rPr>
          <w:rFonts w:eastAsia="MS Mincho"/>
          <w:sz w:val="20"/>
          <w:szCs w:val="22"/>
          <w:lang w:val="en-GB" w:eastAsia="ja-JP"/>
        </w:rPr>
        <w:t xml:space="preserve"> (confidence intervals of 0.86-1.07). The species breeds mainly in the lowlands and is found in high numbers in the south of the country (e</w:t>
      </w:r>
      <w:r w:rsidR="00FB0078">
        <w:rPr>
          <w:rFonts w:eastAsia="MS Mincho"/>
          <w:sz w:val="20"/>
          <w:szCs w:val="22"/>
          <w:lang w:val="en-GB" w:eastAsia="ja-JP"/>
        </w:rPr>
        <w:t>.</w:t>
      </w:r>
      <w:r w:rsidRPr="00C96521">
        <w:rPr>
          <w:rFonts w:eastAsia="MS Mincho"/>
          <w:sz w:val="20"/>
          <w:szCs w:val="22"/>
          <w:lang w:val="en-GB" w:eastAsia="ja-JP"/>
        </w:rPr>
        <w:t>g</w:t>
      </w:r>
      <w:r w:rsidR="00FB0078">
        <w:rPr>
          <w:rFonts w:eastAsia="MS Mincho"/>
          <w:sz w:val="20"/>
          <w:szCs w:val="22"/>
          <w:lang w:val="en-GB" w:eastAsia="ja-JP"/>
        </w:rPr>
        <w:t>.</w:t>
      </w:r>
      <w:r w:rsidRPr="00C96521">
        <w:rPr>
          <w:rFonts w:eastAsia="MS Mincho"/>
          <w:sz w:val="20"/>
          <w:szCs w:val="22"/>
          <w:lang w:val="en-GB" w:eastAsia="ja-JP"/>
        </w:rPr>
        <w:t xml:space="preserve"> in the Podunajsko region with records of 1.3-3.2 breeding pairs/10 ha in windbreaks) (Danko </w:t>
      </w:r>
      <w:r w:rsidRPr="00C96521">
        <w:rPr>
          <w:rFonts w:eastAsia="MS Mincho"/>
          <w:i/>
          <w:sz w:val="20"/>
          <w:szCs w:val="22"/>
          <w:lang w:val="en-GB" w:eastAsia="ja-JP"/>
        </w:rPr>
        <w:t>et al</w:t>
      </w:r>
      <w:r w:rsidRPr="00C96521">
        <w:rPr>
          <w:rFonts w:eastAsia="MS Mincho"/>
          <w:sz w:val="20"/>
          <w:szCs w:val="22"/>
          <w:lang w:val="en-GB" w:eastAsia="ja-JP"/>
        </w:rPr>
        <w:t xml:space="preserve"> 2002).</w:t>
      </w:r>
    </w:p>
    <w:p w14:paraId="7B7DAF2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FB5A54B" w14:textId="5774353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Hungary, the population is estimated to be stable, with an annual trend of -0.26</w:t>
      </w:r>
      <w:r w:rsidR="00FB0078">
        <w:rPr>
          <w:rFonts w:eastAsia="MS Mincho"/>
          <w:sz w:val="20"/>
          <w:szCs w:val="22"/>
          <w:lang w:val="en-GB" w:eastAsia="ja-JP"/>
        </w:rPr>
        <w:t xml:space="preserve"> per cent</w:t>
      </w:r>
      <w:r w:rsidRPr="00C96521">
        <w:rPr>
          <w:rFonts w:eastAsia="MS Mincho"/>
          <w:sz w:val="20"/>
          <w:szCs w:val="22"/>
          <w:lang w:val="en-GB" w:eastAsia="ja-JP"/>
        </w:rPr>
        <w:t xml:space="preserve"> (Mindennapi Madaraink Monitoringja 2016).</w:t>
      </w:r>
    </w:p>
    <w:p w14:paraId="1692E93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D09BAF3" w14:textId="5C5F0C3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Although the population for breeding </w:t>
      </w:r>
      <w:r w:rsidR="00FB0078">
        <w:rPr>
          <w:rFonts w:eastAsia="MS Mincho" w:cs="Arial"/>
          <w:sz w:val="20"/>
          <w:szCs w:val="22"/>
          <w:lang w:val="en-GB" w:eastAsia="ja-JP"/>
        </w:rPr>
        <w:t>T</w:t>
      </w:r>
      <w:r w:rsidR="00FB0078" w:rsidRPr="00C96521">
        <w:rPr>
          <w:rFonts w:eastAsia="MS Mincho" w:cs="Arial"/>
          <w:sz w:val="20"/>
          <w:szCs w:val="22"/>
          <w:lang w:val="en-GB" w:eastAsia="ja-JP"/>
        </w:rPr>
        <w:t>urtle</w:t>
      </w:r>
      <w:r w:rsidR="00FB0078">
        <w:rPr>
          <w:rFonts w:eastAsia="MS Mincho" w:cs="Arial"/>
          <w:sz w:val="20"/>
          <w:szCs w:val="22"/>
          <w:lang w:val="en-GB" w:eastAsia="ja-JP"/>
        </w:rPr>
        <w:t xml:space="preserve"> D</w:t>
      </w:r>
      <w:r w:rsidR="00FB0078" w:rsidRPr="00C96521">
        <w:rPr>
          <w:rFonts w:eastAsia="MS Mincho" w:cs="Arial"/>
          <w:sz w:val="20"/>
          <w:szCs w:val="22"/>
          <w:lang w:val="en-GB" w:eastAsia="ja-JP"/>
        </w:rPr>
        <w:t xml:space="preserve">oves </w:t>
      </w:r>
      <w:r w:rsidRPr="00C96521">
        <w:rPr>
          <w:rFonts w:eastAsia="MS Mincho"/>
          <w:sz w:val="20"/>
          <w:szCs w:val="22"/>
          <w:lang w:val="en-GB" w:eastAsia="ja-JP"/>
        </w:rPr>
        <w:t xml:space="preserve">in Italy is estimated to be stable by the MITO2000 project (Rete Rurale Nazionale and LIPU 2015, MITO2000 2016), when this information was considered for the Reporting of the Birds Directive (Nardelli </w:t>
      </w:r>
      <w:r w:rsidRPr="00C96521">
        <w:rPr>
          <w:rFonts w:eastAsia="MS Mincho"/>
          <w:i/>
          <w:sz w:val="20"/>
          <w:szCs w:val="22"/>
          <w:lang w:val="en-GB" w:eastAsia="ja-JP"/>
        </w:rPr>
        <w:t>et al</w:t>
      </w:r>
      <w:r w:rsidRPr="00C96521">
        <w:rPr>
          <w:rFonts w:eastAsia="MS Mincho"/>
          <w:sz w:val="20"/>
          <w:szCs w:val="22"/>
          <w:lang w:val="en-GB" w:eastAsia="ja-JP"/>
        </w:rPr>
        <w:t xml:space="preserve"> 2015), the Lega Italiana Protezione Uccelli and the Istituto Superiore per la Protezione e la Ricerca Ambientale decided to describe both the short- and long-term trends as unknown, due to insufficient data. According to the 1983-1987 Breeding Bird Atlas (Meschini and Frugis 1993) and Brichetti and Fracasso (2006) the species was distributed along the entire Italian peninsula with small exceptions in the far north (Alps) and south, where the species was either not present or present in small numbers.</w:t>
      </w:r>
    </w:p>
    <w:p w14:paraId="1955B93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AE807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Poland, the species underwent a moderate decline between 2000 and 2014 (Monitoring Ptaków Polski 2015). The population index in 2014 was 0.63 compared to 1 in 2000. The 1985-2004 Breeding Bird Atlas describes the species as very widespread (Sikora </w:t>
      </w:r>
      <w:r w:rsidRPr="00C96521">
        <w:rPr>
          <w:rFonts w:eastAsia="MS Mincho"/>
          <w:i/>
          <w:sz w:val="20"/>
          <w:szCs w:val="22"/>
          <w:lang w:val="en-GB" w:eastAsia="ja-JP"/>
        </w:rPr>
        <w:t>et al</w:t>
      </w:r>
      <w:r w:rsidRPr="00C96521">
        <w:rPr>
          <w:rFonts w:eastAsia="MS Mincho"/>
          <w:sz w:val="20"/>
          <w:szCs w:val="22"/>
          <w:lang w:val="en-GB" w:eastAsia="ja-JP"/>
        </w:rPr>
        <w:t xml:space="preserve"> 2007). In the 19</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century it was the most common dove species in Poland, but numbers have declined since then.</w:t>
      </w:r>
    </w:p>
    <w:p w14:paraId="298426A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DCAEBEB" w14:textId="53692ABB"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population in Switzerland fluctuated over the period 1990-2015, with the species generally in decline since about 1996, with a sharp decline exhibited in 2008 (Vogelwarte 2016a). However, from 1985 to the late 1990s the population increased (Schmid </w:t>
      </w:r>
      <w:r w:rsidRPr="00C96521">
        <w:rPr>
          <w:rFonts w:eastAsia="MS Mincho"/>
          <w:i/>
          <w:sz w:val="20"/>
          <w:szCs w:val="22"/>
          <w:lang w:val="en-GB" w:eastAsia="ja-JP"/>
        </w:rPr>
        <w:t>et al</w:t>
      </w:r>
      <w:r w:rsidRPr="00C96521">
        <w:rPr>
          <w:rFonts w:eastAsia="MS Mincho"/>
          <w:sz w:val="20"/>
          <w:szCs w:val="22"/>
          <w:lang w:val="en-GB" w:eastAsia="ja-JP"/>
        </w:rPr>
        <w:t xml:space="preserve"> 2001). Analysis of three atlas publications in Switzerland (1950-1959, 1972-1976 and 1993-1996) shows that the distribution of </w:t>
      </w:r>
      <w:r w:rsidR="00FB0078">
        <w:rPr>
          <w:rFonts w:eastAsia="MS Mincho"/>
          <w:sz w:val="20"/>
          <w:szCs w:val="22"/>
          <w:lang w:val="en-GB" w:eastAsia="ja-JP"/>
        </w:rPr>
        <w:t>T</w:t>
      </w:r>
      <w:r w:rsidRPr="00C96521">
        <w:rPr>
          <w:rFonts w:eastAsia="MS Mincho"/>
          <w:sz w:val="20"/>
          <w:szCs w:val="22"/>
          <w:lang w:val="en-GB" w:eastAsia="ja-JP"/>
        </w:rPr>
        <w:t>urtle</w:t>
      </w:r>
      <w:r w:rsidR="00FB0078">
        <w:rPr>
          <w:rFonts w:eastAsia="MS Mincho"/>
          <w:sz w:val="20"/>
          <w:szCs w:val="22"/>
          <w:lang w:val="en-GB" w:eastAsia="ja-JP"/>
        </w:rPr>
        <w:t xml:space="preserve"> D</w:t>
      </w:r>
      <w:r w:rsidRPr="00C96521">
        <w:rPr>
          <w:rFonts w:eastAsia="MS Mincho"/>
          <w:sz w:val="20"/>
          <w:szCs w:val="22"/>
          <w:lang w:val="en-GB" w:eastAsia="ja-JP"/>
        </w:rPr>
        <w:t>ove</w:t>
      </w:r>
      <w:r w:rsidR="00FB0078">
        <w:rPr>
          <w:rFonts w:eastAsia="MS Mincho"/>
          <w:sz w:val="20"/>
          <w:szCs w:val="22"/>
          <w:lang w:val="en-GB" w:eastAsia="ja-JP"/>
        </w:rPr>
        <w:t>s</w:t>
      </w:r>
      <w:r w:rsidRPr="00C96521">
        <w:rPr>
          <w:rFonts w:eastAsia="MS Mincho"/>
          <w:sz w:val="20"/>
          <w:szCs w:val="22"/>
          <w:lang w:val="en-GB" w:eastAsia="ja-JP"/>
        </w:rPr>
        <w:t xml:space="preserve"> remained generally similar over the whole period,</w:t>
      </w:r>
      <w:r w:rsidR="00FB0078">
        <w:rPr>
          <w:rFonts w:eastAsia="MS Mincho"/>
          <w:sz w:val="20"/>
          <w:szCs w:val="22"/>
          <w:lang w:val="en-GB" w:eastAsia="ja-JP"/>
        </w:rPr>
        <w:t xml:space="preserve"> </w:t>
      </w:r>
      <w:r w:rsidRPr="00C96521">
        <w:rPr>
          <w:rFonts w:eastAsia="MS Mincho"/>
          <w:sz w:val="20"/>
          <w:szCs w:val="22"/>
          <w:lang w:val="en-GB" w:eastAsia="ja-JP"/>
        </w:rPr>
        <w:t xml:space="preserve">with some losses in central Switzerland between the 1972-1976 atlas and the 1993-1996 atlas. In the 1950s, the </w:t>
      </w:r>
      <w:r w:rsidR="00FB0078">
        <w:rPr>
          <w:rFonts w:eastAsia="MS Mincho"/>
          <w:sz w:val="20"/>
          <w:szCs w:val="22"/>
          <w:lang w:val="en-GB" w:eastAsia="ja-JP"/>
        </w:rPr>
        <w:t>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ove</w:t>
      </w:r>
      <w:r w:rsidR="00FB0078">
        <w:rPr>
          <w:rFonts w:eastAsia="MS Mincho"/>
          <w:sz w:val="20"/>
          <w:szCs w:val="22"/>
          <w:lang w:val="en-GB" w:eastAsia="ja-JP"/>
        </w:rPr>
        <w:t>’s</w:t>
      </w:r>
      <w:r w:rsidR="00FB0078" w:rsidRPr="00C96521">
        <w:rPr>
          <w:rFonts w:eastAsia="MS Mincho"/>
          <w:sz w:val="20"/>
          <w:szCs w:val="22"/>
          <w:lang w:val="en-GB" w:eastAsia="ja-JP"/>
        </w:rPr>
        <w:t xml:space="preserve"> </w:t>
      </w:r>
      <w:r w:rsidRPr="00C96521">
        <w:rPr>
          <w:rFonts w:eastAsia="MS Mincho"/>
          <w:sz w:val="20"/>
          <w:szCs w:val="22"/>
          <w:lang w:val="en-GB" w:eastAsia="ja-JP"/>
        </w:rPr>
        <w:t xml:space="preserve">range was patchy, being found in areas with a mild climate in the west and south of the country. Numbers increased after the mid-1950s, particularly in the Plaine de l’Orbe in the Vaud canton as well as on the Rhône plain. In the 1993-1996 atlas, breeding was more irregular in eastern Switzerland with a slight negative trend (Schmid </w:t>
      </w:r>
      <w:r w:rsidRPr="00C96521">
        <w:rPr>
          <w:rFonts w:eastAsia="MS Mincho"/>
          <w:i/>
          <w:sz w:val="20"/>
          <w:szCs w:val="22"/>
          <w:lang w:val="en-GB" w:eastAsia="ja-JP"/>
        </w:rPr>
        <w:t>et al</w:t>
      </w:r>
      <w:r w:rsidRPr="00C96521">
        <w:rPr>
          <w:rFonts w:eastAsia="MS Mincho"/>
          <w:sz w:val="20"/>
          <w:szCs w:val="22"/>
          <w:lang w:val="en-GB" w:eastAsia="ja-JP"/>
        </w:rPr>
        <w:t xml:space="preserve"> 2001).</w:t>
      </w:r>
    </w:p>
    <w:p w14:paraId="7CC972C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74454E4" w14:textId="068D220E"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Albania, Bosnia and Herzegovina, Croatia, Greece, Kosovo</w:t>
      </w:r>
      <w:r w:rsidR="005D6A2A">
        <w:rPr>
          <w:rFonts w:eastAsia="MS Mincho"/>
          <w:b/>
          <w:sz w:val="20"/>
          <w:szCs w:val="22"/>
          <w:lang w:val="en-GB" w:eastAsia="ja-JP"/>
        </w:rPr>
        <w:t xml:space="preserve"> (UN Res 1244)</w:t>
      </w:r>
      <w:r w:rsidRPr="00C96521">
        <w:rPr>
          <w:rFonts w:eastAsia="MS Mincho"/>
          <w:b/>
          <w:sz w:val="20"/>
          <w:szCs w:val="22"/>
          <w:lang w:val="en-GB" w:eastAsia="ja-JP"/>
        </w:rPr>
        <w:t>, Montenegro, Serbia, Slovenia</w:t>
      </w:r>
      <w:r w:rsidR="00FB0078">
        <w:rPr>
          <w:rFonts w:eastAsia="MS Mincho"/>
          <w:b/>
          <w:sz w:val="20"/>
          <w:szCs w:val="22"/>
          <w:lang w:val="en-GB" w:eastAsia="ja-JP"/>
        </w:rPr>
        <w:t>, the FYR</w:t>
      </w:r>
      <w:r w:rsidR="00FB0078" w:rsidRPr="00FB0078">
        <w:rPr>
          <w:rFonts w:eastAsia="MS Mincho"/>
          <w:b/>
          <w:sz w:val="20"/>
          <w:szCs w:val="22"/>
          <w:lang w:val="en-GB" w:eastAsia="ja-JP"/>
        </w:rPr>
        <w:t xml:space="preserve"> </w:t>
      </w:r>
      <w:r w:rsidR="00FB0078" w:rsidRPr="00C96521">
        <w:rPr>
          <w:rFonts w:eastAsia="MS Mincho"/>
          <w:b/>
          <w:sz w:val="20"/>
          <w:szCs w:val="22"/>
          <w:lang w:val="en-GB" w:eastAsia="ja-JP"/>
        </w:rPr>
        <w:t>Macedonia</w:t>
      </w:r>
    </w:p>
    <w:p w14:paraId="7379958D"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1A6B438D"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 xml:space="preserve">Information on the population trend or distribution of the species in this group of countries is limited. The species has undergone a steep decline in Slovenia, but is considered Least Concern in Romania. In </w:t>
      </w:r>
      <w:r w:rsidRPr="00C96521">
        <w:rPr>
          <w:rFonts w:eastAsia="MS Mincho"/>
          <w:i/>
          <w:sz w:val="20"/>
          <w:szCs w:val="22"/>
          <w:lang w:val="en-GB" w:eastAsia="ja-JP"/>
        </w:rPr>
        <w:lastRenderedPageBreak/>
        <w:t>Greece it is a widespread breeding bird, but much commoner on passage, particularly during the spring when large numbers of birds stage on the Greek islands.</w:t>
      </w:r>
    </w:p>
    <w:p w14:paraId="200B3F7B"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6A8F218E" w14:textId="12592FA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w:t>
      </w:r>
      <w:r w:rsidR="00FB0078">
        <w:rPr>
          <w:rFonts w:eastAsia="MS Mincho"/>
          <w:sz w:val="20"/>
          <w:szCs w:val="22"/>
          <w:lang w:val="en-GB" w:eastAsia="ja-JP"/>
        </w:rPr>
        <w:t>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ove</w:t>
      </w:r>
      <w:r w:rsidR="00FB0078">
        <w:rPr>
          <w:rFonts w:eastAsia="MS Mincho"/>
          <w:sz w:val="20"/>
          <w:szCs w:val="22"/>
          <w:lang w:val="en-GB" w:eastAsia="ja-JP"/>
        </w:rPr>
        <w:t xml:space="preserve"> </w:t>
      </w:r>
      <w:r w:rsidRPr="00C96521">
        <w:rPr>
          <w:rFonts w:eastAsia="MS Mincho"/>
          <w:sz w:val="20"/>
          <w:szCs w:val="22"/>
          <w:lang w:val="en-GB" w:eastAsia="ja-JP"/>
        </w:rPr>
        <w:t>maintains high breeding densities in central Greece (Thessaly), and most of its breeding population in north-eastern Greece (Evros region) shows a stable and/or low (</w:t>
      </w:r>
      <w:r w:rsidRPr="00C96521">
        <w:rPr>
          <w:rFonts w:eastAsia="MS Mincho" w:cs="Arial"/>
          <w:sz w:val="20"/>
          <w:szCs w:val="22"/>
          <w:lang w:val="en-GB" w:eastAsia="ja-JP"/>
        </w:rPr>
        <w:t xml:space="preserve">±5) </w:t>
      </w:r>
      <w:r w:rsidRPr="00C96521">
        <w:rPr>
          <w:rFonts w:eastAsia="MS Mincho"/>
          <w:sz w:val="20"/>
          <w:szCs w:val="22"/>
          <w:lang w:val="en-GB" w:eastAsia="ja-JP"/>
        </w:rPr>
        <w:t xml:space="preserve">declining trend during the last 15 years (Dimitris Bakaloudis </w:t>
      </w:r>
      <w:r w:rsidRPr="00C96521">
        <w:rPr>
          <w:rFonts w:eastAsia="MS Mincho"/>
          <w:i/>
          <w:sz w:val="20"/>
          <w:szCs w:val="22"/>
          <w:lang w:val="en-GB" w:eastAsia="ja-JP"/>
        </w:rPr>
        <w:t>pers comm</w:t>
      </w:r>
      <w:r w:rsidRPr="00C96521">
        <w:rPr>
          <w:rFonts w:eastAsia="MS Mincho"/>
          <w:sz w:val="20"/>
          <w:szCs w:val="22"/>
          <w:lang w:val="en-GB" w:eastAsia="ja-JP"/>
        </w:rPr>
        <w:t>). It is reported to breed over much of the Greek mainland, being widespread and common in Macedonia and Thrace but more thinly distributed farther south and rather uncommon across much of the Peloponnese (Handrinos and Akriotis 1997). The species is much commoner on passage in Greece, particularly during spring migration. It moves on a broad front, but large numbers can be found along the coast, particularly in western Greece. In spring, birds pass through Zakynthos, Kefallinia and the Strofades islets, the first landing site after crossing the Mediterranean from more southerly wintering areas. Large numbers of birds have been recorded stopping on or passing over the Strofades in spring: an estimated 5,000 birds recorded on the main island in 1995 and a further 5,000 passing over the islands (Schogolev and Dimaki, in Handrinos and Akriotis 1997).</w:t>
      </w:r>
    </w:p>
    <w:p w14:paraId="1007368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FC4A39F"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Slovenia, the population underwent a steep decline with a multiplicative annual slope of 0.87 over the period 2008-2015 (Kmecl and Figelj 2015). However, in the 1995 Breeding Bird Atlas the species was described as common with a stable trend (Geister 1995). It is most common in the east of the country, especially Dolenjska, Bela Krajina, Kozjansko, and Prekmurje. It is also common in the south-western part of the county, especially in the Slovene part of Istria (Mihelič 2013). </w:t>
      </w:r>
    </w:p>
    <w:p w14:paraId="35C61A4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BE9DD19" w14:textId="3AD6F37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No population trend is available for Albania, Bosnia and Herzegovina, Croatia, Kosovo, Montenegro, Serbia</w:t>
      </w:r>
      <w:r w:rsidR="00FB0078">
        <w:rPr>
          <w:rFonts w:eastAsia="MS Mincho"/>
          <w:sz w:val="20"/>
          <w:szCs w:val="22"/>
          <w:lang w:val="en-GB" w:eastAsia="ja-JP"/>
        </w:rPr>
        <w:t xml:space="preserve"> or the FYR </w:t>
      </w:r>
      <w:r w:rsidR="00FB0078" w:rsidRPr="00C96521">
        <w:rPr>
          <w:rFonts w:eastAsia="MS Mincho"/>
          <w:sz w:val="20"/>
          <w:szCs w:val="22"/>
          <w:lang w:val="en-GB" w:eastAsia="ja-JP"/>
        </w:rPr>
        <w:t>Macedonia</w:t>
      </w:r>
      <w:r w:rsidRPr="00C96521">
        <w:rPr>
          <w:rFonts w:eastAsia="MS Mincho"/>
          <w:sz w:val="20"/>
          <w:szCs w:val="22"/>
          <w:lang w:val="en-GB" w:eastAsia="ja-JP"/>
        </w:rPr>
        <w:t xml:space="preserve">. However, it is considered Least Concern on the national Red List for Croatia (Tutiš </w:t>
      </w:r>
      <w:r w:rsidRPr="00C96521">
        <w:rPr>
          <w:rFonts w:eastAsia="MS Mincho"/>
          <w:i/>
          <w:sz w:val="20"/>
          <w:szCs w:val="22"/>
          <w:lang w:val="en-GB" w:eastAsia="ja-JP"/>
        </w:rPr>
        <w:t>et al</w:t>
      </w:r>
      <w:r w:rsidRPr="00C96521">
        <w:rPr>
          <w:rFonts w:eastAsia="MS Mincho"/>
          <w:sz w:val="20"/>
          <w:szCs w:val="22"/>
          <w:lang w:val="en-GB" w:eastAsia="ja-JP"/>
        </w:rPr>
        <w:t xml:space="preserve"> 2013). </w:t>
      </w:r>
    </w:p>
    <w:p w14:paraId="25D3C56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847BDAE" w14:textId="631CA7BE"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 xml:space="preserve">Armenia, Azerbaijan, Belarus, Bulgaria, Cyprus, Georgia, </w:t>
      </w:r>
      <w:r w:rsidR="00FB0078">
        <w:rPr>
          <w:rFonts w:eastAsia="MS Mincho"/>
          <w:b/>
          <w:sz w:val="20"/>
          <w:szCs w:val="22"/>
          <w:lang w:val="en-GB" w:eastAsia="ja-JP"/>
        </w:rPr>
        <w:t xml:space="preserve">Republic of </w:t>
      </w:r>
      <w:r w:rsidRPr="00C96521">
        <w:rPr>
          <w:rFonts w:eastAsia="MS Mincho"/>
          <w:b/>
          <w:sz w:val="20"/>
          <w:szCs w:val="22"/>
          <w:lang w:val="en-GB" w:eastAsia="ja-JP"/>
        </w:rPr>
        <w:t>Moldova, Romania, Russia</w:t>
      </w:r>
      <w:r w:rsidR="00FB0078">
        <w:rPr>
          <w:rFonts w:eastAsia="MS Mincho"/>
          <w:b/>
          <w:sz w:val="20"/>
          <w:szCs w:val="22"/>
          <w:lang w:val="en-GB" w:eastAsia="ja-JP"/>
        </w:rPr>
        <w:t>n Federation</w:t>
      </w:r>
      <w:r w:rsidRPr="00C96521">
        <w:rPr>
          <w:rFonts w:eastAsia="MS Mincho"/>
          <w:b/>
          <w:sz w:val="20"/>
          <w:szCs w:val="22"/>
          <w:lang w:val="en-GB" w:eastAsia="ja-JP"/>
        </w:rPr>
        <w:t xml:space="preserve">, Turkey, Ukraine </w:t>
      </w:r>
    </w:p>
    <w:p w14:paraId="034492D5"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78C1A7F4"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The overall picture for this region is unclear. The population in Bulgaria was stable from 2005 to 2015. Good information is lacking for a number of countries (Armenia, Azerbaijan, Belarus, Georgia, Russia and Ukraine) while the trend is uncertain for Cyprus. The Turkish population is apparently in decline while numbers in Moldova and Romania have increased.</w:t>
      </w:r>
    </w:p>
    <w:p w14:paraId="38552CC9"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36A3F03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population trend for the species in Bulgaria over the period 2005-2015 was stable (Hristov 2015), and the species has a broad distribution across the country (Iankov 2007). Historically, the species was described as widely distributed at the end of the 19</w:t>
      </w:r>
      <w:r w:rsidRPr="00C96521">
        <w:rPr>
          <w:rFonts w:eastAsia="MS Mincho"/>
          <w:sz w:val="20"/>
          <w:szCs w:val="22"/>
          <w:vertAlign w:val="superscript"/>
          <w:lang w:val="en-GB" w:eastAsia="ja-JP"/>
        </w:rPr>
        <w:t xml:space="preserve">th </w:t>
      </w:r>
      <w:r w:rsidRPr="00C96521">
        <w:rPr>
          <w:rFonts w:eastAsia="MS Mincho"/>
          <w:sz w:val="20"/>
          <w:szCs w:val="22"/>
          <w:lang w:val="en-GB" w:eastAsia="ja-JP"/>
        </w:rPr>
        <w:t>century, in the first half of the 20</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and at the middle of the 20</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century. During the second half of the 20</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century, the distribution was similar to that of the first half, but it is likely that there were some reductions in occupied territories in higher mountain areas. In terms of the national population trend, there is some evidence (based on the frequency of sightings) that the species may have decreased slightly over the period 1970-1990. However, the lack of data collected through coordinated national census work means that it is not possible to confirm this (Iankov 2007).</w:t>
      </w:r>
    </w:p>
    <w:p w14:paraId="4A43359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F6C9464" w14:textId="619FFBA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Cyprus, the overall trend for the species over the period 2006-2015 was uncertain with the population exhibiting increases, decreases, and periods of stability over the 10</w:t>
      </w:r>
      <w:r w:rsidR="00FB0078">
        <w:rPr>
          <w:rFonts w:eastAsia="MS Mincho"/>
          <w:sz w:val="20"/>
          <w:szCs w:val="22"/>
          <w:lang w:val="en-GB" w:eastAsia="ja-JP"/>
        </w:rPr>
        <w:t>-</w:t>
      </w:r>
      <w:r w:rsidRPr="00C96521">
        <w:rPr>
          <w:rFonts w:eastAsia="MS Mincho"/>
          <w:sz w:val="20"/>
          <w:szCs w:val="22"/>
          <w:lang w:val="en-GB" w:eastAsia="ja-JP"/>
        </w:rPr>
        <w:t>year period (Hellicar 2016). The trend for the species in farmland and forest habitats was equally uncertain.</w:t>
      </w:r>
    </w:p>
    <w:p w14:paraId="5385775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23F916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species is considered common in Moldova and in recent years the population has increased (Munteanu and Zubcov 2010). An ongoing monitoring programme is underway and will be completed in 2018, which will allow the population trend to be updated (Vitalie Grimalschi </w:t>
      </w:r>
      <w:r w:rsidRPr="00C96521">
        <w:rPr>
          <w:rFonts w:eastAsia="MS Mincho"/>
          <w:i/>
          <w:sz w:val="20"/>
          <w:szCs w:val="22"/>
          <w:lang w:val="en-GB" w:eastAsia="ja-JP"/>
        </w:rPr>
        <w:t>pers comm</w:t>
      </w:r>
      <w:r w:rsidRPr="00C96521">
        <w:rPr>
          <w:rFonts w:eastAsia="MS Mincho"/>
          <w:sz w:val="20"/>
          <w:szCs w:val="22"/>
          <w:lang w:val="en-GB" w:eastAsia="ja-JP"/>
        </w:rPr>
        <w:t>).</w:t>
      </w:r>
    </w:p>
    <w:p w14:paraId="1BBB007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00E2827" w14:textId="10306B4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Romania, the </w:t>
      </w:r>
      <w:r w:rsidR="00FB0078">
        <w:rPr>
          <w:rFonts w:eastAsia="MS Mincho"/>
          <w:sz w:val="20"/>
          <w:szCs w:val="22"/>
          <w:lang w:val="en-GB" w:eastAsia="ja-JP"/>
        </w:rPr>
        <w:t>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ove</w:t>
      </w:r>
      <w:r w:rsidR="00FB0078">
        <w:rPr>
          <w:rFonts w:eastAsia="MS Mincho"/>
          <w:sz w:val="20"/>
          <w:szCs w:val="22"/>
          <w:lang w:val="en-GB" w:eastAsia="ja-JP"/>
        </w:rPr>
        <w:t xml:space="preserve"> </w:t>
      </w:r>
      <w:r w:rsidRPr="00C96521">
        <w:rPr>
          <w:rFonts w:eastAsia="MS Mincho"/>
          <w:sz w:val="20"/>
          <w:szCs w:val="22"/>
          <w:lang w:val="en-GB" w:eastAsia="ja-JP"/>
        </w:rPr>
        <w:t xml:space="preserve">is described as present throughout the country, and the 2002 Breeding Bird Atlas states that the species underwent sharp declines in recent decades (Munteanu 2002). Post-1950, the species underwent continuous declines and is now less numerous in large wooded areas than in the </w:t>
      </w:r>
      <w:r w:rsidRPr="00C96521">
        <w:rPr>
          <w:rFonts w:eastAsia="MS Mincho"/>
          <w:sz w:val="20"/>
          <w:szCs w:val="22"/>
          <w:lang w:val="en-GB" w:eastAsia="ja-JP"/>
        </w:rPr>
        <w:lastRenderedPageBreak/>
        <w:t>first half of the 20</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century (Munteanu 2009). Nesting birds in parks and cities were lost in the 1940s-</w:t>
      </w:r>
      <w:r w:rsidR="00FB0078">
        <w:rPr>
          <w:rFonts w:eastAsia="MS Mincho"/>
          <w:sz w:val="20"/>
          <w:szCs w:val="22"/>
          <w:lang w:val="en-GB" w:eastAsia="ja-JP"/>
        </w:rPr>
        <w:t>‘</w:t>
      </w:r>
      <w:r w:rsidRPr="00C96521">
        <w:rPr>
          <w:rFonts w:eastAsia="MS Mincho"/>
          <w:sz w:val="20"/>
          <w:szCs w:val="22"/>
          <w:lang w:val="en-GB" w:eastAsia="ja-JP"/>
        </w:rPr>
        <w:t xml:space="preserve">50s due to the species being outcompeted by the </w:t>
      </w:r>
      <w:r w:rsidR="00FB0078">
        <w:rPr>
          <w:rFonts w:eastAsia="MS Mincho"/>
          <w:sz w:val="20"/>
          <w:szCs w:val="22"/>
          <w:lang w:val="en-GB" w:eastAsia="ja-JP"/>
        </w:rPr>
        <w:t>C</w:t>
      </w:r>
      <w:r w:rsidR="00FB0078" w:rsidRPr="00C96521">
        <w:rPr>
          <w:rFonts w:eastAsia="MS Mincho"/>
          <w:sz w:val="20"/>
          <w:szCs w:val="22"/>
          <w:lang w:val="en-GB" w:eastAsia="ja-JP"/>
        </w:rPr>
        <w:t xml:space="preserve">ollared </w:t>
      </w:r>
      <w:r w:rsidR="00FB0078">
        <w:rPr>
          <w:rFonts w:eastAsia="MS Mincho"/>
          <w:sz w:val="20"/>
          <w:szCs w:val="22"/>
          <w:lang w:val="en-GB" w:eastAsia="ja-JP"/>
        </w:rPr>
        <w:t>D</w:t>
      </w:r>
      <w:r w:rsidR="00FB0078" w:rsidRPr="00C96521">
        <w:rPr>
          <w:rFonts w:eastAsia="MS Mincho"/>
          <w:sz w:val="20"/>
          <w:szCs w:val="22"/>
          <w:lang w:val="en-GB" w:eastAsia="ja-JP"/>
        </w:rPr>
        <w:t xml:space="preserve">ove </w:t>
      </w:r>
      <w:r w:rsidRPr="00C96521">
        <w:rPr>
          <w:rFonts w:eastAsia="MS Mincho"/>
          <w:sz w:val="20"/>
          <w:szCs w:val="22"/>
          <w:lang w:val="en-GB" w:eastAsia="ja-JP"/>
        </w:rPr>
        <w:t>(</w:t>
      </w:r>
      <w:r w:rsidRPr="00C96521">
        <w:rPr>
          <w:rFonts w:eastAsia="MS Mincho"/>
          <w:i/>
          <w:sz w:val="20"/>
          <w:szCs w:val="22"/>
          <w:lang w:val="en-GB" w:eastAsia="ja-JP"/>
        </w:rPr>
        <w:t>Streptopelia decaocto</w:t>
      </w:r>
      <w:r w:rsidRPr="00C96521">
        <w:rPr>
          <w:rFonts w:eastAsia="MS Mincho"/>
          <w:sz w:val="20"/>
          <w:szCs w:val="22"/>
          <w:lang w:val="en-GB" w:eastAsia="ja-JP"/>
        </w:rPr>
        <w:t xml:space="preserve">) at least in Transylvania and Banat (Munteanu 2009). However, the population for </w:t>
      </w:r>
      <w:r w:rsidR="00FB0078">
        <w:rPr>
          <w:rFonts w:eastAsia="MS Mincho"/>
          <w:sz w:val="20"/>
          <w:szCs w:val="22"/>
          <w:lang w:val="en-GB" w:eastAsia="ja-JP"/>
        </w:rPr>
        <w:t>the 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 xml:space="preserve">ove </w:t>
      </w:r>
      <w:r w:rsidRPr="00C96521">
        <w:rPr>
          <w:rFonts w:eastAsia="MS Mincho"/>
          <w:sz w:val="20"/>
          <w:szCs w:val="22"/>
          <w:lang w:val="en-GB" w:eastAsia="ja-JP"/>
        </w:rPr>
        <w:t>is currently increasing (Petrovici 2015).</w:t>
      </w:r>
    </w:p>
    <w:p w14:paraId="6A27463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FBDBB77" w14:textId="748D1F3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Turkey, the population is apparently in decline (Kirwan </w:t>
      </w:r>
      <w:r w:rsidRPr="00C96521">
        <w:rPr>
          <w:rFonts w:eastAsia="MS Mincho"/>
          <w:i/>
          <w:sz w:val="20"/>
          <w:szCs w:val="22"/>
          <w:lang w:val="en-GB" w:eastAsia="ja-JP"/>
        </w:rPr>
        <w:t>et al</w:t>
      </w:r>
      <w:r w:rsidRPr="00C96521">
        <w:rPr>
          <w:rFonts w:eastAsia="MS Mincho"/>
          <w:sz w:val="20"/>
          <w:szCs w:val="22"/>
          <w:lang w:val="en-GB" w:eastAsia="ja-JP"/>
        </w:rPr>
        <w:t xml:space="preserve"> 2008). It is more common in the west of Turkey and locali</w:t>
      </w:r>
      <w:r w:rsidR="00FB0078">
        <w:rPr>
          <w:rFonts w:eastAsia="MS Mincho"/>
          <w:sz w:val="20"/>
          <w:szCs w:val="22"/>
          <w:lang w:val="en-GB" w:eastAsia="ja-JP"/>
        </w:rPr>
        <w:t>z</w:t>
      </w:r>
      <w:r w:rsidRPr="00C96521">
        <w:rPr>
          <w:rFonts w:eastAsia="MS Mincho"/>
          <w:sz w:val="20"/>
          <w:szCs w:val="22"/>
          <w:lang w:val="en-GB" w:eastAsia="ja-JP"/>
        </w:rPr>
        <w:t>ed in East Anatolia. The species is widespread on passage and can be found in large numbers. It is reported to be abundant on passage through the eastern third of the country, particularly the extreme north-east. There is no evidence of large-scale passage movements at the Bosphorus.</w:t>
      </w:r>
    </w:p>
    <w:p w14:paraId="2CCDBE5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C0CD29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the north of the Caucasus, the species is described as common. However, it does not breed in large numbers (Rouxel 2000).</w:t>
      </w:r>
    </w:p>
    <w:p w14:paraId="42F8F9A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48D3D46" w14:textId="06D8825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overall population estimate for </w:t>
      </w:r>
      <w:r w:rsidR="00FB0078">
        <w:rPr>
          <w:rFonts w:eastAsia="MS Mincho"/>
          <w:sz w:val="20"/>
          <w:szCs w:val="22"/>
          <w:lang w:val="en-GB" w:eastAsia="ja-JP"/>
        </w:rPr>
        <w:t>the 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 xml:space="preserve">ove </w:t>
      </w:r>
      <w:r w:rsidRPr="00C96521">
        <w:rPr>
          <w:rFonts w:eastAsia="MS Mincho"/>
          <w:sz w:val="20"/>
          <w:szCs w:val="22"/>
          <w:lang w:val="en-GB" w:eastAsia="ja-JP"/>
        </w:rPr>
        <w:t>in European Russia decreased from 1</w:t>
      </w:r>
      <w:r w:rsidR="00FB0078">
        <w:rPr>
          <w:rFonts w:eastAsia="MS Mincho"/>
          <w:sz w:val="20"/>
          <w:szCs w:val="22"/>
          <w:lang w:val="en-GB" w:eastAsia="ja-JP"/>
        </w:rPr>
        <w:t xml:space="preserve"> million</w:t>
      </w:r>
      <w:r w:rsidRPr="00C96521">
        <w:rPr>
          <w:rFonts w:eastAsia="MS Mincho"/>
          <w:sz w:val="20"/>
          <w:szCs w:val="22"/>
          <w:lang w:val="en-GB" w:eastAsia="ja-JP"/>
        </w:rPr>
        <w:t>-2.5 million pairs in 2000 (Mischenko 2004) to 30</w:t>
      </w:r>
      <w:r w:rsidR="00FB0078">
        <w:rPr>
          <w:rFonts w:eastAsia="MS Mincho"/>
          <w:sz w:val="20"/>
          <w:szCs w:val="22"/>
          <w:lang w:val="en-GB" w:eastAsia="ja-JP"/>
        </w:rPr>
        <w:t>,000</w:t>
      </w:r>
      <w:r w:rsidRPr="00C96521">
        <w:rPr>
          <w:rFonts w:eastAsia="MS Mincho"/>
          <w:sz w:val="20"/>
          <w:szCs w:val="22"/>
          <w:lang w:val="en-GB" w:eastAsia="ja-JP"/>
        </w:rPr>
        <w:t xml:space="preserve">-80,000 pairs in 2012 (Mischenko </w:t>
      </w:r>
      <w:r w:rsidRPr="00C96521">
        <w:rPr>
          <w:rFonts w:eastAsia="MS Mincho"/>
          <w:i/>
          <w:sz w:val="20"/>
          <w:szCs w:val="22"/>
          <w:lang w:val="en-GB" w:eastAsia="ja-JP"/>
        </w:rPr>
        <w:t>in press</w:t>
      </w:r>
      <w:r w:rsidRPr="00C96521">
        <w:rPr>
          <w:rFonts w:eastAsia="MS Mincho"/>
          <w:sz w:val="20"/>
          <w:szCs w:val="22"/>
          <w:lang w:val="en-GB" w:eastAsia="ja-JP"/>
        </w:rPr>
        <w:t xml:space="preserve">). Fluctuations were recorded in the Kaliningrad population and a decline was detected in the 1930s. However, by the late 1990s it was thought to have stabilised (Rouxel 2000). Karelia represents the northern limit of the species’ distribution in north-west Russia (Rouxel 2000). Production of a European Russian Breeding Atlas is currently underway (Luomus 2016) using data collected from 2005 to 2017 (Zoological Museum of Moscow University 2016), and so more information on the species in </w:t>
      </w:r>
      <w:r w:rsidR="00FB0078">
        <w:rPr>
          <w:rFonts w:eastAsia="MS Mincho"/>
          <w:sz w:val="20"/>
          <w:szCs w:val="22"/>
          <w:lang w:val="en-GB" w:eastAsia="ja-JP"/>
        </w:rPr>
        <w:t xml:space="preserve">the </w:t>
      </w:r>
      <w:r w:rsidRPr="00C96521">
        <w:rPr>
          <w:rFonts w:eastAsia="MS Mincho"/>
          <w:sz w:val="20"/>
          <w:szCs w:val="22"/>
          <w:lang w:val="en-GB" w:eastAsia="ja-JP"/>
        </w:rPr>
        <w:t>Russia</w:t>
      </w:r>
      <w:r w:rsidR="00FB0078">
        <w:rPr>
          <w:rFonts w:eastAsia="MS Mincho"/>
          <w:sz w:val="20"/>
          <w:szCs w:val="22"/>
          <w:lang w:val="en-GB" w:eastAsia="ja-JP"/>
        </w:rPr>
        <w:t>n Federation</w:t>
      </w:r>
      <w:r w:rsidRPr="00C96521">
        <w:rPr>
          <w:rFonts w:eastAsia="MS Mincho"/>
          <w:sz w:val="20"/>
          <w:szCs w:val="22"/>
          <w:lang w:val="en-GB" w:eastAsia="ja-JP"/>
        </w:rPr>
        <w:t xml:space="preserve"> will become available.</w:t>
      </w:r>
    </w:p>
    <w:p w14:paraId="1974919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801AADE" w14:textId="5610FFE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the west of Ukraine, declines of around 20-50</w:t>
      </w:r>
      <w:r w:rsidR="00FB0078">
        <w:rPr>
          <w:rFonts w:eastAsia="MS Mincho"/>
          <w:sz w:val="20"/>
          <w:szCs w:val="22"/>
          <w:lang w:val="en-GB" w:eastAsia="ja-JP"/>
        </w:rPr>
        <w:t xml:space="preserve"> per cent</w:t>
      </w:r>
      <w:r w:rsidR="00FB0078" w:rsidRPr="00C96521">
        <w:rPr>
          <w:rFonts w:eastAsia="MS Mincho"/>
          <w:sz w:val="20"/>
          <w:szCs w:val="22"/>
          <w:lang w:val="en-GB" w:eastAsia="ja-JP"/>
        </w:rPr>
        <w:t xml:space="preserve"> </w:t>
      </w:r>
      <w:r w:rsidRPr="00C96521">
        <w:rPr>
          <w:rFonts w:eastAsia="MS Mincho"/>
          <w:sz w:val="20"/>
          <w:szCs w:val="22"/>
          <w:lang w:val="en-GB" w:eastAsia="ja-JP"/>
        </w:rPr>
        <w:t>were recorded in the late 1990s (Rouxel 2000). However, no more recent population information is available.</w:t>
      </w:r>
    </w:p>
    <w:p w14:paraId="6304C0C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86503C9" w14:textId="1171BB4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No population trend information is available for Armenia, Azerbaijan, Belarus or Georgia. However, the species is described as uncommon in Armenia (Adamian and Klem 1997). It is not present in all habitats in Crimea and is rare in the west of Ukraine, but is noted as a common breeder in the north of the Azov Sea (Rouxel 2000). It is a common in Belarus (Rouxel 2000). Azerbaijan holds about 7</w:t>
      </w:r>
      <w:r w:rsidR="00FB0078">
        <w:rPr>
          <w:rFonts w:eastAsia="MS Mincho"/>
          <w:sz w:val="20"/>
          <w:szCs w:val="22"/>
          <w:lang w:val="en-GB" w:eastAsia="ja-JP"/>
        </w:rPr>
        <w:t xml:space="preserve"> per cent</w:t>
      </w:r>
      <w:r w:rsidR="00FB0078" w:rsidRPr="00C96521">
        <w:rPr>
          <w:rFonts w:eastAsia="MS Mincho"/>
          <w:sz w:val="20"/>
          <w:szCs w:val="22"/>
          <w:lang w:val="en-GB" w:eastAsia="ja-JP"/>
        </w:rPr>
        <w:t xml:space="preserve"> </w:t>
      </w:r>
      <w:r w:rsidRPr="00C96521">
        <w:rPr>
          <w:rFonts w:eastAsia="MS Mincho"/>
          <w:sz w:val="20"/>
          <w:szCs w:val="22"/>
          <w:lang w:val="en-GB" w:eastAsia="ja-JP"/>
        </w:rPr>
        <w:t>of the European breeding population (BirdLife International 2015) and it is a very common nesting species and migrant (Patrikeev 2004), although quantitative trend information is unavailable. Work is underway to collect data on bird distribution and abundance for the second European Breeding Bird Atlas (Gorban 2016) and more information on the species in Ukraine will be available.</w:t>
      </w:r>
    </w:p>
    <w:p w14:paraId="664F204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495C04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FFE02A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br w:type="page"/>
      </w:r>
    </w:p>
    <w:p w14:paraId="4EB9074D"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23" w:name="_Toc478646908"/>
      <w:r w:rsidRPr="00C96521">
        <w:rPr>
          <w:rFonts w:eastAsia="MS Gothic"/>
          <w:b/>
          <w:bCs/>
          <w:color w:val="365F91"/>
          <w:sz w:val="32"/>
          <w:szCs w:val="28"/>
          <w:lang w:val="en-GB" w:eastAsia="ja-JP"/>
        </w:rPr>
        <w:lastRenderedPageBreak/>
        <w:t>Annex 2: PROBLEM ANALYSIS</w:t>
      </w:r>
      <w:bookmarkEnd w:id="23"/>
    </w:p>
    <w:p w14:paraId="2B5A033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739500F"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4" w:name="_Toc478646909"/>
      <w:r w:rsidRPr="00C96521">
        <w:rPr>
          <w:rFonts w:ascii="Cambria" w:eastAsia="MS Gothic" w:hAnsi="Cambria"/>
          <w:b/>
          <w:bCs/>
          <w:color w:val="4F81BD"/>
          <w:sz w:val="26"/>
          <w:szCs w:val="26"/>
          <w:lang w:val="en-GB" w:eastAsia="ja-JP"/>
        </w:rPr>
        <w:t>General overview</w:t>
      </w:r>
      <w:bookmarkEnd w:id="24"/>
    </w:p>
    <w:p w14:paraId="2CC1207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069CD2" w14:textId="0FA8D96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Relative importance of threats is hard to determine as empirical data on the likely drivers of decline is limited for a large number of Range States. However, questionnaires for the development of the Species Status Report (Fisher </w:t>
      </w:r>
      <w:r w:rsidRPr="00C96521">
        <w:rPr>
          <w:rFonts w:eastAsia="MS Mincho"/>
          <w:i/>
          <w:sz w:val="20"/>
          <w:szCs w:val="22"/>
          <w:lang w:val="en-GB" w:eastAsia="ja-JP"/>
        </w:rPr>
        <w:t>et al</w:t>
      </w:r>
      <w:r w:rsidRPr="00C96521">
        <w:rPr>
          <w:rFonts w:eastAsia="MS Mincho"/>
          <w:sz w:val="20"/>
          <w:szCs w:val="22"/>
          <w:lang w:val="en-GB" w:eastAsia="ja-JP"/>
        </w:rPr>
        <w:t xml:space="preserve"> 2016a), expert opinion at the two workshops, and comments on draft documents have indicated that the main threat for the turtle-dove is loss of one or more of food, water and habitat (nesting or roosting during winter), brought about through habitat loss or modification. This is assessed as a Critical threat (</w:t>
      </w:r>
      <w:r w:rsidRPr="00C96521">
        <w:rPr>
          <w:rFonts w:eastAsia="MS Mincho" w:cs="Arial"/>
          <w:sz w:val="20"/>
          <w:szCs w:val="22"/>
          <w:lang w:val="en-GB" w:eastAsia="ja-JP"/>
        </w:rPr>
        <w:t>causing or likely to cause very rapid declines, &gt;30</w:t>
      </w:r>
      <w:r w:rsidR="00FB0078">
        <w:rPr>
          <w:rFonts w:eastAsia="MS Mincho" w:cs="Arial"/>
          <w:sz w:val="20"/>
          <w:szCs w:val="22"/>
          <w:lang w:val="en-GB" w:eastAsia="ja-JP"/>
        </w:rPr>
        <w:t xml:space="preserve"> per cent</w:t>
      </w:r>
      <w:r w:rsidR="00FB0078" w:rsidRPr="00C96521">
        <w:rPr>
          <w:rFonts w:eastAsia="MS Mincho" w:cs="Arial"/>
          <w:sz w:val="20"/>
          <w:szCs w:val="22"/>
          <w:lang w:val="en-GB" w:eastAsia="ja-JP"/>
        </w:rPr>
        <w:t xml:space="preserve"> </w:t>
      </w:r>
      <w:r w:rsidRPr="00C96521">
        <w:rPr>
          <w:rFonts w:eastAsia="MS Mincho" w:cs="Arial"/>
          <w:sz w:val="20"/>
          <w:szCs w:val="22"/>
          <w:lang w:val="en-GB" w:eastAsia="ja-JP"/>
        </w:rPr>
        <w:t>over 10 years</w:t>
      </w:r>
      <w:r w:rsidRPr="00C96521">
        <w:rPr>
          <w:rFonts w:eastAsia="MS Mincho"/>
          <w:sz w:val="20"/>
          <w:szCs w:val="22"/>
          <w:lang w:val="en-GB" w:eastAsia="ja-JP"/>
        </w:rPr>
        <w:t>) on the breeding grounds, and High (</w:t>
      </w:r>
      <w:r w:rsidRPr="00C96521">
        <w:rPr>
          <w:rFonts w:eastAsia="MS Mincho" w:cs="Arial"/>
          <w:sz w:val="20"/>
          <w:szCs w:val="22"/>
          <w:lang w:val="en-GB" w:eastAsia="ja-JP"/>
        </w:rPr>
        <w:t>causing or likely to cause rapid declines, 20-30</w:t>
      </w:r>
      <w:r w:rsidR="00FB0078">
        <w:rPr>
          <w:rFonts w:eastAsia="MS Mincho" w:cs="Arial"/>
          <w:sz w:val="20"/>
          <w:szCs w:val="22"/>
          <w:lang w:val="en-GB" w:eastAsia="ja-JP"/>
        </w:rPr>
        <w:t xml:space="preserve"> per cent</w:t>
      </w:r>
      <w:r w:rsidRPr="00C96521">
        <w:rPr>
          <w:rFonts w:eastAsia="MS Mincho" w:cs="Arial"/>
          <w:sz w:val="20"/>
          <w:szCs w:val="22"/>
          <w:lang w:val="en-GB" w:eastAsia="ja-JP"/>
        </w:rPr>
        <w:t xml:space="preserve"> over 10 years) </w:t>
      </w:r>
      <w:r w:rsidRPr="00C96521">
        <w:rPr>
          <w:rFonts w:eastAsia="MS Mincho"/>
          <w:sz w:val="20"/>
          <w:szCs w:val="22"/>
          <w:lang w:val="en-GB" w:eastAsia="ja-JP"/>
        </w:rPr>
        <w:t>for passage/wintering.</w:t>
      </w:r>
    </w:p>
    <w:p w14:paraId="00BACAE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905E21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Illegal killing is also assessed as Critical, with large numbers of birds being killed or taken each year, and little information available for many Range States.</w:t>
      </w:r>
    </w:p>
    <w:p w14:paraId="11C08493"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1AABB0E"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Unsustainable hunting pressure on turtle-doves, especially with falling populations across much of its range, is ranked as High. Additional threats have been identified, such as disease, pesticide use, and competition, but either knowledge is limited, or the degree of impact is small compared to habitat change, illegal killing, and hunting.</w:t>
      </w:r>
    </w:p>
    <w:p w14:paraId="2DD6DA6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6852FC5"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5" w:name="_Toc478646910"/>
      <w:r w:rsidRPr="00C96521">
        <w:rPr>
          <w:rFonts w:ascii="Cambria" w:eastAsia="MS Gothic" w:hAnsi="Cambria"/>
          <w:b/>
          <w:bCs/>
          <w:color w:val="4F81BD"/>
          <w:sz w:val="26"/>
          <w:szCs w:val="26"/>
          <w:lang w:val="en-GB" w:eastAsia="ja-JP"/>
        </w:rPr>
        <w:t>Habitat loss/modification</w:t>
      </w:r>
      <w:bookmarkEnd w:id="25"/>
    </w:p>
    <w:p w14:paraId="5E8656F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2C250D9" w14:textId="183AE648"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Europe, changes in habitat have been linked to the falling breeding numbers in most countries. Turtle-doves nest in bushes/trees in mosaic habitats, where undergrowth is not too thick and food is plentiful. Since the 1960s, </w:t>
      </w:r>
      <w:r w:rsidR="00FB0078" w:rsidRPr="00C96521">
        <w:rPr>
          <w:rFonts w:eastAsia="MS Mincho" w:cs="Arial"/>
          <w:sz w:val="20"/>
          <w:szCs w:val="22"/>
          <w:lang w:val="en-GB" w:eastAsia="ja-JP"/>
        </w:rPr>
        <w:t>mechani</w:t>
      </w:r>
      <w:r w:rsidR="00FB0078">
        <w:rPr>
          <w:rFonts w:eastAsia="MS Mincho" w:cs="Arial"/>
          <w:sz w:val="20"/>
          <w:szCs w:val="22"/>
          <w:lang w:val="en-GB" w:eastAsia="ja-JP"/>
        </w:rPr>
        <w:t>z</w:t>
      </w:r>
      <w:r w:rsidR="00FB0078" w:rsidRPr="00C96521">
        <w:rPr>
          <w:rFonts w:eastAsia="MS Mincho" w:cs="Arial"/>
          <w:sz w:val="20"/>
          <w:szCs w:val="22"/>
          <w:lang w:val="en-GB" w:eastAsia="ja-JP"/>
        </w:rPr>
        <w:t>ation</w:t>
      </w:r>
      <w:r w:rsidRPr="00C96521">
        <w:rPr>
          <w:rFonts w:eastAsia="MS Mincho" w:cs="Arial"/>
          <w:sz w:val="20"/>
          <w:szCs w:val="22"/>
          <w:lang w:val="en-GB" w:eastAsia="ja-JP"/>
        </w:rPr>
        <w:t>, land reform, and intensification have led to a reduction in hedgerows and margins across Europe (e</w:t>
      </w:r>
      <w:r w:rsidR="00FB0078">
        <w:rPr>
          <w:rFonts w:eastAsia="MS Mincho" w:cs="Arial"/>
          <w:sz w:val="20"/>
          <w:szCs w:val="22"/>
          <w:lang w:val="en-GB" w:eastAsia="ja-JP"/>
        </w:rPr>
        <w:t>.</w:t>
      </w:r>
      <w:r w:rsidRPr="00C96521">
        <w:rPr>
          <w:rFonts w:eastAsia="MS Mincho" w:cs="Arial"/>
          <w:sz w:val="20"/>
          <w:szCs w:val="22"/>
          <w:lang w:val="en-GB" w:eastAsia="ja-JP"/>
        </w:rPr>
        <w:t>g</w:t>
      </w:r>
      <w:r w:rsidR="00FB0078">
        <w:rPr>
          <w:rFonts w:eastAsia="MS Mincho" w:cs="Arial"/>
          <w:sz w:val="20"/>
          <w:szCs w:val="22"/>
          <w:lang w:val="en-GB" w:eastAsia="ja-JP"/>
        </w:rPr>
        <w:t>.</w:t>
      </w:r>
      <w:r w:rsidRPr="00C96521">
        <w:rPr>
          <w:rFonts w:eastAsia="MS Mincho" w:cs="Arial"/>
          <w:sz w:val="20"/>
          <w:szCs w:val="22"/>
          <w:lang w:val="en-GB" w:eastAsia="ja-JP"/>
        </w:rPr>
        <w:t xml:space="preserve"> Barr and Gillespie 2000), although the transformation in central and eastern States has been less, perhaps accounting for stable populations or slower declines. </w:t>
      </w:r>
    </w:p>
    <w:p w14:paraId="53A48F9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B247561" w14:textId="269EC92B"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Rocha and Hidalgo (2002a) showed that the decline of </w:t>
      </w:r>
      <w:r w:rsidR="00FB0078">
        <w:rPr>
          <w:rFonts w:eastAsia="MS Mincho"/>
          <w:sz w:val="20"/>
          <w:szCs w:val="22"/>
          <w:lang w:val="en-GB" w:eastAsia="ja-JP"/>
        </w:rPr>
        <w:t>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 xml:space="preserve">ove </w:t>
      </w:r>
      <w:r w:rsidRPr="00C96521">
        <w:rPr>
          <w:rFonts w:eastAsia="MS Mincho" w:cs="Arial"/>
          <w:sz w:val="20"/>
          <w:szCs w:val="22"/>
          <w:lang w:val="en-GB" w:eastAsia="ja-JP"/>
        </w:rPr>
        <w:t xml:space="preserve">populations in Extremadura, Spain could be directly linked to the decrease in the agricultural area of cereals over the last decades (many of the Iberian cereals lost would have been low input), and that the density of nests is 3.5 times less in areas where herbicides are used than in areas without herbicides. In Spain, </w:t>
      </w:r>
      <w:r w:rsidRPr="00C96521">
        <w:rPr>
          <w:rFonts w:eastAsia="MS Mincho"/>
          <w:sz w:val="20"/>
          <w:szCs w:val="22"/>
          <w:lang w:val="en-GB" w:eastAsia="ja-JP"/>
        </w:rPr>
        <w:t xml:space="preserve">habitat degradation owing to loss of hedgerows, riparian forests and the landscape mosaic, increasing use of herbicides leading to loss of weeds, intensification of olive groves, reduction in the area of sunflower crops (leading to loss of food), loss of poplars to cropland, and increasing area of conifer plantations were all listed as threats in the 2004 Red List of Birds of Spain (Madroño </w:t>
      </w:r>
      <w:r w:rsidRPr="00C96521">
        <w:rPr>
          <w:rFonts w:eastAsia="MS Mincho"/>
          <w:i/>
          <w:sz w:val="20"/>
          <w:szCs w:val="22"/>
          <w:lang w:val="en-GB" w:eastAsia="ja-JP"/>
        </w:rPr>
        <w:t>et al</w:t>
      </w:r>
      <w:r w:rsidRPr="00C96521">
        <w:rPr>
          <w:rFonts w:eastAsia="MS Mincho"/>
          <w:sz w:val="20"/>
          <w:szCs w:val="22"/>
          <w:lang w:val="en-GB" w:eastAsia="ja-JP"/>
        </w:rPr>
        <w:t xml:space="preserve"> 2004).</w:t>
      </w:r>
      <w:r w:rsidRPr="00C96521">
        <w:rPr>
          <w:rFonts w:eastAsia="MS Mincho" w:cs="Arial"/>
          <w:sz w:val="20"/>
          <w:szCs w:val="22"/>
          <w:lang w:val="en-GB" w:eastAsia="ja-JP"/>
        </w:rPr>
        <w:t xml:space="preserve"> In addition, in Portugal, habitat loss and degradation due to replacement of traditional orchards by intensive irrigated orchards, large wildfires, reduction in the number of conifer patches, and forest management neglect, particularly in the interior of the country, can also be considered relevant threats (Dias 2016). </w:t>
      </w:r>
    </w:p>
    <w:p w14:paraId="70B803E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5E7B4DF9" w14:textId="78911DF5"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Cyprus, abandonment of small-scale agriculture in mountainous and rural areas </w:t>
      </w:r>
      <w:r w:rsidRPr="00C96521">
        <w:rPr>
          <w:rFonts w:eastAsia="MS Mincho"/>
          <w:sz w:val="20"/>
          <w:szCs w:val="22"/>
          <w:lang w:val="en-GB" w:eastAsia="ja-JP"/>
        </w:rPr>
        <w:t xml:space="preserve">and changes in cultivated crops are believed to threaten the turtle-dove population (Nicos Kassinis </w:t>
      </w:r>
      <w:r w:rsidRPr="00C96521">
        <w:rPr>
          <w:rFonts w:eastAsia="MS Mincho"/>
          <w:i/>
          <w:sz w:val="20"/>
          <w:szCs w:val="22"/>
          <w:lang w:val="en-GB" w:eastAsia="ja-JP"/>
        </w:rPr>
        <w:t>unpublished</w:t>
      </w:r>
      <w:r w:rsidRPr="00C96521">
        <w:rPr>
          <w:rFonts w:eastAsia="MS Mincho"/>
          <w:sz w:val="20"/>
          <w:szCs w:val="22"/>
          <w:lang w:val="en-GB" w:eastAsia="ja-JP"/>
        </w:rPr>
        <w:t>). Of key concern is suitable crop availability, particularly the traditional crop varieties that are important food sources for turtle-doves, such as legumes (</w:t>
      </w:r>
      <w:r w:rsidRPr="00C96521">
        <w:rPr>
          <w:rFonts w:eastAsia="MS Mincho"/>
          <w:i/>
          <w:sz w:val="20"/>
          <w:szCs w:val="22"/>
          <w:lang w:val="en-GB" w:eastAsia="ja-JP"/>
        </w:rPr>
        <w:t>Fabaceae</w:t>
      </w:r>
      <w:r w:rsidRPr="00C96521">
        <w:rPr>
          <w:rFonts w:eastAsia="MS Mincho"/>
          <w:sz w:val="20"/>
          <w:szCs w:val="22"/>
          <w:lang w:val="en-GB" w:eastAsia="ja-JP"/>
        </w:rPr>
        <w:t>), vetches (</w:t>
      </w:r>
      <w:r w:rsidRPr="00C96521">
        <w:rPr>
          <w:rFonts w:eastAsia="MS Mincho"/>
          <w:i/>
          <w:sz w:val="20"/>
          <w:szCs w:val="22"/>
          <w:lang w:val="en-GB" w:eastAsia="ja-JP"/>
        </w:rPr>
        <w:t>Vicia</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and sesame (</w:t>
      </w:r>
      <w:r w:rsidRPr="00C96521">
        <w:rPr>
          <w:rFonts w:eastAsia="MS Mincho"/>
          <w:i/>
          <w:sz w:val="20"/>
          <w:szCs w:val="22"/>
          <w:lang w:val="en-GB" w:eastAsia="ja-JP"/>
        </w:rPr>
        <w:t>Sesamum indicum</w:t>
      </w:r>
      <w:r w:rsidRPr="00C96521">
        <w:rPr>
          <w:rFonts w:eastAsia="MS Mincho"/>
          <w:sz w:val="20"/>
          <w:szCs w:val="22"/>
          <w:lang w:val="en-GB" w:eastAsia="ja-JP"/>
        </w:rPr>
        <w:t xml:space="preserve">) (Panicos Panayides </w:t>
      </w:r>
      <w:r w:rsidRPr="00C96521">
        <w:rPr>
          <w:rFonts w:eastAsia="MS Mincho"/>
          <w:i/>
          <w:sz w:val="20"/>
          <w:szCs w:val="22"/>
          <w:lang w:val="en-GB" w:eastAsia="ja-JP"/>
        </w:rPr>
        <w:t>pers comm</w:t>
      </w:r>
      <w:r w:rsidRPr="00C96521">
        <w:rPr>
          <w:rFonts w:eastAsia="MS Mincho"/>
          <w:sz w:val="20"/>
          <w:szCs w:val="22"/>
          <w:lang w:val="en-GB" w:eastAsia="ja-JP"/>
        </w:rPr>
        <w:t xml:space="preserve">). Many of these crop varieties have largely decreased over the years throughout Europe. </w:t>
      </w:r>
      <w:r w:rsidRPr="00C96521">
        <w:rPr>
          <w:rFonts w:eastAsia="MS Mincho" w:cs="Arial"/>
          <w:sz w:val="20"/>
          <w:szCs w:val="22"/>
          <w:lang w:val="en-GB" w:eastAsia="ja-JP"/>
        </w:rPr>
        <w:t>In Cyprus, cultivated legumes decreased by 50.3</w:t>
      </w:r>
      <w:r w:rsidR="00FB0078">
        <w:rPr>
          <w:rFonts w:eastAsia="MS Mincho" w:cs="Arial"/>
          <w:sz w:val="20"/>
          <w:szCs w:val="22"/>
          <w:lang w:val="en-GB" w:eastAsia="ja-JP"/>
        </w:rPr>
        <w:t xml:space="preserve"> per cent</w:t>
      </w:r>
      <w:r w:rsidR="00FB0078" w:rsidRPr="00C96521">
        <w:rPr>
          <w:rFonts w:eastAsia="MS Mincho" w:cs="Arial"/>
          <w:sz w:val="20"/>
          <w:szCs w:val="22"/>
          <w:lang w:val="en-GB" w:eastAsia="ja-JP"/>
        </w:rPr>
        <w:t xml:space="preserve"> </w:t>
      </w:r>
      <w:r w:rsidRPr="00C96521">
        <w:rPr>
          <w:rFonts w:eastAsia="MS Mincho" w:cs="Arial"/>
          <w:sz w:val="20"/>
          <w:szCs w:val="22"/>
          <w:lang w:val="en-GB" w:eastAsia="ja-JP"/>
        </w:rPr>
        <w:t>between 1960 and 1994, and more specialised nutritious crops like vetches, chickling vetches (</w:t>
      </w:r>
      <w:r w:rsidRPr="00C96521">
        <w:rPr>
          <w:rFonts w:eastAsia="MS Mincho" w:cs="Arial"/>
          <w:i/>
          <w:sz w:val="20"/>
          <w:szCs w:val="22"/>
          <w:lang w:val="en-GB" w:eastAsia="ja-JP"/>
        </w:rPr>
        <w:t>Lathyrus sp</w:t>
      </w:r>
      <w:r w:rsidRPr="00C96521">
        <w:rPr>
          <w:rFonts w:eastAsia="MS Mincho" w:cs="Arial"/>
          <w:sz w:val="20"/>
          <w:szCs w:val="22"/>
          <w:lang w:val="en-GB" w:eastAsia="ja-JP"/>
        </w:rPr>
        <w:t>), and sesame decreased by 84-94</w:t>
      </w:r>
      <w:r w:rsidR="00FB0078">
        <w:rPr>
          <w:rFonts w:eastAsia="MS Mincho" w:cs="Arial"/>
          <w:sz w:val="20"/>
          <w:szCs w:val="22"/>
          <w:lang w:val="en-GB" w:eastAsia="ja-JP"/>
        </w:rPr>
        <w:t xml:space="preserve"> per cent</w:t>
      </w:r>
      <w:r w:rsidRPr="00C96521">
        <w:rPr>
          <w:rFonts w:eastAsia="MS Mincho" w:cs="Arial"/>
          <w:sz w:val="20"/>
          <w:szCs w:val="22"/>
          <w:lang w:val="en-GB" w:eastAsia="ja-JP"/>
        </w:rPr>
        <w:t xml:space="preserve"> over the same period (Panayides 2005). </w:t>
      </w:r>
      <w:r w:rsidRPr="00C96521">
        <w:rPr>
          <w:rFonts w:eastAsia="MS Mincho"/>
          <w:sz w:val="20"/>
          <w:szCs w:val="22"/>
          <w:lang w:val="en-GB" w:eastAsia="ja-JP"/>
        </w:rPr>
        <w:t>Habitat loss owing to urban expansion is also a problem. T</w:t>
      </w:r>
      <w:r w:rsidRPr="00C96521">
        <w:rPr>
          <w:rFonts w:eastAsia="MS Mincho" w:cs="Arial"/>
          <w:sz w:val="20"/>
          <w:szCs w:val="22"/>
          <w:lang w:val="en-GB" w:eastAsia="ja-JP"/>
        </w:rPr>
        <w:t>he land taken up by urban centres increased fourfold between 1963 and 1993, while suburbani</w:t>
      </w:r>
      <w:r w:rsidR="00FB0078">
        <w:rPr>
          <w:rFonts w:eastAsia="MS Mincho" w:cs="Arial"/>
          <w:sz w:val="20"/>
          <w:szCs w:val="22"/>
          <w:lang w:val="en-GB" w:eastAsia="ja-JP"/>
        </w:rPr>
        <w:t>z</w:t>
      </w:r>
      <w:r w:rsidRPr="00C96521">
        <w:rPr>
          <w:rFonts w:eastAsia="MS Mincho" w:cs="Arial"/>
          <w:sz w:val="20"/>
          <w:szCs w:val="22"/>
          <w:lang w:val="en-GB" w:eastAsia="ja-JP"/>
        </w:rPr>
        <w:t xml:space="preserve">ation with scattered housing affects even more land (Panayides 2005). Habitat </w:t>
      </w:r>
      <w:r w:rsidRPr="00C96521">
        <w:rPr>
          <w:rFonts w:eastAsia="MS Mincho" w:cs="Arial"/>
          <w:sz w:val="20"/>
          <w:szCs w:val="22"/>
          <w:lang w:val="en-GB" w:eastAsia="ja-JP"/>
        </w:rPr>
        <w:lastRenderedPageBreak/>
        <w:t>fragmentation by road construction increased from an average of 0.64km length of road / km</w:t>
      </w:r>
      <w:r w:rsidRPr="00C96521">
        <w:rPr>
          <w:rFonts w:eastAsia="MS Mincho" w:cs="Arial"/>
          <w:sz w:val="20"/>
          <w:szCs w:val="22"/>
          <w:vertAlign w:val="superscript"/>
          <w:lang w:val="en-GB" w:eastAsia="ja-JP"/>
        </w:rPr>
        <w:t>2</w:t>
      </w:r>
      <w:r w:rsidRPr="00C96521">
        <w:rPr>
          <w:rFonts w:eastAsia="MS Mincho" w:cs="Arial"/>
          <w:sz w:val="20"/>
          <w:szCs w:val="22"/>
          <w:lang w:val="en-GB" w:eastAsia="ja-JP"/>
        </w:rPr>
        <w:t xml:space="preserve"> in 1960 to 1.9km of road length / km</w:t>
      </w:r>
      <w:r w:rsidRPr="00C96521">
        <w:rPr>
          <w:rFonts w:eastAsia="MS Mincho" w:cs="Arial"/>
          <w:sz w:val="20"/>
          <w:szCs w:val="22"/>
          <w:vertAlign w:val="superscript"/>
          <w:lang w:val="en-GB" w:eastAsia="ja-JP"/>
        </w:rPr>
        <w:t>2</w:t>
      </w:r>
      <w:r w:rsidRPr="00C96521">
        <w:rPr>
          <w:rFonts w:eastAsia="MS Mincho" w:cs="Arial"/>
          <w:sz w:val="20"/>
          <w:szCs w:val="22"/>
          <w:lang w:val="en-GB" w:eastAsia="ja-JP"/>
        </w:rPr>
        <w:t xml:space="preserve"> in 1999 (Panayides 2005). </w:t>
      </w:r>
    </w:p>
    <w:p w14:paraId="3B6B302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A24560A" w14:textId="69BC3FCF"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the wider Mediterranean region, lack of management in conifer plantations results in the rapid development of dense under-storey vegetation, rendering these habitats unsuitable for </w:t>
      </w:r>
      <w:r w:rsidR="00FB0078">
        <w:rPr>
          <w:rFonts w:eastAsia="MS Mincho"/>
          <w:sz w:val="20"/>
          <w:szCs w:val="22"/>
          <w:lang w:val="en-GB" w:eastAsia="ja-JP"/>
        </w:rPr>
        <w:t>T</w:t>
      </w:r>
      <w:r w:rsidR="00FB0078" w:rsidRPr="00C96521">
        <w:rPr>
          <w:rFonts w:eastAsia="MS Mincho"/>
          <w:sz w:val="20"/>
          <w:szCs w:val="22"/>
          <w:lang w:val="en-GB" w:eastAsia="ja-JP"/>
        </w:rPr>
        <w:t>urtle</w:t>
      </w:r>
      <w:r w:rsidR="00FB0078">
        <w:rPr>
          <w:rFonts w:eastAsia="MS Mincho"/>
          <w:sz w:val="20"/>
          <w:szCs w:val="22"/>
          <w:lang w:val="en-GB" w:eastAsia="ja-JP"/>
        </w:rPr>
        <w:t xml:space="preserve"> D</w:t>
      </w:r>
      <w:r w:rsidR="00FB0078" w:rsidRPr="00C96521">
        <w:rPr>
          <w:rFonts w:eastAsia="MS Mincho"/>
          <w:sz w:val="20"/>
          <w:szCs w:val="22"/>
          <w:lang w:val="en-GB" w:eastAsia="ja-JP"/>
        </w:rPr>
        <w:t>ove</w:t>
      </w:r>
      <w:r w:rsidR="00FB0078">
        <w:rPr>
          <w:rFonts w:eastAsia="MS Mincho"/>
          <w:sz w:val="20"/>
          <w:szCs w:val="22"/>
          <w:lang w:val="en-GB" w:eastAsia="ja-JP"/>
        </w:rPr>
        <w:t>s</w:t>
      </w:r>
      <w:r w:rsidR="00FB0078" w:rsidRPr="00C96521">
        <w:rPr>
          <w:rFonts w:eastAsia="MS Mincho"/>
          <w:sz w:val="20"/>
          <w:szCs w:val="22"/>
          <w:lang w:val="en-GB" w:eastAsia="ja-JP"/>
        </w:rPr>
        <w:t xml:space="preserve"> </w:t>
      </w:r>
      <w:r w:rsidRPr="00C96521">
        <w:rPr>
          <w:rFonts w:eastAsia="MS Mincho"/>
          <w:sz w:val="20"/>
          <w:szCs w:val="22"/>
          <w:lang w:val="en-GB" w:eastAsia="ja-JP"/>
        </w:rPr>
        <w:t xml:space="preserve">(Dias </w:t>
      </w:r>
      <w:r w:rsidRPr="00C96521">
        <w:rPr>
          <w:rFonts w:eastAsia="MS Mincho"/>
          <w:i/>
          <w:sz w:val="20"/>
          <w:szCs w:val="22"/>
          <w:lang w:val="en-GB" w:eastAsia="ja-JP"/>
        </w:rPr>
        <w:t>et al</w:t>
      </w:r>
      <w:r w:rsidRPr="00C96521">
        <w:rPr>
          <w:rFonts w:eastAsia="MS Mincho"/>
          <w:sz w:val="20"/>
          <w:szCs w:val="22"/>
          <w:lang w:val="en-GB" w:eastAsia="ja-JP"/>
        </w:rPr>
        <w:t xml:space="preserve"> 2013). In Bulgaria, the intensification of agriculture, particularly the large-scale removal of mature scrub and field margins driven by Rural Development Programme subsidies, may have had a strong negative impact on turtle-dove. Conversion of large areas of abandoned, low productivity farmland to more intensive production also poses a threat. However, the species remains quite abundant in these areas and specific surveys would be needed to estimate the real impact on the population. The Bulgarian Common Bird Monitoring scheme would not be able to detect the impacts until it is possibly too late to counteract declines.</w:t>
      </w:r>
    </w:p>
    <w:p w14:paraId="7F0584B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1C22EF7" w14:textId="77777777" w:rsidR="00C96521" w:rsidRPr="00C96521" w:rsidRDefault="00C96521" w:rsidP="00C96521">
      <w:pPr>
        <w:widowControl/>
        <w:autoSpaceDE/>
        <w:autoSpaceDN/>
        <w:adjustRightInd/>
        <w:spacing w:line="276" w:lineRule="auto"/>
        <w:rPr>
          <w:rFonts w:eastAsia="MS Mincho"/>
          <w:b/>
          <w:bCs/>
          <w:sz w:val="20"/>
          <w:szCs w:val="22"/>
          <w:lang w:val="en-GB" w:eastAsia="ja-JP"/>
        </w:rPr>
      </w:pPr>
      <w:r w:rsidRPr="00C96521">
        <w:rPr>
          <w:rFonts w:eastAsia="MS Mincho"/>
          <w:sz w:val="20"/>
          <w:szCs w:val="22"/>
          <w:lang w:val="en-GB" w:eastAsia="ja-JP"/>
        </w:rPr>
        <w:t xml:space="preserve">In Central Europe, land abandonment and agricultural intensification are both issues. Lack of early-season wild seeds is of concern for some countries, and intensification may mean that the seeds are not available as they are buried in the soil. Abandonment prevents the birds from accessing seeds on the ground, a large issue in Croatia, but probably not such a priority for Hungary where changes are occurring in the early (Sanja Barišić </w:t>
      </w:r>
      <w:r w:rsidRPr="00C96521">
        <w:rPr>
          <w:rFonts w:eastAsia="MS Mincho"/>
          <w:i/>
          <w:sz w:val="20"/>
          <w:szCs w:val="22"/>
          <w:lang w:val="en-GB" w:eastAsia="ja-JP"/>
        </w:rPr>
        <w:t>pers comm</w:t>
      </w:r>
      <w:r w:rsidRPr="00C96521">
        <w:rPr>
          <w:rFonts w:eastAsia="MS Mincho"/>
          <w:sz w:val="20"/>
          <w:szCs w:val="22"/>
          <w:lang w:val="en-GB" w:eastAsia="ja-JP"/>
        </w:rPr>
        <w:t xml:space="preserve">, Béla Tokody </w:t>
      </w:r>
      <w:r w:rsidRPr="00C96521">
        <w:rPr>
          <w:rFonts w:eastAsia="MS Mincho"/>
          <w:i/>
          <w:sz w:val="20"/>
          <w:szCs w:val="22"/>
          <w:lang w:val="en-GB" w:eastAsia="ja-JP"/>
        </w:rPr>
        <w:t>pers comm</w:t>
      </w:r>
      <w:r w:rsidRPr="00C96521">
        <w:rPr>
          <w:rFonts w:eastAsia="MS Mincho"/>
          <w:sz w:val="20"/>
          <w:szCs w:val="22"/>
          <w:lang w:val="en-GB" w:eastAsia="ja-JP"/>
        </w:rPr>
        <w:t>, Vesna Tuti</w:t>
      </w:r>
      <w:r w:rsidRPr="00C96521">
        <w:rPr>
          <w:rFonts w:eastAsia="MS Mincho" w:cs="Arial"/>
          <w:sz w:val="20"/>
          <w:szCs w:val="22"/>
          <w:lang w:val="en-GB" w:eastAsia="ja-JP"/>
        </w:rPr>
        <w:t>š</w:t>
      </w:r>
      <w:r w:rsidRPr="00C96521">
        <w:rPr>
          <w:rFonts w:eastAsia="MS Mincho"/>
          <w:sz w:val="20"/>
          <w:szCs w:val="22"/>
          <w:lang w:val="en-GB" w:eastAsia="ja-JP"/>
        </w:rPr>
        <w:t xml:space="preserve"> </w:t>
      </w:r>
      <w:r w:rsidRPr="00C96521">
        <w:rPr>
          <w:rFonts w:eastAsia="MS Mincho"/>
          <w:i/>
          <w:sz w:val="20"/>
          <w:szCs w:val="22"/>
          <w:lang w:val="en-GB" w:eastAsia="ja-JP"/>
        </w:rPr>
        <w:t>pers comm</w:t>
      </w:r>
      <w:r w:rsidRPr="00C96521">
        <w:rPr>
          <w:rFonts w:eastAsia="MS Mincho"/>
          <w:sz w:val="20"/>
          <w:szCs w:val="22"/>
          <w:lang w:val="en-GB" w:eastAsia="ja-JP"/>
        </w:rPr>
        <w:t>). Food availability is likely to reduce in the future, and is extremely variable across the region.</w:t>
      </w:r>
    </w:p>
    <w:p w14:paraId="6190673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BD46645" w14:textId="4C2AE7C3"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Flanders, Belgium where the population decreased by at least 70</w:t>
      </w:r>
      <w:r w:rsidR="00FB0078">
        <w:rPr>
          <w:rFonts w:eastAsia="MS Mincho" w:cs="Arial"/>
          <w:sz w:val="20"/>
          <w:szCs w:val="22"/>
          <w:lang w:val="en-GB" w:eastAsia="ja-JP"/>
        </w:rPr>
        <w:t xml:space="preserve"> per cent</w:t>
      </w:r>
      <w:r w:rsidR="00FB0078"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between the 1970s and 2000-2002, factors on the breeding grounds contributing to the decline were identified as agricultural intensification, a loss of copses, hedgerows and mature woodlands as well as declines in the number of seed-producing herbs (Vermeersch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2004). In Wallonia, the drivers behind the declines lie in agricultural intensification (Jacob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2010). Factors include changes that have reduced available food sources: increasing pesticide applications, concreting of rural tracks, and loss of weed-rich field margins. In the Netherlands, activities contributing to population declines include the degradation of breeding habitat, such as replacement of cereals by green maize and the use of herbicides (SOVON 2002). Similarly</w:t>
      </w:r>
      <w:r w:rsidR="00FB0078">
        <w:rPr>
          <w:rFonts w:eastAsia="MS Mincho" w:cs="Arial"/>
          <w:sz w:val="20"/>
          <w:szCs w:val="22"/>
          <w:lang w:val="en-GB" w:eastAsia="ja-JP"/>
        </w:rPr>
        <w:t>,</w:t>
      </w:r>
      <w:r w:rsidRPr="00C96521">
        <w:rPr>
          <w:rFonts w:eastAsia="MS Mincho" w:cs="Arial"/>
          <w:sz w:val="20"/>
          <w:szCs w:val="22"/>
          <w:lang w:val="en-GB" w:eastAsia="ja-JP"/>
        </w:rPr>
        <w:t xml:space="preserve"> in Switzerland and France, habitat loss, pesticide use, and agricultural intensification have been identified as threats (Schmid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2001, Issa and Boutin 2015 in Issa and Muller 2015), leading also to hedgerow and woodlot destruction. It is unknown whether the introduction of ecological compensation measures have benefited the species (Schmid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2001). In Slovenia, the main threat is the agricultural intensification that has caused the loss of mosaic fields, fallow land and hedges (Kmecl and Figelj 2015). In Romania, deforestation and removal of tall shrubs (nesting habitat), modification, fragmentation and loss of habitat, increased herbicide use (loss of weeds), and possible ingestion of grain treated with rodenticide have all been identified as threats on the breeding grounds (Munteanu 2009, Petrovici 2015). Important conservation actions identified for the species in Romania include a number related to habitat/loss modification: preventing urban developments in important forest habitats and preventing deforestation; ensuring forestry operations are carried out at times that minimise disturbance to the species; maintaining and increasing the area of native forest; maintaining and increasing a mosaic of habitats at the landscape scale; and connecting existing habitats (Petrovici 2015). Removal of alluvial forests and margins is considered a localised problem in Central Europe, for example in Slovakia and Croatia (Sanja Barišić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Ivana Czocherova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w:t>
      </w:r>
      <w:r w:rsidRPr="00C96521">
        <w:rPr>
          <w:rFonts w:eastAsia="MS Mincho"/>
          <w:sz w:val="20"/>
          <w:szCs w:val="22"/>
          <w:lang w:val="en-GB" w:eastAsia="ja-JP"/>
        </w:rPr>
        <w:t>Vesna Tuti</w:t>
      </w:r>
      <w:r w:rsidRPr="00C96521">
        <w:rPr>
          <w:rFonts w:eastAsia="MS Mincho" w:cs="Arial"/>
          <w:sz w:val="20"/>
          <w:szCs w:val="22"/>
          <w:lang w:val="en-GB" w:eastAsia="ja-JP"/>
        </w:rPr>
        <w:t>š</w:t>
      </w:r>
      <w:r w:rsidRPr="00C96521">
        <w:rPr>
          <w:rFonts w:eastAsia="MS Mincho"/>
          <w:sz w:val="20"/>
          <w:szCs w:val="22"/>
          <w:lang w:val="en-GB" w:eastAsia="ja-JP"/>
        </w:rPr>
        <w:t xml:space="preserve"> </w:t>
      </w:r>
      <w:r w:rsidRPr="00C96521">
        <w:rPr>
          <w:rFonts w:eastAsia="MS Mincho"/>
          <w:i/>
          <w:sz w:val="20"/>
          <w:szCs w:val="22"/>
          <w:lang w:val="en-GB" w:eastAsia="ja-JP"/>
        </w:rPr>
        <w:t>pers comm)</w:t>
      </w:r>
      <w:r w:rsidRPr="00C96521">
        <w:rPr>
          <w:rFonts w:eastAsia="MS Mincho" w:cs="Arial"/>
          <w:sz w:val="20"/>
          <w:szCs w:val="22"/>
          <w:lang w:val="en-GB" w:eastAsia="ja-JP"/>
        </w:rPr>
        <w:t>.</w:t>
      </w:r>
    </w:p>
    <w:p w14:paraId="1E64553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A26B57E" w14:textId="05E17484"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the UK, declines in habitat area and food supply have been suggested as causes for population declines (Hodge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2006). Changes to the farmed environment appear to have had a strong impact on the turtle-dove. Woodland habitats were found to support 6.5 times more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 xml:space="preserve"> </w:t>
      </w:r>
      <w:r w:rsidRPr="00C96521">
        <w:rPr>
          <w:rFonts w:eastAsia="MS Mincho" w:cs="Arial"/>
          <w:sz w:val="20"/>
          <w:szCs w:val="22"/>
          <w:lang w:val="en-GB" w:eastAsia="ja-JP"/>
        </w:rPr>
        <w:t xml:space="preserve">territories than on farmland in the UK (Browne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2004). Farmland habitat diversity decreased due to simplifications in crop rotations and loss of non-arable habitats. Between the 1960s and 1980s, farmland plots lost hedgerows, scrub and woodland, but after the mid-1980s the measure of ‘hedginess’ increased. Habitat diversity increased in woodland plots as vegetation clearance increased the number of habitats found within the woodland group, causing a small decrease in the amount of available nesting habitat. In the UK, turtle-dove territories were more likely to be retained and were more abundant in areas with a greater area of established scrub and more hedgerows (Dunn and Morris 2012). Turtle</w:t>
      </w:r>
      <w:r w:rsidR="000C4731">
        <w:rPr>
          <w:rFonts w:eastAsia="MS Mincho" w:cs="Arial"/>
          <w:sz w:val="20"/>
          <w:szCs w:val="22"/>
          <w:lang w:val="en-GB" w:eastAsia="ja-JP"/>
        </w:rPr>
        <w:t xml:space="preserve"> D</w:t>
      </w:r>
      <w:r w:rsidRPr="00C96521">
        <w:rPr>
          <w:rFonts w:eastAsia="MS Mincho" w:cs="Arial"/>
          <w:sz w:val="20"/>
          <w:szCs w:val="22"/>
          <w:lang w:val="en-GB" w:eastAsia="ja-JP"/>
        </w:rPr>
        <w:t xml:space="preserve">ove diet changed </w:t>
      </w:r>
      <w:r w:rsidRPr="00C96521">
        <w:rPr>
          <w:rFonts w:eastAsia="MS Mincho" w:cs="Arial"/>
          <w:sz w:val="20"/>
          <w:szCs w:val="22"/>
          <w:lang w:val="en-GB" w:eastAsia="ja-JP"/>
        </w:rPr>
        <w:lastRenderedPageBreak/>
        <w:t>between the 1950s/</w:t>
      </w:r>
      <w:r w:rsidR="000C4731">
        <w:rPr>
          <w:rFonts w:eastAsia="MS Mincho" w:cs="Arial"/>
          <w:sz w:val="20"/>
          <w:szCs w:val="22"/>
          <w:lang w:val="en-GB" w:eastAsia="ja-JP"/>
        </w:rPr>
        <w:t>’</w:t>
      </w:r>
      <w:r w:rsidRPr="00C96521">
        <w:rPr>
          <w:rFonts w:eastAsia="MS Mincho" w:cs="Arial"/>
          <w:sz w:val="20"/>
          <w:szCs w:val="22"/>
          <w:lang w:val="en-GB" w:eastAsia="ja-JP"/>
        </w:rPr>
        <w:t>60s and late 1990s, with far fewer weed seeds now present in the species’ diet both as nestlings and as adults. The species’ favoured feeding sites in the 1950s/</w:t>
      </w:r>
      <w:r w:rsidR="000C4731">
        <w:rPr>
          <w:rFonts w:eastAsia="MS Mincho" w:cs="Arial"/>
          <w:sz w:val="20"/>
          <w:szCs w:val="22"/>
          <w:lang w:val="en-GB" w:eastAsia="ja-JP"/>
        </w:rPr>
        <w:t>’</w:t>
      </w:r>
      <w:r w:rsidRPr="00C96521">
        <w:rPr>
          <w:rFonts w:eastAsia="MS Mincho" w:cs="Arial"/>
          <w:sz w:val="20"/>
          <w:szCs w:val="22"/>
          <w:lang w:val="en-GB" w:eastAsia="ja-JP"/>
        </w:rPr>
        <w:t xml:space="preserve">60s consisted of hayfields, clover leys and haystooks, whereas in the late 1990s the species was not recorded on these habitats at all, mostly because these habitats have almost entirely disappeared (Browne and Aebischer 2003a). Naturally regenerated fallow rotational set-aside in the summer was found to have a small benefit to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compared to conventional farmed arable land, whereas set-aside sown with crops for wild birds and long-term set-aside more than two years old or younger set-aside sown with a grass mix did not benefit the species (Hodge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2006). A widespread loss of weeds across France and Spain has been well-documented, and could have contributed to reduced food availability for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w:t>
      </w:r>
      <w:r w:rsidR="000C4731">
        <w:rPr>
          <w:rFonts w:eastAsia="MS Mincho" w:cs="Arial"/>
          <w:sz w:val="20"/>
          <w:szCs w:val="22"/>
          <w:lang w:val="en-GB" w:eastAsia="ja-JP"/>
        </w:rPr>
        <w:t xml:space="preserve"> </w:t>
      </w:r>
    </w:p>
    <w:p w14:paraId="0A0D5C5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D9B7C72" w14:textId="3F619F41"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Set-aside created under the Single Payment Scheme (introduced in 2005) was predicted to have no difference in terms of biodiversity benefit to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compared to set-aside under the Arable Area Payment Scheme. However, reversion of set-aside land under the Single Payment Scheme to arable was predicted to have a small negative impact on turtle-dove (Hodge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2006). In 2008, around eight million hectares of former set-aside land re-entered mainstream agricultural production when set-aside policy in the EU was abolished (Allen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2014). Agri-environment measures have been introduced in the UK with the aim of improving foraging and nesting habitat for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One option under Environmental Stewardship, arable margin management (creating grass margins), was shown to be positively associated with turtle-dove population growth rates (Baker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2012). However, options under Higher Level Stewardship failed to impact abundance of turtle-doves on surveyed farms (Bright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2015). The Operation Turtle</w:t>
      </w:r>
      <w:r w:rsidR="00D95FF4">
        <w:rPr>
          <w:rFonts w:eastAsia="MS Mincho" w:cs="Arial"/>
          <w:sz w:val="20"/>
          <w:szCs w:val="22"/>
          <w:lang w:val="en-GB" w:eastAsia="ja-JP"/>
        </w:rPr>
        <w:t xml:space="preserve"> D</w:t>
      </w:r>
      <w:r w:rsidRPr="00C96521">
        <w:rPr>
          <w:rFonts w:eastAsia="MS Mincho" w:cs="Arial"/>
          <w:sz w:val="20"/>
          <w:szCs w:val="22"/>
          <w:lang w:val="en-GB" w:eastAsia="ja-JP"/>
        </w:rPr>
        <w:t>ove partnership in the UK has developed a Turtle</w:t>
      </w:r>
      <w:r w:rsidR="00D95FF4">
        <w:rPr>
          <w:rFonts w:eastAsia="MS Mincho" w:cs="Arial"/>
          <w:sz w:val="20"/>
          <w:szCs w:val="22"/>
          <w:lang w:val="en-GB" w:eastAsia="ja-JP"/>
        </w:rPr>
        <w:t xml:space="preserve"> D</w:t>
      </w:r>
      <w:r w:rsidRPr="00C96521">
        <w:rPr>
          <w:rFonts w:eastAsia="MS Mincho" w:cs="Arial"/>
          <w:sz w:val="20"/>
          <w:szCs w:val="22"/>
          <w:lang w:val="en-GB" w:eastAsia="ja-JP"/>
        </w:rPr>
        <w:t xml:space="preserve">ove Package (Annex 3), which consists of a suite of options designed to support the needs of breeding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The measures include accessible seed-rich foraging habitat close to suitably managed scrub and hedgerows providing safe nesting habitat. Initial survey work suggests that one to two years after implementation there was some evidence that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 xml:space="preserve"> </w:t>
      </w:r>
      <w:r w:rsidRPr="00C96521">
        <w:rPr>
          <w:rFonts w:eastAsia="MS Mincho" w:cs="Arial"/>
          <w:sz w:val="20"/>
          <w:szCs w:val="22"/>
          <w:lang w:val="en-GB" w:eastAsia="ja-JP"/>
        </w:rPr>
        <w:t>occupancy and abundance were positively associated with agreements containing some foraging habitat (Walker and Morris 2016). However, in most cases the conditions for foraging were not optimal.</w:t>
      </w:r>
    </w:p>
    <w:p w14:paraId="1102064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5B74B47" w14:textId="00ABBBC9"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Reduced water availability has been suggested as a problem for the species both on the breeding and passage/wintering grounds, although the scientific evidence for this is limited. It is not clear whether there has been a significant reduction in water supply on the breeding grounds, particularly with the expansion of irrigated agriculture, but water does appear to play a role in site selection for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In the UK, areas that retain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have water supplies (Tony Morris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In Spain, there is a correlation between turtle-dove productivity and presence of water supply, and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avoid breeding in areas without water supplies (Rocha and Hidalgo de Trucios 2002a). Intensive dam construction in Cyprus is affecting ecosystems by altering water flow and exacerbating drying of natural springs during hot weather (Panayides 2005).</w:t>
      </w:r>
    </w:p>
    <w:p w14:paraId="33CF9DD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EE6F9AD" w14:textId="64D8E0D0"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 reduction in the number of nesting locations may also be impacting the species. Although the area of forest habitats may be increasing across Europe, quality of nesting habitat may be decreasing. A study in the west of France found that in areas where hedgerows had been cut on both sides, the number of singing male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has reduced (Hervé Lormée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w:t>
      </w:r>
    </w:p>
    <w:p w14:paraId="3E05410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A9BB76D" w14:textId="47DFF9BE"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European Russia, the turtle-dove breeds in the forest and steppe zones. The main threat in the former is likely to be pesticides. In the forest zone, particularly in the northern part of the turtle-dove’s range in European Russia, most of the farmland consists of grasslands and meadows used for haymaking and grazing, while the area of arable land for cereals is small. Abandonment of farmland began in the early 1990s and continues today. Large-scale abandonment of farmlands, primarily cereals and grasslands, and their overgrowth by tall dense weeds, bushes and young forest is an important negative factor in available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 xml:space="preserve">ove </w:t>
      </w:r>
      <w:r w:rsidRPr="00C96521">
        <w:rPr>
          <w:rFonts w:eastAsia="MS Mincho" w:cs="Arial"/>
          <w:sz w:val="20"/>
          <w:szCs w:val="22"/>
          <w:lang w:val="en-GB" w:eastAsia="ja-JP"/>
        </w:rPr>
        <w:t xml:space="preserve">breeding areas within the forest zone, leading to a loss of feeding habitat (Alexander Mischenko </w:t>
      </w:r>
      <w:r w:rsidRPr="00C96521">
        <w:rPr>
          <w:rFonts w:eastAsia="MS Mincho" w:cs="Arial"/>
          <w:i/>
          <w:sz w:val="20"/>
          <w:szCs w:val="22"/>
          <w:lang w:val="en-GB" w:eastAsia="ja-JP"/>
        </w:rPr>
        <w:t>pers comm</w:t>
      </w:r>
      <w:r w:rsidRPr="00C96521">
        <w:rPr>
          <w:rFonts w:eastAsia="MS Mincho" w:cs="Arial"/>
          <w:sz w:val="20"/>
          <w:szCs w:val="22"/>
          <w:lang w:val="en-GB" w:eastAsia="ja-JP"/>
        </w:rPr>
        <w:t>). Huge areas of farmland have been abandoned, up to 80</w:t>
      </w:r>
      <w:r w:rsidR="000C4731">
        <w:rPr>
          <w:rFonts w:eastAsia="MS Mincho" w:cs="Arial"/>
          <w:sz w:val="20"/>
          <w:szCs w:val="22"/>
          <w:lang w:val="en-GB" w:eastAsia="ja-JP"/>
        </w:rPr>
        <w:t xml:space="preserve"> per cent</w:t>
      </w:r>
      <w:r w:rsidR="000C4731"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of the total farmland area in some regions (Ljuri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2010). This loss of feeding habitat is aggravated by spring fires over large areas. </w:t>
      </w:r>
    </w:p>
    <w:p w14:paraId="72D8B84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F23246E" w14:textId="58745D05"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lastRenderedPageBreak/>
        <w:t xml:space="preserve">In West Africa, the increasing human population has caused significant changes to the natural environment with increased cultivation of the Sahel and Sudan zone, overgrazing and cutting of trees, notably in Senegal and </w:t>
      </w:r>
      <w:r w:rsidR="000C4731">
        <w:rPr>
          <w:rFonts w:eastAsia="MS Mincho" w:cs="Arial"/>
          <w:sz w:val="20"/>
          <w:szCs w:val="22"/>
          <w:lang w:val="en-GB" w:eastAsia="ja-JP"/>
        </w:rPr>
        <w:t>t</w:t>
      </w:r>
      <w:r w:rsidRPr="00C96521">
        <w:rPr>
          <w:rFonts w:eastAsia="MS Mincho" w:cs="Arial"/>
          <w:sz w:val="20"/>
          <w:szCs w:val="22"/>
          <w:lang w:val="en-GB" w:eastAsia="ja-JP"/>
        </w:rPr>
        <w:t xml:space="preserve">he Gambia (Jarry 1994). Wood cutting at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 xml:space="preserve"> </w:t>
      </w:r>
      <w:r w:rsidRPr="00C96521">
        <w:rPr>
          <w:rFonts w:eastAsia="MS Mincho" w:cs="Arial"/>
          <w:sz w:val="20"/>
          <w:szCs w:val="22"/>
          <w:lang w:val="en-GB" w:eastAsia="ja-JP"/>
        </w:rPr>
        <w:t xml:space="preserve">roost sites in south-east Senegal has been recorded (Malang Sarr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Such modification of habitats has led to the disappearance or deterioration of important roosting sites, but may also have had an impact on the feeding opportunities for wintering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Pr="00C96521">
        <w:rPr>
          <w:rFonts w:eastAsia="MS Mincho" w:cs="Arial"/>
          <w:sz w:val="20"/>
          <w:szCs w:val="22"/>
          <w:lang w:val="en-GB" w:eastAsia="ja-JP"/>
        </w:rPr>
        <w:t xml:space="preserve">. High annual survival in a population of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in France coincided with years of high cereal production in western Africa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Isolated wetlands in Niger are under pressure from a range of human activities including: livestock grazing; hunting; and agriculture that can result in loss of trees, trampling of vegetation by grazing animals and disturbance (Brouwer 2014). Such human pressure around isolated wetlands will increase into the future (Brouwer 2014). Following the Sahel droughts of 1968-1997, the region experienced a very rapid loss of natural non-forest vegetation through increased agricultural activity (Walther 2016). The diversity, abundance and distribution of woody plant species declined strongly post-drought, brought about by a number of factors: overharvesting of woody material (for timber, firewood and livestock feed); overgrazing; intensification of agriculture leading to a decline in rotational cropping, fallows and semi-natural habitats; increased fire frequency; replacement of natural habitats with forest monocultures or invasive species (Walther 2016). The soil has also been subject to wind and water erosion. A large literature review suggests that the rapid conversion of the Sahel to a human-dominated landscape is likely the most important long-term cause of population declines in migratory species in the Sahel region (Walther 2016).</w:t>
      </w:r>
    </w:p>
    <w:p w14:paraId="023994A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608E53E" w14:textId="067F14C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Additional habitat-related threats have been identified as: the increased use of plastic and other covering in fields in Switzerland (Raffael Ayé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rapid ploughing and re-cropping of cereal fields after harvest, leading to poor availability of grains and weeds in France (Hervé Lormée </w:t>
      </w:r>
      <w:r w:rsidRPr="00C96521">
        <w:rPr>
          <w:rFonts w:eastAsia="MS Mincho" w:cs="Arial"/>
          <w:i/>
          <w:sz w:val="20"/>
          <w:szCs w:val="22"/>
          <w:lang w:val="en-GB" w:eastAsia="ja-JP"/>
        </w:rPr>
        <w:t>pers comm</w:t>
      </w:r>
      <w:r w:rsidRPr="00C96521">
        <w:rPr>
          <w:rFonts w:eastAsia="MS Mincho" w:cs="Arial"/>
          <w:sz w:val="20"/>
          <w:szCs w:val="22"/>
          <w:lang w:val="en-GB" w:eastAsia="ja-JP"/>
        </w:rPr>
        <w:t>); monocultures, loss of meadow to arable land, and urbani</w:t>
      </w:r>
      <w:r w:rsidR="000C4731">
        <w:rPr>
          <w:rFonts w:eastAsia="MS Mincho" w:cs="Arial"/>
          <w:sz w:val="20"/>
          <w:szCs w:val="22"/>
          <w:lang w:val="en-GB" w:eastAsia="ja-JP"/>
        </w:rPr>
        <w:t>z</w:t>
      </w:r>
      <w:r w:rsidRPr="00C96521">
        <w:rPr>
          <w:rFonts w:eastAsia="MS Mincho" w:cs="Arial"/>
          <w:sz w:val="20"/>
          <w:szCs w:val="22"/>
          <w:lang w:val="en-GB" w:eastAsia="ja-JP"/>
        </w:rPr>
        <w:t>ation of agricultural habitats in Lithuania (</w:t>
      </w:r>
      <w:r w:rsidRPr="00C96521">
        <w:rPr>
          <w:rFonts w:cs="Arial"/>
          <w:sz w:val="20"/>
          <w:szCs w:val="20"/>
          <w:lang w:val="en-GB" w:eastAsia="en-GB"/>
        </w:rPr>
        <w:t xml:space="preserve">Liutauras Raudonikis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and in Portugal, particularly in the coastal regions (Susana Dias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reseeding of grassland and intensive grassland management, increased use of pesticides, and high predator densities in Estonia (Jaanus Elts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changes in crop rotation and uncontrolled forest cutting in Ukraine (Tetiana Kuzmenko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and the decline of wooded semi-natural pastures because of under-grazing in Turkey (Itri Levent Erkol </w:t>
      </w:r>
      <w:r w:rsidRPr="00C96521">
        <w:rPr>
          <w:rFonts w:eastAsia="MS Mincho" w:cs="Arial"/>
          <w:i/>
          <w:sz w:val="20"/>
          <w:szCs w:val="22"/>
          <w:lang w:val="en-GB" w:eastAsia="ja-JP"/>
        </w:rPr>
        <w:t>pers comm</w:t>
      </w:r>
      <w:r w:rsidRPr="00C96521">
        <w:rPr>
          <w:rFonts w:eastAsia="MS Mincho" w:cs="Arial"/>
          <w:sz w:val="20"/>
          <w:szCs w:val="22"/>
          <w:lang w:val="en-GB" w:eastAsia="ja-JP"/>
        </w:rPr>
        <w:t>).</w:t>
      </w:r>
      <w:r w:rsidRPr="00C96521">
        <w:rPr>
          <w:rFonts w:eastAsia="MS Mincho"/>
          <w:sz w:val="20"/>
          <w:szCs w:val="22"/>
          <w:lang w:val="en-GB" w:eastAsia="ja-JP"/>
        </w:rPr>
        <w:t xml:space="preserve"> In the Mediterranean region, increasing frequency and intensity of wildfires may threaten suitable habitat (conifer plantations with low cover of under-storey shrubs) (Dias </w:t>
      </w:r>
      <w:r w:rsidRPr="00C96521">
        <w:rPr>
          <w:rFonts w:eastAsia="MS Mincho"/>
          <w:i/>
          <w:sz w:val="20"/>
          <w:szCs w:val="22"/>
          <w:lang w:val="en-GB" w:eastAsia="ja-JP"/>
        </w:rPr>
        <w:t>et al</w:t>
      </w:r>
      <w:r w:rsidRPr="00C96521">
        <w:rPr>
          <w:rFonts w:eastAsia="MS Mincho"/>
          <w:sz w:val="20"/>
          <w:szCs w:val="22"/>
          <w:lang w:val="en-GB" w:eastAsia="ja-JP"/>
        </w:rPr>
        <w:t xml:space="preserve"> 2013).</w:t>
      </w:r>
    </w:p>
    <w:p w14:paraId="4E4F712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58B5298E"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6" w:name="_Toc478646911"/>
      <w:r w:rsidRPr="00C96521">
        <w:rPr>
          <w:rFonts w:ascii="Cambria" w:eastAsia="MS Gothic" w:hAnsi="Cambria"/>
          <w:b/>
          <w:bCs/>
          <w:color w:val="4F81BD"/>
          <w:sz w:val="26"/>
          <w:szCs w:val="26"/>
          <w:lang w:val="en-GB" w:eastAsia="ja-JP"/>
        </w:rPr>
        <w:t>Illegal killing</w:t>
      </w:r>
      <w:bookmarkEnd w:id="26"/>
    </w:p>
    <w:p w14:paraId="3908097F" w14:textId="77777777" w:rsidR="00C96521" w:rsidRPr="00F64924" w:rsidRDefault="00C96521" w:rsidP="00C96521">
      <w:pPr>
        <w:widowControl/>
        <w:autoSpaceDE/>
        <w:autoSpaceDN/>
        <w:adjustRightInd/>
        <w:spacing w:line="276" w:lineRule="auto"/>
        <w:rPr>
          <w:rFonts w:eastAsia="MS Mincho" w:cs="Arial"/>
          <w:sz w:val="20"/>
          <w:szCs w:val="22"/>
          <w:lang w:val="en-GB" w:eastAsia="ja-JP"/>
        </w:rPr>
      </w:pPr>
    </w:p>
    <w:p w14:paraId="04612FF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In the context of this Action Plan, illegal killing is defined as catching, trapping and/or killing outside of the hunting season.</w:t>
      </w:r>
    </w:p>
    <w:p w14:paraId="1F7A06F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76A5C0B" w14:textId="5170A754"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Estimates of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 xml:space="preserve">ove </w:t>
      </w:r>
      <w:r w:rsidRPr="00C96521">
        <w:rPr>
          <w:rFonts w:eastAsia="MS Mincho" w:cs="Arial"/>
          <w:sz w:val="20"/>
          <w:szCs w:val="22"/>
          <w:lang w:val="en-GB" w:eastAsia="ja-JP"/>
        </w:rPr>
        <w:t xml:space="preserve">mortality due to illegal activities have proven to be complex and challenging to develop. </w:t>
      </w:r>
      <w:r w:rsidRPr="00C96521">
        <w:rPr>
          <w:rFonts w:eastAsia="MS Mincho"/>
          <w:sz w:val="20"/>
          <w:szCs w:val="22"/>
          <w:lang w:val="en-GB" w:eastAsia="ja-JP"/>
        </w:rPr>
        <w:t xml:space="preserve">In most countries, verifiable numbers are lacking or data on officially disclosed cases of illegal killing are limited. Brochet </w:t>
      </w:r>
      <w:r w:rsidRPr="00C96521">
        <w:rPr>
          <w:rFonts w:eastAsia="MS Mincho"/>
          <w:i/>
          <w:sz w:val="20"/>
          <w:szCs w:val="22"/>
          <w:lang w:val="en-GB" w:eastAsia="ja-JP"/>
        </w:rPr>
        <w:t>et al</w:t>
      </w:r>
      <w:r w:rsidRPr="00C96521">
        <w:rPr>
          <w:rFonts w:eastAsia="MS Mincho"/>
          <w:sz w:val="20"/>
          <w:szCs w:val="22"/>
          <w:lang w:val="en-GB" w:eastAsia="ja-JP"/>
        </w:rPr>
        <w:t xml:space="preserve"> (2016) estimate the number of turtle-doves killed illegally in the Mediterranean at 602,599 individuals annually (336,014-869,183). Libya, </w:t>
      </w:r>
      <w:r w:rsidR="000C4731">
        <w:rPr>
          <w:rFonts w:eastAsia="MS Mincho"/>
          <w:sz w:val="20"/>
          <w:szCs w:val="22"/>
          <w:lang w:val="en-GB" w:eastAsia="ja-JP"/>
        </w:rPr>
        <w:t xml:space="preserve">the </w:t>
      </w:r>
      <w:r w:rsidRPr="00C96521">
        <w:rPr>
          <w:rFonts w:eastAsia="MS Mincho"/>
          <w:sz w:val="20"/>
          <w:szCs w:val="22"/>
          <w:lang w:val="en-GB" w:eastAsia="ja-JP"/>
        </w:rPr>
        <w:t>Syria</w:t>
      </w:r>
      <w:r w:rsidR="000C4731">
        <w:rPr>
          <w:rFonts w:eastAsia="MS Mincho"/>
          <w:sz w:val="20"/>
          <w:szCs w:val="22"/>
          <w:lang w:val="en-GB" w:eastAsia="ja-JP"/>
        </w:rPr>
        <w:t>n Arab Republic</w:t>
      </w:r>
      <w:r w:rsidRPr="00C96521">
        <w:rPr>
          <w:rFonts w:eastAsia="MS Mincho"/>
          <w:sz w:val="20"/>
          <w:szCs w:val="22"/>
          <w:lang w:val="en-GB" w:eastAsia="ja-JP"/>
        </w:rPr>
        <w:t xml:space="preserve"> and Greece were the countries where the largest number of birds were killed each year. </w:t>
      </w:r>
      <w:r w:rsidR="000C4731">
        <w:rPr>
          <w:rFonts w:eastAsia="MS Mincho"/>
          <w:sz w:val="20"/>
          <w:szCs w:val="22"/>
          <w:lang w:val="en-GB" w:eastAsia="ja-JP"/>
        </w:rPr>
        <w:t>The 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is traded legally in significant numbers (for example, as a hunting trophy), but it is also traded illegally in large numbers in Europe (TRAFFIC 2008). </w:t>
      </w:r>
      <w:r w:rsidRPr="00C96521">
        <w:rPr>
          <w:rFonts w:eastAsia="MS Mincho"/>
          <w:sz w:val="20"/>
          <w:szCs w:val="22"/>
          <w:lang w:val="en-GB" w:eastAsia="ja-JP"/>
        </w:rPr>
        <w:t xml:space="preserve">Illegal killing of birds is prevalent on the Ionian Islands of Greece, with an estimated 69,000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sz w:val="20"/>
          <w:szCs w:val="22"/>
          <w:lang w:val="en-GB" w:eastAsia="ja-JP"/>
        </w:rPr>
        <w:t xml:space="preserve">illegally shot every spring (LIPU/SEO/HOS 2015). </w:t>
      </w:r>
      <w:r w:rsidRPr="00C96521">
        <w:rPr>
          <w:rFonts w:eastAsia="MS Mincho" w:cs="Arial"/>
          <w:sz w:val="20"/>
          <w:szCs w:val="22"/>
          <w:lang w:val="en-GB" w:eastAsia="ja-JP"/>
        </w:rPr>
        <w:t xml:space="preserve">The species is illegally killed in Egypt during autumn migration, where an estimated 34,534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are caught annually along the North Sinai coastline (Eason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 Some of these birds may be sold in local markets. </w:t>
      </w:r>
      <w:r w:rsidR="000C4731">
        <w:rPr>
          <w:rFonts w:eastAsia="MS Mincho" w:cs="Arial"/>
          <w:sz w:val="20"/>
          <w:szCs w:val="22"/>
          <w:lang w:val="en-GB" w:eastAsia="ja-JP"/>
        </w:rPr>
        <w:t xml:space="preserve"> </w:t>
      </w:r>
    </w:p>
    <w:p w14:paraId="3659E6D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1F8AB14" w14:textId="5F831564"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In Cyprus, hunters illegally put down food to attract </w:t>
      </w:r>
      <w:r w:rsidR="000C4731">
        <w:rPr>
          <w:rFonts w:eastAsia="MS Mincho" w:cs="Arial"/>
          <w:sz w:val="20"/>
          <w:szCs w:val="22"/>
          <w:lang w:val="en-GB" w:eastAsia="ja-JP"/>
        </w:rPr>
        <w:t>W</w:t>
      </w:r>
      <w:r w:rsidRPr="00C96521">
        <w:rPr>
          <w:rFonts w:eastAsia="MS Mincho" w:cs="Arial"/>
          <w:sz w:val="20"/>
          <w:szCs w:val="22"/>
          <w:lang w:val="en-GB" w:eastAsia="ja-JP"/>
        </w:rPr>
        <w:t xml:space="preserve">ood </w:t>
      </w:r>
      <w:r w:rsidR="000C4731">
        <w:rPr>
          <w:rFonts w:eastAsia="MS Mincho" w:cs="Arial"/>
          <w:sz w:val="20"/>
          <w:szCs w:val="22"/>
          <w:lang w:val="en-GB" w:eastAsia="ja-JP"/>
        </w:rPr>
        <w:t>P</w:t>
      </w:r>
      <w:r w:rsidRPr="00C96521">
        <w:rPr>
          <w:rFonts w:eastAsia="MS Mincho" w:cs="Arial"/>
          <w:sz w:val="20"/>
          <w:szCs w:val="22"/>
          <w:lang w:val="en-GB" w:eastAsia="ja-JP"/>
        </w:rPr>
        <w:t>igeon (</w:t>
      </w:r>
      <w:r w:rsidRPr="00C96521">
        <w:rPr>
          <w:rFonts w:eastAsia="MS Mincho" w:cs="Arial"/>
          <w:i/>
          <w:sz w:val="20"/>
          <w:szCs w:val="22"/>
          <w:lang w:val="en-GB" w:eastAsia="ja-JP"/>
        </w:rPr>
        <w:t>Columba palumbus</w:t>
      </w:r>
      <w:r w:rsidRPr="00C96521">
        <w:rPr>
          <w:rFonts w:eastAsia="MS Mincho" w:cs="Arial"/>
          <w:sz w:val="20"/>
          <w:szCs w:val="22"/>
          <w:lang w:val="en-GB" w:eastAsia="ja-JP"/>
        </w:rPr>
        <w:t xml:space="preserve">) and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Pr="00C96521">
        <w:rPr>
          <w:rFonts w:eastAsia="MS Mincho" w:cs="Arial"/>
          <w:sz w:val="20"/>
          <w:szCs w:val="22"/>
          <w:lang w:val="en-GB" w:eastAsia="ja-JP"/>
        </w:rPr>
        <w:t>, which are then shot in large numbers. As it has not been possible to control this practice to</w:t>
      </w:r>
      <w:r w:rsidR="000C4731">
        <w:rPr>
          <w:rFonts w:eastAsia="MS Mincho" w:cs="Arial"/>
          <w:sz w:val="20"/>
          <w:szCs w:val="22"/>
          <w:lang w:val="en-GB" w:eastAsia="ja-JP"/>
        </w:rPr>
        <w:t xml:space="preserve"> </w:t>
      </w:r>
      <w:r w:rsidRPr="00C96521">
        <w:rPr>
          <w:rFonts w:eastAsia="MS Mincho" w:cs="Arial"/>
          <w:sz w:val="20"/>
          <w:szCs w:val="22"/>
          <w:lang w:val="en-GB" w:eastAsia="ja-JP"/>
        </w:rPr>
        <w:t>date, the legali</w:t>
      </w:r>
      <w:r w:rsidR="000C4731">
        <w:rPr>
          <w:rFonts w:eastAsia="MS Mincho" w:cs="Arial"/>
          <w:sz w:val="20"/>
          <w:szCs w:val="22"/>
          <w:lang w:val="en-GB" w:eastAsia="ja-JP"/>
        </w:rPr>
        <w:t>z</w:t>
      </w:r>
      <w:r w:rsidRPr="00C96521">
        <w:rPr>
          <w:rFonts w:eastAsia="MS Mincho" w:cs="Arial"/>
          <w:sz w:val="20"/>
          <w:szCs w:val="22"/>
          <w:lang w:val="en-GB" w:eastAsia="ja-JP"/>
        </w:rPr>
        <w:t xml:space="preserve">ation of the practice of ‘feeding’ (τάϊσμα/taisma) has been tabled by the Game and Fauna Service </w:t>
      </w:r>
      <w:r w:rsidRPr="00C96521">
        <w:rPr>
          <w:rFonts w:eastAsia="MS Mincho" w:cs="Arial"/>
          <w:sz w:val="20"/>
          <w:szCs w:val="22"/>
          <w:lang w:val="en-GB" w:eastAsia="ja-JP"/>
        </w:rPr>
        <w:lastRenderedPageBreak/>
        <w:t>under the proposed amendment of the Hunting Law (Protection and Management of Wild Birds and Game Law Ν152(Ι)/2003) to mitigate the impacts by increasing the geographic spread and reducing the proportion of the populations affected at each site. However, BirdLife Cyprus oppose</w:t>
      </w:r>
      <w:r w:rsidR="000C4731">
        <w:rPr>
          <w:rFonts w:eastAsia="MS Mincho" w:cs="Arial"/>
          <w:sz w:val="20"/>
          <w:szCs w:val="22"/>
          <w:lang w:val="en-GB" w:eastAsia="ja-JP"/>
        </w:rPr>
        <w:t>s</w:t>
      </w:r>
      <w:r w:rsidRPr="00C96521">
        <w:rPr>
          <w:rFonts w:eastAsia="MS Mincho" w:cs="Arial"/>
          <w:sz w:val="20"/>
          <w:szCs w:val="22"/>
          <w:lang w:val="en-GB" w:eastAsia="ja-JP"/>
        </w:rPr>
        <w:t xml:space="preserve"> this legali</w:t>
      </w:r>
      <w:r w:rsidR="000C4731">
        <w:rPr>
          <w:rFonts w:eastAsia="MS Mincho" w:cs="Arial"/>
          <w:sz w:val="20"/>
          <w:szCs w:val="22"/>
          <w:lang w:val="en-GB" w:eastAsia="ja-JP"/>
        </w:rPr>
        <w:t>z</w:t>
      </w:r>
      <w:r w:rsidRPr="00C96521">
        <w:rPr>
          <w:rFonts w:eastAsia="MS Mincho" w:cs="Arial"/>
          <w:sz w:val="20"/>
          <w:szCs w:val="22"/>
          <w:lang w:val="en-GB" w:eastAsia="ja-JP"/>
        </w:rPr>
        <w:t xml:space="preserve">ation (BirdLife Cyprus 2016). </w:t>
      </w:r>
    </w:p>
    <w:p w14:paraId="2BC7FF3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2970932" w14:textId="43E7134D" w:rsidR="00C96521" w:rsidRPr="00C96521" w:rsidRDefault="00C96521" w:rsidP="00C96521">
      <w:pPr>
        <w:widowControl/>
        <w:autoSpaceDE/>
        <w:autoSpaceDN/>
        <w:adjustRightInd/>
        <w:spacing w:line="276" w:lineRule="auto"/>
        <w:rPr>
          <w:rFonts w:eastAsia="MS Mincho" w:cs="Arial"/>
          <w:color w:val="FF0000"/>
          <w:sz w:val="20"/>
          <w:szCs w:val="22"/>
          <w:lang w:val="en-GB" w:eastAsia="ja-JP"/>
        </w:rPr>
      </w:pPr>
      <w:r w:rsidRPr="00C96521">
        <w:rPr>
          <w:rFonts w:eastAsia="MS Mincho"/>
          <w:sz w:val="20"/>
          <w:szCs w:val="22"/>
          <w:lang w:val="en-GB" w:eastAsia="ja-JP"/>
        </w:rPr>
        <w:t>Work is underway to implement the Tunis Action Plan 2013-2020 for the eradication of illegal killing, trapping and trade of wild birds (Golovkin 2016), and there are some national initiatives. For example, t</w:t>
      </w:r>
      <w:r w:rsidRPr="00C96521">
        <w:rPr>
          <w:rFonts w:eastAsia="MS Mincho" w:cs="Arial"/>
          <w:sz w:val="20"/>
          <w:szCs w:val="22"/>
          <w:lang w:val="en-GB" w:eastAsia="ja-JP"/>
        </w:rPr>
        <w:t xml:space="preserve">he Italian Ministry of the Environment is in the process of </w:t>
      </w:r>
      <w:r w:rsidR="000C4731" w:rsidRPr="00C96521">
        <w:rPr>
          <w:rFonts w:eastAsia="MS Mincho" w:cs="Arial"/>
          <w:sz w:val="20"/>
          <w:szCs w:val="22"/>
          <w:lang w:val="en-GB" w:eastAsia="ja-JP"/>
        </w:rPr>
        <w:t>finali</w:t>
      </w:r>
      <w:r w:rsidR="000C4731">
        <w:rPr>
          <w:rFonts w:eastAsia="MS Mincho" w:cs="Arial"/>
          <w:sz w:val="20"/>
          <w:szCs w:val="22"/>
          <w:lang w:val="en-GB" w:eastAsia="ja-JP"/>
        </w:rPr>
        <w:t>z</w:t>
      </w:r>
      <w:r w:rsidR="000C4731" w:rsidRPr="00C96521">
        <w:rPr>
          <w:rFonts w:eastAsia="MS Mincho" w:cs="Arial"/>
          <w:sz w:val="20"/>
          <w:szCs w:val="22"/>
          <w:lang w:val="en-GB" w:eastAsia="ja-JP"/>
        </w:rPr>
        <w:t xml:space="preserve">ing </w:t>
      </w:r>
      <w:r w:rsidRPr="00C96521">
        <w:rPr>
          <w:rFonts w:eastAsia="MS Mincho" w:cs="Arial"/>
          <w:sz w:val="20"/>
          <w:szCs w:val="22"/>
          <w:lang w:val="en-GB" w:eastAsia="ja-JP"/>
        </w:rPr>
        <w:t>a National Action Plan on Illegal Killing, Trapping and Trade of Wild Birds, which will be a step towards reducing illegal harvesting both during and outside the formal hunting season. However, there is little information from large areas of the species' range, and expert opinion is that illegal take is having a critical impact on the population size of turtle-doves in some regions.</w:t>
      </w:r>
    </w:p>
    <w:p w14:paraId="674894A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67CEF63"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7" w:name="_Toc478646912"/>
      <w:r w:rsidRPr="00C96521">
        <w:rPr>
          <w:rFonts w:ascii="Cambria" w:eastAsia="MS Gothic" w:hAnsi="Cambria"/>
          <w:b/>
          <w:bCs/>
          <w:color w:val="4F81BD"/>
          <w:sz w:val="26"/>
          <w:szCs w:val="26"/>
          <w:lang w:val="en-GB" w:eastAsia="ja-JP"/>
        </w:rPr>
        <w:t>Hunting</w:t>
      </w:r>
      <w:bookmarkEnd w:id="27"/>
    </w:p>
    <w:p w14:paraId="61F8A5CB"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AFD4E1D" w14:textId="306BDB5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Hunting of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cs="Arial"/>
          <w:sz w:val="20"/>
          <w:szCs w:val="22"/>
          <w:lang w:val="en-GB" w:eastAsia="ja-JP"/>
        </w:rPr>
        <w:t xml:space="preserve">is permitted in ten EU Member States (Austria, Bulgaria, Cyprus, France, Greece, Italy, Malta, Portugal, Romania and Spain) </w:t>
      </w:r>
      <w:r w:rsidRPr="00C96521">
        <w:rPr>
          <w:rFonts w:eastAsia="MS Mincho"/>
          <w:sz w:val="20"/>
          <w:szCs w:val="22"/>
          <w:lang w:val="en-GB" w:eastAsia="ja-JP"/>
        </w:rPr>
        <w:t>by Article 7 in relation to Annex II-B of the Birds Directive</w:t>
      </w:r>
      <w:r w:rsidRPr="00C96521">
        <w:rPr>
          <w:rFonts w:eastAsia="MS Mincho" w:cs="Arial"/>
          <w:sz w:val="20"/>
          <w:szCs w:val="22"/>
          <w:lang w:val="en-GB" w:eastAsia="ja-JP"/>
        </w:rPr>
        <w:t xml:space="preserve">. </w:t>
      </w:r>
      <w:r w:rsidRPr="00C96521">
        <w:rPr>
          <w:rFonts w:eastAsia="MS Mincho"/>
          <w:sz w:val="20"/>
          <w:szCs w:val="22"/>
          <w:lang w:val="en-GB" w:eastAsia="ja-JP"/>
        </w:rPr>
        <w:t xml:space="preserve">In these countries, hunting is regulated by national legislation, although each Member State must ensure that the hunting of </w:t>
      </w:r>
      <w:r w:rsidR="000C4731">
        <w:rPr>
          <w:rFonts w:eastAsia="MS Mincho"/>
          <w:sz w:val="20"/>
          <w:szCs w:val="22"/>
          <w:lang w:val="en-GB" w:eastAsia="ja-JP"/>
        </w:rPr>
        <w:t>T</w:t>
      </w:r>
      <w:r w:rsidR="000C4731" w:rsidRPr="00C96521">
        <w:rPr>
          <w:rFonts w:eastAsia="MS Mincho"/>
          <w:sz w:val="20"/>
          <w:szCs w:val="22"/>
          <w:lang w:val="en-GB" w:eastAsia="ja-JP"/>
        </w:rPr>
        <w:t>urtle</w:t>
      </w:r>
      <w:r w:rsidR="000C4731">
        <w:rPr>
          <w:rFonts w:eastAsia="MS Mincho"/>
          <w:sz w:val="20"/>
          <w:szCs w:val="22"/>
          <w:lang w:val="en-GB" w:eastAsia="ja-JP"/>
        </w:rPr>
        <w:t xml:space="preserve"> D</w:t>
      </w:r>
      <w:r w:rsidR="000C4731" w:rsidRPr="00C96521">
        <w:rPr>
          <w:rFonts w:eastAsia="MS Mincho"/>
          <w:sz w:val="20"/>
          <w:szCs w:val="22"/>
          <w:lang w:val="en-GB" w:eastAsia="ja-JP"/>
        </w:rPr>
        <w:t>ove</w:t>
      </w:r>
      <w:r w:rsidR="000C4731">
        <w:rPr>
          <w:rFonts w:eastAsia="MS Mincho"/>
          <w:sz w:val="20"/>
          <w:szCs w:val="22"/>
          <w:lang w:val="en-GB" w:eastAsia="ja-JP"/>
        </w:rPr>
        <w:t>s</w:t>
      </w:r>
      <w:r w:rsidR="000C4731" w:rsidRPr="00C96521">
        <w:rPr>
          <w:rFonts w:eastAsia="MS Mincho"/>
          <w:sz w:val="20"/>
          <w:szCs w:val="22"/>
          <w:lang w:val="en-GB" w:eastAsia="ja-JP"/>
        </w:rPr>
        <w:t xml:space="preserve"> </w:t>
      </w:r>
      <w:r w:rsidRPr="00C96521">
        <w:rPr>
          <w:rFonts w:eastAsia="MS Mincho"/>
          <w:sz w:val="20"/>
          <w:szCs w:val="22"/>
          <w:lang w:val="en-GB" w:eastAsia="ja-JP"/>
        </w:rPr>
        <w:t>does not jeopardi</w:t>
      </w:r>
      <w:r w:rsidR="000C4731">
        <w:rPr>
          <w:rFonts w:eastAsia="MS Mincho"/>
          <w:sz w:val="20"/>
          <w:szCs w:val="22"/>
          <w:lang w:val="en-GB" w:eastAsia="ja-JP"/>
        </w:rPr>
        <w:t>z</w:t>
      </w:r>
      <w:r w:rsidRPr="00C96521">
        <w:rPr>
          <w:rFonts w:eastAsia="MS Mincho"/>
          <w:sz w:val="20"/>
          <w:szCs w:val="22"/>
          <w:lang w:val="en-GB" w:eastAsia="ja-JP"/>
        </w:rPr>
        <w:t>e conservation efforts in their distribution area. Malta further allows another hunting season during the pre-nuptial migration of the species, applied via a derogation from the Birds Directive.</w:t>
      </w:r>
      <w:r w:rsidR="000C4731">
        <w:rPr>
          <w:rFonts w:eastAsia="MS Mincho"/>
          <w:sz w:val="20"/>
          <w:szCs w:val="22"/>
          <w:lang w:val="en-GB" w:eastAsia="ja-JP"/>
        </w:rPr>
        <w:t xml:space="preserve"> </w:t>
      </w:r>
    </w:p>
    <w:p w14:paraId="02AA818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2390850" w14:textId="2A43C4C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sz w:val="20"/>
          <w:szCs w:val="22"/>
          <w:lang w:val="en-GB" w:eastAsia="ja-JP"/>
        </w:rPr>
        <w:t>The hunting pressure on the species has been described as generally high by multiple authors (e</w:t>
      </w:r>
      <w:r w:rsidR="000C4731">
        <w:rPr>
          <w:rFonts w:eastAsia="MS Mincho"/>
          <w:sz w:val="20"/>
          <w:szCs w:val="22"/>
          <w:lang w:val="en-GB" w:eastAsia="ja-JP"/>
        </w:rPr>
        <w:t>.</w:t>
      </w:r>
      <w:r w:rsidRPr="00C96521">
        <w:rPr>
          <w:rFonts w:eastAsia="MS Mincho"/>
          <w:sz w:val="20"/>
          <w:szCs w:val="22"/>
          <w:lang w:val="en-GB" w:eastAsia="ja-JP"/>
        </w:rPr>
        <w:t>g</w:t>
      </w:r>
      <w:r w:rsidR="000C4731">
        <w:rPr>
          <w:rFonts w:eastAsia="MS Mincho"/>
          <w:sz w:val="20"/>
          <w:szCs w:val="22"/>
          <w:lang w:val="en-GB" w:eastAsia="ja-JP"/>
        </w:rPr>
        <w:t>.</w:t>
      </w:r>
      <w:r w:rsidRPr="00C96521">
        <w:rPr>
          <w:rFonts w:eastAsia="MS Mincho"/>
          <w:sz w:val="20"/>
          <w:szCs w:val="22"/>
          <w:lang w:val="en-GB" w:eastAsia="ja-JP"/>
        </w:rPr>
        <w:t xml:space="preserve"> between </w:t>
      </w:r>
      <w:r w:rsidR="000C4731">
        <w:rPr>
          <w:rFonts w:eastAsia="MS Mincho"/>
          <w:sz w:val="20"/>
          <w:szCs w:val="22"/>
          <w:lang w:val="en-GB" w:eastAsia="ja-JP"/>
        </w:rPr>
        <w:t>2 million</w:t>
      </w:r>
      <w:r w:rsidR="000C4731" w:rsidRPr="00C96521">
        <w:rPr>
          <w:rFonts w:eastAsia="MS Mincho"/>
          <w:sz w:val="20"/>
          <w:szCs w:val="22"/>
          <w:lang w:val="en-GB" w:eastAsia="ja-JP"/>
        </w:rPr>
        <w:t xml:space="preserve"> </w:t>
      </w:r>
      <w:r w:rsidRPr="00C96521">
        <w:rPr>
          <w:rFonts w:eastAsia="MS Mincho"/>
          <w:sz w:val="20"/>
          <w:szCs w:val="22"/>
          <w:lang w:val="en-GB" w:eastAsia="ja-JP"/>
        </w:rPr>
        <w:t xml:space="preserve">and </w:t>
      </w:r>
      <w:r w:rsidR="000C4731">
        <w:rPr>
          <w:rFonts w:eastAsia="MS Mincho"/>
          <w:sz w:val="20"/>
          <w:szCs w:val="22"/>
          <w:lang w:val="en-GB" w:eastAsia="ja-JP"/>
        </w:rPr>
        <w:t>4</w:t>
      </w:r>
      <w:r w:rsidR="000C4731" w:rsidRPr="00C96521">
        <w:rPr>
          <w:rFonts w:eastAsia="MS Mincho"/>
          <w:sz w:val="20"/>
          <w:szCs w:val="22"/>
          <w:lang w:val="en-GB" w:eastAsia="ja-JP"/>
        </w:rPr>
        <w:t xml:space="preserve"> </w:t>
      </w:r>
      <w:r w:rsidRPr="00C96521">
        <w:rPr>
          <w:rFonts w:eastAsia="MS Mincho"/>
          <w:sz w:val="20"/>
          <w:szCs w:val="22"/>
          <w:lang w:val="en-GB" w:eastAsia="ja-JP"/>
        </w:rPr>
        <w:t xml:space="preserve">million birds shot annually, Boutin </w:t>
      </w:r>
      <w:r w:rsidRPr="00C96521">
        <w:rPr>
          <w:rFonts w:eastAsia="MS Mincho"/>
          <w:i/>
          <w:sz w:val="20"/>
          <w:szCs w:val="22"/>
          <w:lang w:val="en-GB" w:eastAsia="ja-JP"/>
        </w:rPr>
        <w:t>et al</w:t>
      </w:r>
      <w:r w:rsidRPr="00C96521">
        <w:rPr>
          <w:rFonts w:eastAsia="MS Mincho"/>
          <w:sz w:val="20"/>
          <w:szCs w:val="22"/>
          <w:lang w:val="en-GB" w:eastAsia="ja-JP"/>
        </w:rPr>
        <w:t xml:space="preserve">. 2001, </w:t>
      </w:r>
      <w:r w:rsidRPr="00C96521">
        <w:rPr>
          <w:rFonts w:eastAsia="MS Mincho" w:cs="Arial"/>
          <w:sz w:val="20"/>
          <w:szCs w:val="22"/>
          <w:lang w:val="en-GB" w:eastAsia="ja-JP"/>
        </w:rPr>
        <w:t>Hirschfeld and Heyd 2005</w:t>
      </w:r>
      <w:r w:rsidRPr="00C96521">
        <w:rPr>
          <w:rFonts w:eastAsia="MS Mincho"/>
          <w:sz w:val="20"/>
          <w:szCs w:val="22"/>
          <w:lang w:val="en-GB" w:eastAsia="ja-JP"/>
        </w:rPr>
        <w:t xml:space="preserve">), but there are disagreements about the accuracy of estimates for various countries. </w:t>
      </w:r>
      <w:r w:rsidRPr="00C96521">
        <w:rPr>
          <w:rFonts w:eastAsia="MS Mincho" w:cs="Arial"/>
          <w:sz w:val="20"/>
          <w:szCs w:val="22"/>
          <w:lang w:val="en-GB" w:eastAsia="ja-JP"/>
        </w:rPr>
        <w:t xml:space="preserve">Data on hunting bags, particularly where self-reported and not necessarily verified, may be subject to both under- and over-estimation but it is not known to what degree. Some populations may have to cross several countries where the species is huntable before reaching their breeding/passage/wintering grounds. </w:t>
      </w:r>
    </w:p>
    <w:p w14:paraId="4100DC33"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590C7A0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Table 4 shows the available data on hunting bag statistics provided by the European Federation of Associations for Hunting and Conservation (FACE) and others.</w:t>
      </w:r>
    </w:p>
    <w:p w14:paraId="4EB22EC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4B9E9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B4C39D1" w14:textId="77777777" w:rsidR="00C96521" w:rsidRPr="00C96521" w:rsidRDefault="00C96521" w:rsidP="00C96521">
      <w:pPr>
        <w:widowControl/>
        <w:autoSpaceDE/>
        <w:autoSpaceDN/>
        <w:adjustRightInd/>
        <w:rPr>
          <w:rFonts w:eastAsia="MS Mincho" w:cs="Arial"/>
          <w:i/>
          <w:sz w:val="20"/>
          <w:szCs w:val="20"/>
          <w:lang w:val="en-GB" w:eastAsia="ja-JP"/>
        </w:rPr>
        <w:sectPr w:rsidR="00C96521" w:rsidRPr="00C96521" w:rsidSect="00C96521">
          <w:pgSz w:w="11920" w:h="16840"/>
          <w:pgMar w:top="1276" w:right="1300" w:bottom="920" w:left="1300" w:header="730" w:footer="738" w:gutter="0"/>
          <w:cols w:space="720"/>
          <w:docGrid w:linePitch="299"/>
        </w:sectPr>
      </w:pPr>
    </w:p>
    <w:p w14:paraId="0652CB90" w14:textId="77777777" w:rsidR="00C96521" w:rsidRPr="00C96521" w:rsidRDefault="00C96521" w:rsidP="00C96521">
      <w:pPr>
        <w:widowControl/>
        <w:autoSpaceDE/>
        <w:autoSpaceDN/>
        <w:adjustRightInd/>
        <w:rPr>
          <w:rFonts w:eastAsia="MS Mincho" w:cs="Arial"/>
          <w:i/>
          <w:sz w:val="20"/>
          <w:szCs w:val="20"/>
          <w:lang w:val="en-GB" w:eastAsia="ja-JP"/>
        </w:rPr>
      </w:pPr>
      <w:r w:rsidRPr="00C96521">
        <w:rPr>
          <w:rFonts w:eastAsia="MS Mincho" w:cs="Arial"/>
          <w:i/>
          <w:sz w:val="20"/>
          <w:szCs w:val="20"/>
          <w:lang w:val="en-GB" w:eastAsia="ja-JP"/>
        </w:rPr>
        <w:lastRenderedPageBreak/>
        <w:t xml:space="preserve">Table 4. Turtle-dove bag numbers and protection/hunting details across range states within Europe, Central Asia and Africa. </w:t>
      </w:r>
      <w:r w:rsidRPr="00C96521">
        <w:rPr>
          <w:rFonts w:eastAsia="MS Mincho" w:cs="Arial"/>
          <w:i/>
          <w:sz w:val="20"/>
          <w:szCs w:val="22"/>
          <w:lang w:val="en-GB" w:eastAsia="ja-JP"/>
        </w:rPr>
        <w:t>Countries are only included where information is available.</w:t>
      </w:r>
    </w:p>
    <w:p w14:paraId="3158157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tbl>
      <w:tblPr>
        <w:tblStyle w:val="TableGrid"/>
        <w:tblW w:w="5000" w:type="pct"/>
        <w:tblLayout w:type="fixed"/>
        <w:tblLook w:val="04A0" w:firstRow="1" w:lastRow="0" w:firstColumn="1" w:lastColumn="0" w:noHBand="0" w:noVBand="1"/>
      </w:tblPr>
      <w:tblGrid>
        <w:gridCol w:w="2558"/>
        <w:gridCol w:w="1771"/>
        <w:gridCol w:w="10306"/>
      </w:tblGrid>
      <w:tr w:rsidR="00C96521" w:rsidRPr="00965D7D" w14:paraId="155203F0" w14:textId="77777777" w:rsidTr="00C96521">
        <w:trPr>
          <w:tblHeader/>
        </w:trPr>
        <w:tc>
          <w:tcPr>
            <w:tcW w:w="874" w:type="pct"/>
            <w:shd w:val="clear" w:color="auto" w:fill="D9D9D9"/>
          </w:tcPr>
          <w:p w14:paraId="1B3CABB6" w14:textId="77777777" w:rsidR="00C96521" w:rsidRPr="00B70B7A" w:rsidRDefault="00C96521" w:rsidP="00C96521">
            <w:pPr>
              <w:widowControl/>
              <w:autoSpaceDE/>
              <w:autoSpaceDN/>
              <w:adjustRightInd/>
              <w:rPr>
                <w:rFonts w:ascii="Arial" w:hAnsi="Arial" w:cs="Arial"/>
                <w:b/>
                <w:sz w:val="20"/>
                <w:szCs w:val="20"/>
                <w:lang w:val="en-GB"/>
              </w:rPr>
            </w:pPr>
            <w:r w:rsidRPr="00B70B7A">
              <w:rPr>
                <w:rFonts w:ascii="Arial" w:hAnsi="Arial" w:cs="Arial"/>
                <w:b/>
                <w:sz w:val="20"/>
                <w:szCs w:val="20"/>
                <w:lang w:val="en-GB"/>
              </w:rPr>
              <w:t>Country</w:t>
            </w:r>
          </w:p>
        </w:tc>
        <w:tc>
          <w:tcPr>
            <w:tcW w:w="605" w:type="pct"/>
            <w:shd w:val="clear" w:color="auto" w:fill="D9D9D9"/>
          </w:tcPr>
          <w:p w14:paraId="0194160D" w14:textId="77777777" w:rsidR="00C96521" w:rsidRPr="00B70B7A" w:rsidRDefault="00C96521" w:rsidP="00C96521">
            <w:pPr>
              <w:widowControl/>
              <w:autoSpaceDE/>
              <w:autoSpaceDN/>
              <w:adjustRightInd/>
              <w:rPr>
                <w:rFonts w:ascii="Arial" w:hAnsi="Arial" w:cs="Arial"/>
                <w:b/>
                <w:sz w:val="20"/>
                <w:szCs w:val="20"/>
                <w:lang w:val="en-GB"/>
              </w:rPr>
            </w:pPr>
            <w:r w:rsidRPr="00B70B7A">
              <w:rPr>
                <w:rFonts w:ascii="Arial" w:hAnsi="Arial" w:cs="Arial"/>
                <w:b/>
                <w:sz w:val="20"/>
                <w:szCs w:val="20"/>
                <w:lang w:val="en-GB"/>
              </w:rPr>
              <w:t>Birds bagged</w:t>
            </w:r>
          </w:p>
        </w:tc>
        <w:tc>
          <w:tcPr>
            <w:tcW w:w="3521" w:type="pct"/>
            <w:shd w:val="clear" w:color="auto" w:fill="D9D9D9"/>
          </w:tcPr>
          <w:p w14:paraId="291E954A" w14:textId="77777777" w:rsidR="00C96521" w:rsidRPr="00965D7D" w:rsidRDefault="00C96521" w:rsidP="00C96521">
            <w:pPr>
              <w:widowControl/>
              <w:autoSpaceDE/>
              <w:autoSpaceDN/>
              <w:adjustRightInd/>
              <w:rPr>
                <w:rFonts w:ascii="Arial" w:hAnsi="Arial" w:cs="Arial"/>
                <w:b/>
                <w:sz w:val="20"/>
                <w:szCs w:val="20"/>
                <w:lang w:val="en-GB"/>
              </w:rPr>
            </w:pPr>
            <w:r w:rsidRPr="00965D7D">
              <w:rPr>
                <w:rFonts w:ascii="Arial" w:hAnsi="Arial" w:cs="Arial"/>
                <w:b/>
                <w:sz w:val="20"/>
                <w:szCs w:val="20"/>
                <w:lang w:val="en-GB"/>
              </w:rPr>
              <w:t>Protection/hunting details</w:t>
            </w:r>
          </w:p>
        </w:tc>
      </w:tr>
      <w:tr w:rsidR="00C96521" w:rsidRPr="00965D7D" w14:paraId="6FBD80EC" w14:textId="77777777" w:rsidTr="00C96521">
        <w:tc>
          <w:tcPr>
            <w:tcW w:w="874" w:type="pct"/>
            <w:shd w:val="clear" w:color="auto" w:fill="auto"/>
          </w:tcPr>
          <w:p w14:paraId="066DDB2E"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Albania</w:t>
            </w:r>
          </w:p>
        </w:tc>
        <w:tc>
          <w:tcPr>
            <w:tcW w:w="605" w:type="pct"/>
            <w:shd w:val="clear" w:color="auto" w:fill="auto"/>
          </w:tcPr>
          <w:p w14:paraId="3F7E2C65" w14:textId="77777777" w:rsidR="00C96521" w:rsidRPr="00965D7D" w:rsidRDefault="00C96521" w:rsidP="00C96521">
            <w:pPr>
              <w:widowControl/>
              <w:autoSpaceDE/>
              <w:autoSpaceDN/>
              <w:adjustRightInd/>
              <w:rPr>
                <w:rFonts w:ascii="Arial" w:hAnsi="Arial" w:cs="Arial"/>
                <w:sz w:val="20"/>
                <w:szCs w:val="20"/>
                <w:lang w:val="en-GB"/>
              </w:rPr>
            </w:pPr>
          </w:p>
        </w:tc>
        <w:tc>
          <w:tcPr>
            <w:tcW w:w="3521" w:type="pct"/>
          </w:tcPr>
          <w:p w14:paraId="6679F51F" w14:textId="77777777" w:rsidR="00C96521" w:rsidRPr="00965D7D" w:rsidRDefault="00C96521" w:rsidP="00C96521">
            <w:pPr>
              <w:widowControl/>
              <w:autoSpaceDE/>
              <w:autoSpaceDN/>
              <w:adjustRightInd/>
              <w:rPr>
                <w:rFonts w:ascii="Arial" w:hAnsi="Arial" w:cs="Arial"/>
                <w:sz w:val="20"/>
                <w:szCs w:val="20"/>
                <w:lang w:val="en-GB"/>
              </w:rPr>
            </w:pPr>
            <w:r w:rsidRPr="00965D7D">
              <w:rPr>
                <w:rFonts w:ascii="Arial" w:hAnsi="Arial" w:cs="Arial"/>
                <w:color w:val="000000"/>
                <w:sz w:val="20"/>
                <w:szCs w:val="20"/>
                <w:lang w:val="en-GB"/>
              </w:rPr>
              <w:t xml:space="preserve">Complete ban (Brochet </w:t>
            </w:r>
            <w:r w:rsidRPr="00965D7D">
              <w:rPr>
                <w:rFonts w:ascii="Arial" w:hAnsi="Arial" w:cs="Arial"/>
                <w:i/>
                <w:color w:val="000000"/>
                <w:sz w:val="20"/>
                <w:szCs w:val="20"/>
                <w:lang w:val="en-GB"/>
              </w:rPr>
              <w:t>et al</w:t>
            </w:r>
            <w:r w:rsidRPr="00965D7D">
              <w:rPr>
                <w:rFonts w:ascii="Arial" w:hAnsi="Arial" w:cs="Arial"/>
                <w:color w:val="000000"/>
                <w:sz w:val="20"/>
                <w:szCs w:val="20"/>
                <w:lang w:val="en-GB"/>
              </w:rPr>
              <w:t xml:space="preserve"> 2016, Birdlife International 2014a).</w:t>
            </w:r>
          </w:p>
        </w:tc>
      </w:tr>
      <w:tr w:rsidR="00C96521" w:rsidRPr="009213E9" w14:paraId="500404E0" w14:textId="77777777" w:rsidTr="00C96521">
        <w:tc>
          <w:tcPr>
            <w:tcW w:w="874" w:type="pct"/>
            <w:shd w:val="clear" w:color="auto" w:fill="auto"/>
          </w:tcPr>
          <w:p w14:paraId="5407D5B2"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Algeria</w:t>
            </w:r>
          </w:p>
        </w:tc>
        <w:tc>
          <w:tcPr>
            <w:tcW w:w="605" w:type="pct"/>
            <w:shd w:val="clear" w:color="auto" w:fill="auto"/>
          </w:tcPr>
          <w:p w14:paraId="4B9DE029"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02AD5E37" w14:textId="77777777" w:rsidR="00C96521" w:rsidRPr="00B70B7A" w:rsidRDefault="00C96521" w:rsidP="00C96521">
            <w:pPr>
              <w:widowControl/>
              <w:autoSpaceDE/>
              <w:autoSpaceDN/>
              <w:adjustRightInd/>
              <w:rPr>
                <w:rFonts w:ascii="Arial" w:hAnsi="Arial" w:cs="Arial"/>
                <w:color w:val="000000"/>
                <w:sz w:val="20"/>
                <w:szCs w:val="20"/>
                <w:lang w:val="fr-FR"/>
              </w:rPr>
            </w:pPr>
            <w:r w:rsidRPr="00B70B7A">
              <w:rPr>
                <w:rFonts w:ascii="Arial" w:hAnsi="Arial" w:cs="Arial"/>
                <w:color w:val="000000"/>
                <w:sz w:val="20"/>
                <w:szCs w:val="20"/>
                <w:lang w:val="fr-FR"/>
              </w:rPr>
              <w:t xml:space="preserve">Complete ban (Brochet </w:t>
            </w:r>
            <w:r w:rsidRPr="00B70B7A">
              <w:rPr>
                <w:rFonts w:ascii="Arial" w:hAnsi="Arial" w:cs="Arial"/>
                <w:i/>
                <w:color w:val="000000"/>
                <w:sz w:val="20"/>
                <w:szCs w:val="20"/>
                <w:lang w:val="fr-FR"/>
              </w:rPr>
              <w:t>et al</w:t>
            </w:r>
            <w:r w:rsidRPr="00B70B7A">
              <w:rPr>
                <w:rFonts w:ascii="Arial" w:hAnsi="Arial" w:cs="Arial"/>
                <w:color w:val="000000"/>
                <w:sz w:val="20"/>
                <w:szCs w:val="20"/>
                <w:lang w:val="fr-FR"/>
              </w:rPr>
              <w:t xml:space="preserve"> 2016).</w:t>
            </w:r>
          </w:p>
        </w:tc>
      </w:tr>
      <w:tr w:rsidR="00C96521" w:rsidRPr="00B70B7A" w14:paraId="6A58F5C5" w14:textId="77777777" w:rsidTr="00C96521">
        <w:tc>
          <w:tcPr>
            <w:tcW w:w="874" w:type="pct"/>
            <w:shd w:val="clear" w:color="auto" w:fill="auto"/>
          </w:tcPr>
          <w:p w14:paraId="453BD540"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Austria</w:t>
            </w:r>
          </w:p>
          <w:p w14:paraId="2370DADC" w14:textId="77777777" w:rsidR="00C96521" w:rsidRPr="00B70B7A" w:rsidRDefault="00C96521" w:rsidP="00C96521">
            <w:pPr>
              <w:widowControl/>
              <w:autoSpaceDE/>
              <w:autoSpaceDN/>
              <w:adjustRightInd/>
              <w:rPr>
                <w:rFonts w:ascii="Arial" w:hAnsi="Arial" w:cs="Arial"/>
                <w:sz w:val="20"/>
                <w:szCs w:val="20"/>
                <w:lang w:val="en-GB"/>
              </w:rPr>
            </w:pPr>
          </w:p>
        </w:tc>
        <w:tc>
          <w:tcPr>
            <w:tcW w:w="605" w:type="pct"/>
            <w:shd w:val="clear" w:color="auto" w:fill="auto"/>
          </w:tcPr>
          <w:p w14:paraId="3B88DEE6"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sz w:val="20"/>
                <w:szCs w:val="20"/>
                <w:lang w:val="en-GB"/>
              </w:rPr>
              <w:t xml:space="preserve">&lt;7,800 </w:t>
            </w:r>
            <w:r w:rsidRPr="00B70B7A">
              <w:rPr>
                <w:rFonts w:ascii="Arial" w:hAnsi="Arial" w:cs="Arial"/>
                <w:i/>
                <w:sz w:val="20"/>
                <w:szCs w:val="20"/>
                <w:lang w:val="en-GB"/>
              </w:rPr>
              <w:t>annually</w:t>
            </w:r>
          </w:p>
        </w:tc>
        <w:tc>
          <w:tcPr>
            <w:tcW w:w="3521" w:type="pct"/>
          </w:tcPr>
          <w:p w14:paraId="0CDBE125" w14:textId="42F07DE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 xml:space="preserve">Covered by EU Birds Directive. Seasons differ between regions: </w:t>
            </w:r>
            <w:r w:rsidRPr="00B70B7A">
              <w:rPr>
                <w:rFonts w:ascii="Arial" w:hAnsi="Arial" w:cs="Arial"/>
                <w:sz w:val="20"/>
                <w:szCs w:val="20"/>
                <w:lang w:val="en-GB"/>
              </w:rPr>
              <w:t xml:space="preserve">31 Jul to 31 Oct Burgenland, 15 Sep to 31 Jan </w:t>
            </w:r>
            <w:r w:rsidR="00B70B7A" w:rsidRPr="00B70B7A">
              <w:rPr>
                <w:rFonts w:ascii="Arial" w:hAnsi="Arial" w:cs="Arial"/>
                <w:sz w:val="20"/>
                <w:szCs w:val="20"/>
                <w:lang w:val="en-GB"/>
              </w:rPr>
              <w:t>Lower Austria</w:t>
            </w:r>
            <w:r w:rsidRPr="00B70B7A">
              <w:rPr>
                <w:rFonts w:ascii="Arial" w:hAnsi="Arial" w:cs="Arial"/>
                <w:sz w:val="20"/>
                <w:szCs w:val="20"/>
                <w:lang w:val="en-GB"/>
              </w:rPr>
              <w:t xml:space="preserve">, 1 Sep to 10Apr </w:t>
            </w:r>
            <w:r w:rsidR="00B70B7A" w:rsidRPr="00B70B7A">
              <w:rPr>
                <w:rFonts w:ascii="Arial" w:hAnsi="Arial" w:cs="Arial"/>
                <w:sz w:val="20"/>
                <w:szCs w:val="20"/>
                <w:lang w:val="en-GB"/>
              </w:rPr>
              <w:t>Vienna</w:t>
            </w:r>
            <w:r w:rsidRPr="00B70B7A">
              <w:rPr>
                <w:rFonts w:ascii="Arial" w:hAnsi="Arial" w:cs="Arial"/>
                <w:sz w:val="20"/>
                <w:szCs w:val="20"/>
                <w:lang w:val="en-GB"/>
              </w:rPr>
              <w:t xml:space="preserve"> </w:t>
            </w:r>
            <w:r w:rsidRPr="00B70B7A">
              <w:rPr>
                <w:rFonts w:ascii="Arial" w:hAnsi="Arial" w:cs="Arial"/>
                <w:color w:val="000000"/>
                <w:sz w:val="20"/>
                <w:szCs w:val="20"/>
                <w:lang w:val="en-GB"/>
              </w:rPr>
              <w:t>Burgenland and Lower Austria hold about 95% of the national turtle-dove population.  (</w:t>
            </w:r>
            <w:r w:rsidRPr="00B70B7A">
              <w:rPr>
                <w:rFonts w:ascii="Arial" w:hAnsi="Arial" w:cs="Arial"/>
                <w:sz w:val="20"/>
                <w:szCs w:val="20"/>
                <w:lang w:val="en-GB" w:eastAsia="en-GB"/>
              </w:rPr>
              <w:t xml:space="preserve">Zentralstelle Österreichischer Landesjagdverbände </w:t>
            </w:r>
            <w:r w:rsidRPr="00B70B7A">
              <w:rPr>
                <w:rFonts w:ascii="Arial" w:hAnsi="Arial" w:cs="Arial"/>
                <w:i/>
                <w:sz w:val="20"/>
                <w:szCs w:val="20"/>
                <w:lang w:val="en-GB" w:eastAsia="en-GB"/>
              </w:rPr>
              <w:t>pers comm</w:t>
            </w:r>
            <w:r w:rsidRPr="00B70B7A">
              <w:rPr>
                <w:rFonts w:ascii="Arial" w:hAnsi="Arial" w:cs="Arial"/>
                <w:sz w:val="20"/>
                <w:szCs w:val="20"/>
                <w:lang w:val="en-GB" w:eastAsia="en-GB"/>
              </w:rPr>
              <w:t>).</w:t>
            </w:r>
          </w:p>
        </w:tc>
      </w:tr>
      <w:tr w:rsidR="00C96521" w:rsidRPr="00B70B7A" w14:paraId="1BB36A2B" w14:textId="77777777" w:rsidTr="00C96521">
        <w:tc>
          <w:tcPr>
            <w:tcW w:w="874" w:type="pct"/>
            <w:shd w:val="clear" w:color="auto" w:fill="auto"/>
          </w:tcPr>
          <w:p w14:paraId="71D982A5"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Azerbaijan</w:t>
            </w:r>
          </w:p>
        </w:tc>
        <w:tc>
          <w:tcPr>
            <w:tcW w:w="605" w:type="pct"/>
            <w:shd w:val="clear" w:color="auto" w:fill="auto"/>
          </w:tcPr>
          <w:p w14:paraId="4075EC5A"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06F90EA4"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No regulation.</w:t>
            </w:r>
          </w:p>
        </w:tc>
      </w:tr>
      <w:tr w:rsidR="00C96521" w:rsidRPr="00B70B7A" w14:paraId="68E722B3" w14:textId="77777777" w:rsidTr="00C96521">
        <w:tc>
          <w:tcPr>
            <w:tcW w:w="874" w:type="pct"/>
            <w:shd w:val="clear" w:color="auto" w:fill="auto"/>
          </w:tcPr>
          <w:p w14:paraId="4CFCBD20"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Belarus</w:t>
            </w:r>
          </w:p>
        </w:tc>
        <w:tc>
          <w:tcPr>
            <w:tcW w:w="605" w:type="pct"/>
            <w:shd w:val="clear" w:color="auto" w:fill="auto"/>
          </w:tcPr>
          <w:p w14:paraId="16F055BC"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1D15D05C"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Protected from killing.</w:t>
            </w:r>
          </w:p>
        </w:tc>
      </w:tr>
      <w:tr w:rsidR="00C96521" w:rsidRPr="00B70B7A" w14:paraId="63BB30D9" w14:textId="77777777" w:rsidTr="00C96521">
        <w:tc>
          <w:tcPr>
            <w:tcW w:w="874" w:type="pct"/>
            <w:shd w:val="clear" w:color="auto" w:fill="auto"/>
          </w:tcPr>
          <w:p w14:paraId="062B1F99"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Belgium</w:t>
            </w:r>
          </w:p>
        </w:tc>
        <w:tc>
          <w:tcPr>
            <w:tcW w:w="605" w:type="pct"/>
            <w:shd w:val="clear" w:color="auto" w:fill="auto"/>
          </w:tcPr>
          <w:p w14:paraId="3F67D9A5"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0E15571A"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Covered by EU Birds Directive. No hunting.</w:t>
            </w:r>
          </w:p>
        </w:tc>
      </w:tr>
      <w:tr w:rsidR="00C96521" w:rsidRPr="00B70B7A" w14:paraId="61CB283D" w14:textId="77777777" w:rsidTr="00C96521">
        <w:tc>
          <w:tcPr>
            <w:tcW w:w="874" w:type="pct"/>
            <w:shd w:val="clear" w:color="auto" w:fill="auto"/>
          </w:tcPr>
          <w:p w14:paraId="1F4DDBB6"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Bosnia and Herzegovina</w:t>
            </w:r>
          </w:p>
        </w:tc>
        <w:tc>
          <w:tcPr>
            <w:tcW w:w="605" w:type="pct"/>
            <w:shd w:val="clear" w:color="auto" w:fill="auto"/>
          </w:tcPr>
          <w:p w14:paraId="08F297A8"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5DB0C6E5" w14:textId="19F20411"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Federation of Bosnia and Herzegovina season from 1 Aug to 31 Dec, and Republika Srpska 1 Aug to 31 Jan (BirdLife International 2014b).</w:t>
            </w:r>
          </w:p>
        </w:tc>
      </w:tr>
      <w:tr w:rsidR="00C96521" w:rsidRPr="00B70B7A" w14:paraId="54C0BE22" w14:textId="77777777" w:rsidTr="00C96521">
        <w:tc>
          <w:tcPr>
            <w:tcW w:w="874" w:type="pct"/>
            <w:shd w:val="clear" w:color="auto" w:fill="auto"/>
          </w:tcPr>
          <w:p w14:paraId="49D39F53"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Bulgaria</w:t>
            </w:r>
          </w:p>
        </w:tc>
        <w:tc>
          <w:tcPr>
            <w:tcW w:w="605" w:type="pct"/>
            <w:shd w:val="clear" w:color="auto" w:fill="auto"/>
          </w:tcPr>
          <w:p w14:paraId="569413F5" w14:textId="77777777" w:rsidR="00C96521" w:rsidRPr="00B70B7A" w:rsidRDefault="00C96521" w:rsidP="00C96521">
            <w:pPr>
              <w:widowControl/>
              <w:autoSpaceDE/>
              <w:autoSpaceDN/>
              <w:adjustRightInd/>
              <w:jc w:val="both"/>
              <w:rPr>
                <w:rFonts w:ascii="Arial" w:hAnsi="Arial" w:cs="Arial"/>
                <w:i/>
                <w:sz w:val="20"/>
                <w:szCs w:val="20"/>
                <w:lang w:val="en-GB"/>
              </w:rPr>
            </w:pPr>
            <w:r w:rsidRPr="00B70B7A">
              <w:rPr>
                <w:rFonts w:ascii="Arial" w:hAnsi="Arial" w:cs="Arial"/>
                <w:sz w:val="20"/>
                <w:szCs w:val="20"/>
                <w:lang w:val="en-GB"/>
              </w:rPr>
              <w:t xml:space="preserve">145,672 </w:t>
            </w:r>
            <w:r w:rsidRPr="00B70B7A">
              <w:rPr>
                <w:rFonts w:ascii="Arial" w:hAnsi="Arial" w:cs="Arial"/>
                <w:i/>
                <w:sz w:val="20"/>
                <w:szCs w:val="20"/>
                <w:lang w:val="en-GB"/>
              </w:rPr>
              <w:t>2014-15</w:t>
            </w:r>
          </w:p>
        </w:tc>
        <w:tc>
          <w:tcPr>
            <w:tcW w:w="3521" w:type="pct"/>
          </w:tcPr>
          <w:p w14:paraId="09CE91EC" w14:textId="3A856C98"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Covered by EU Birds Directive. Second Saturday in Aug to 30 Nov; daily limit of 10 per Bulgarian hunter, and 30 for organi</w:t>
            </w:r>
            <w:r w:rsidR="000C4731" w:rsidRPr="00B70B7A">
              <w:rPr>
                <w:rFonts w:ascii="Arial" w:hAnsi="Arial" w:cs="Arial"/>
                <w:color w:val="000000"/>
                <w:sz w:val="20"/>
                <w:szCs w:val="20"/>
                <w:lang w:val="en-GB"/>
              </w:rPr>
              <w:t>z</w:t>
            </w:r>
            <w:r w:rsidRPr="00B70B7A">
              <w:rPr>
                <w:rFonts w:ascii="Arial" w:hAnsi="Arial" w:cs="Arial"/>
                <w:color w:val="000000"/>
                <w:sz w:val="20"/>
                <w:szCs w:val="20"/>
                <w:lang w:val="en-GB"/>
              </w:rPr>
              <w:t>ed hunting tourism. Hunting statistics are collected by the Executive Forest Agency. (</w:t>
            </w:r>
            <w:r w:rsidRPr="00B70B7A">
              <w:rPr>
                <w:rFonts w:ascii="Arial" w:hAnsi="Arial" w:cs="Arial"/>
                <w:sz w:val="20"/>
                <w:szCs w:val="20"/>
                <w:lang w:val="en-GB"/>
              </w:rPr>
              <w:t xml:space="preserve">Union of Hunters and Anglers of Bulgaria </w:t>
            </w:r>
            <w:r w:rsidRPr="00B70B7A">
              <w:rPr>
                <w:rFonts w:ascii="Arial" w:hAnsi="Arial" w:cs="Arial"/>
                <w:i/>
                <w:sz w:val="20"/>
                <w:szCs w:val="20"/>
                <w:lang w:val="en-GB"/>
              </w:rPr>
              <w:t>pers comm</w:t>
            </w:r>
            <w:r w:rsidRPr="00B70B7A">
              <w:rPr>
                <w:rFonts w:ascii="Arial" w:hAnsi="Arial" w:cs="Arial"/>
                <w:sz w:val="20"/>
                <w:szCs w:val="20"/>
                <w:lang w:val="en-GB"/>
              </w:rPr>
              <w:t>).</w:t>
            </w:r>
          </w:p>
        </w:tc>
      </w:tr>
      <w:tr w:rsidR="00C96521" w:rsidRPr="00B70B7A" w14:paraId="495686E1" w14:textId="77777777" w:rsidTr="00C96521">
        <w:tc>
          <w:tcPr>
            <w:tcW w:w="874" w:type="pct"/>
            <w:shd w:val="clear" w:color="auto" w:fill="auto"/>
          </w:tcPr>
          <w:p w14:paraId="014B0F6C"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Croatia</w:t>
            </w:r>
          </w:p>
        </w:tc>
        <w:tc>
          <w:tcPr>
            <w:tcW w:w="605" w:type="pct"/>
            <w:shd w:val="clear" w:color="auto" w:fill="auto"/>
          </w:tcPr>
          <w:p w14:paraId="379B5962"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5DC0D274"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 hunting.</w:t>
            </w:r>
          </w:p>
        </w:tc>
      </w:tr>
      <w:tr w:rsidR="00C96521" w:rsidRPr="00B70B7A" w14:paraId="469DBB26" w14:textId="77777777" w:rsidTr="00C96521">
        <w:tc>
          <w:tcPr>
            <w:tcW w:w="874" w:type="pct"/>
            <w:shd w:val="clear" w:color="auto" w:fill="auto"/>
          </w:tcPr>
          <w:p w14:paraId="17813E4E"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Cyprus</w:t>
            </w:r>
          </w:p>
        </w:tc>
        <w:tc>
          <w:tcPr>
            <w:tcW w:w="605" w:type="pct"/>
            <w:shd w:val="clear" w:color="auto" w:fill="auto"/>
          </w:tcPr>
          <w:p w14:paraId="544004A3"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Cs/>
                <w:color w:val="000000"/>
                <w:sz w:val="20"/>
                <w:szCs w:val="20"/>
                <w:lang w:val="en-GB"/>
              </w:rPr>
              <w:t xml:space="preserve">44,578 </w:t>
            </w:r>
            <w:r w:rsidRPr="00B70B7A">
              <w:rPr>
                <w:rFonts w:ascii="Arial" w:hAnsi="Arial" w:cs="Arial"/>
                <w:i/>
                <w:iCs/>
                <w:color w:val="000000"/>
                <w:sz w:val="20"/>
                <w:szCs w:val="20"/>
                <w:lang w:val="en-GB"/>
              </w:rPr>
              <w:t>2010-11</w:t>
            </w:r>
          </w:p>
          <w:p w14:paraId="36FEB3F0"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Cs/>
                <w:color w:val="000000"/>
                <w:sz w:val="20"/>
                <w:szCs w:val="20"/>
                <w:lang w:val="en-GB"/>
              </w:rPr>
              <w:t xml:space="preserve">55,571 </w:t>
            </w:r>
            <w:r w:rsidRPr="00B70B7A">
              <w:rPr>
                <w:rFonts w:ascii="Arial" w:hAnsi="Arial" w:cs="Arial"/>
                <w:i/>
                <w:iCs/>
                <w:color w:val="000000"/>
                <w:sz w:val="20"/>
                <w:szCs w:val="20"/>
                <w:lang w:val="en-GB"/>
              </w:rPr>
              <w:t>2012-13</w:t>
            </w:r>
          </w:p>
          <w:p w14:paraId="6449C60B"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Cs/>
                <w:color w:val="000000"/>
                <w:sz w:val="20"/>
                <w:szCs w:val="20"/>
                <w:lang w:val="en-GB"/>
              </w:rPr>
              <w:t xml:space="preserve">67,141 </w:t>
            </w:r>
            <w:r w:rsidRPr="00B70B7A">
              <w:rPr>
                <w:rFonts w:ascii="Arial" w:hAnsi="Arial" w:cs="Arial"/>
                <w:i/>
                <w:iCs/>
                <w:color w:val="000000"/>
                <w:sz w:val="20"/>
                <w:szCs w:val="20"/>
                <w:lang w:val="en-GB"/>
              </w:rPr>
              <w:t>2014-15</w:t>
            </w:r>
          </w:p>
          <w:p w14:paraId="7D3F7540"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Cs/>
                <w:color w:val="000000"/>
                <w:sz w:val="20"/>
                <w:szCs w:val="20"/>
                <w:lang w:val="en-GB"/>
              </w:rPr>
              <w:t xml:space="preserve">20,215 </w:t>
            </w:r>
            <w:r w:rsidRPr="00B70B7A">
              <w:rPr>
                <w:rFonts w:ascii="Arial" w:hAnsi="Arial" w:cs="Arial"/>
                <w:i/>
                <w:iCs/>
                <w:color w:val="000000"/>
                <w:sz w:val="20"/>
                <w:szCs w:val="20"/>
                <w:lang w:val="en-GB"/>
              </w:rPr>
              <w:t>2015-16</w:t>
            </w:r>
          </w:p>
        </w:tc>
        <w:tc>
          <w:tcPr>
            <w:tcW w:w="3521" w:type="pct"/>
          </w:tcPr>
          <w:p w14:paraId="06820F9D"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Covered by EU Birds Directive. </w:t>
            </w:r>
            <w:r w:rsidRPr="00B70B7A">
              <w:rPr>
                <w:rFonts w:ascii="Arial" w:hAnsi="Arial" w:cs="Arial"/>
                <w:iCs/>
                <w:color w:val="000000"/>
                <w:sz w:val="20"/>
                <w:szCs w:val="20"/>
                <w:lang w:val="en-GB"/>
              </w:rPr>
              <w:t>Sundays and Wednesdays only from mid-Aug to early Nov; in some areas (mainly coastal, where migrant birds are located) daily hunting is allowed during this period (</w:t>
            </w:r>
            <w:r w:rsidRPr="00B70B7A">
              <w:rPr>
                <w:rFonts w:ascii="Arial" w:hAnsi="Arial" w:cs="Arial"/>
                <w:sz w:val="20"/>
                <w:szCs w:val="20"/>
                <w:lang w:val="en-GB"/>
              </w:rPr>
              <w:t xml:space="preserve">BirdLife Cyprus </w:t>
            </w:r>
            <w:r w:rsidRPr="00B70B7A">
              <w:rPr>
                <w:rFonts w:ascii="Arial" w:hAnsi="Arial" w:cs="Arial"/>
                <w:i/>
                <w:sz w:val="20"/>
                <w:szCs w:val="20"/>
                <w:lang w:val="en-GB"/>
              </w:rPr>
              <w:t>pers comm</w:t>
            </w:r>
            <w:r w:rsidRPr="00B70B7A">
              <w:rPr>
                <w:rFonts w:ascii="Arial" w:hAnsi="Arial" w:cs="Arial"/>
                <w:sz w:val="20"/>
                <w:szCs w:val="20"/>
                <w:lang w:val="en-GB"/>
              </w:rPr>
              <w:t>, Game and Fauna Service 2016).</w:t>
            </w:r>
          </w:p>
        </w:tc>
      </w:tr>
      <w:tr w:rsidR="00C96521" w:rsidRPr="00B70B7A" w14:paraId="2817C8CE" w14:textId="77777777" w:rsidTr="00C96521">
        <w:tc>
          <w:tcPr>
            <w:tcW w:w="874" w:type="pct"/>
            <w:shd w:val="clear" w:color="auto" w:fill="auto"/>
          </w:tcPr>
          <w:p w14:paraId="2C2174BA"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Czech Republic</w:t>
            </w:r>
          </w:p>
        </w:tc>
        <w:tc>
          <w:tcPr>
            <w:tcW w:w="605" w:type="pct"/>
            <w:shd w:val="clear" w:color="auto" w:fill="auto"/>
          </w:tcPr>
          <w:p w14:paraId="1A87C7D5"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6609FC0F"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Covered by EU Birds Directive. No hunting.</w:t>
            </w:r>
          </w:p>
        </w:tc>
      </w:tr>
      <w:tr w:rsidR="00C96521" w:rsidRPr="00B70B7A" w14:paraId="6331CB04" w14:textId="77777777" w:rsidTr="00C96521">
        <w:tc>
          <w:tcPr>
            <w:tcW w:w="874" w:type="pct"/>
            <w:shd w:val="clear" w:color="auto" w:fill="auto"/>
          </w:tcPr>
          <w:p w14:paraId="337F5C41"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Denmark</w:t>
            </w:r>
          </w:p>
        </w:tc>
        <w:tc>
          <w:tcPr>
            <w:tcW w:w="605" w:type="pct"/>
            <w:shd w:val="clear" w:color="auto" w:fill="auto"/>
          </w:tcPr>
          <w:p w14:paraId="38030627"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670FC628" w14:textId="52C761CC"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Covered by EU Birds Directive. Hunting of </w:t>
            </w:r>
            <w:r w:rsidR="000C4731" w:rsidRPr="00B70B7A">
              <w:rPr>
                <w:rFonts w:ascii="Arial" w:hAnsi="Arial" w:cs="Arial"/>
                <w:sz w:val="20"/>
                <w:szCs w:val="20"/>
                <w:lang w:val="en-GB"/>
              </w:rPr>
              <w:t>Turtle Doves</w:t>
            </w:r>
            <w:r w:rsidRPr="00B70B7A">
              <w:rPr>
                <w:rFonts w:ascii="Arial" w:hAnsi="Arial" w:cs="Arial"/>
                <w:sz w:val="20"/>
                <w:szCs w:val="20"/>
                <w:lang w:val="en-GB"/>
              </w:rPr>
              <w:t xml:space="preserve"> is illegal in Denmark, and the </w:t>
            </w:r>
            <w:r w:rsidR="000C4731" w:rsidRPr="00B70B7A">
              <w:rPr>
                <w:rFonts w:ascii="Arial" w:hAnsi="Arial" w:cs="Arial"/>
                <w:sz w:val="20"/>
                <w:szCs w:val="20"/>
                <w:lang w:val="en-GB"/>
              </w:rPr>
              <w:t>C</w:t>
            </w:r>
            <w:r w:rsidRPr="00B70B7A">
              <w:rPr>
                <w:rFonts w:ascii="Arial" w:hAnsi="Arial" w:cs="Arial"/>
                <w:sz w:val="20"/>
                <w:szCs w:val="20"/>
                <w:lang w:val="en-GB"/>
              </w:rPr>
              <w:t>ollared</w:t>
            </w:r>
            <w:r w:rsidR="000C4731" w:rsidRPr="00B70B7A">
              <w:rPr>
                <w:rFonts w:ascii="Arial" w:hAnsi="Arial" w:cs="Arial"/>
                <w:sz w:val="20"/>
                <w:szCs w:val="20"/>
                <w:lang w:val="en-GB"/>
              </w:rPr>
              <w:t xml:space="preserve"> D</w:t>
            </w:r>
            <w:r w:rsidRPr="00B70B7A">
              <w:rPr>
                <w:rFonts w:ascii="Arial" w:hAnsi="Arial" w:cs="Arial"/>
                <w:sz w:val="20"/>
                <w:szCs w:val="20"/>
                <w:lang w:val="en-GB"/>
              </w:rPr>
              <w:t xml:space="preserve">ove season now takes place from 1 Nov to 31 Dec to ensure that there are no cases of misidentification of the species (J Elts </w:t>
            </w:r>
            <w:r w:rsidRPr="00B70B7A">
              <w:rPr>
                <w:rFonts w:ascii="Arial" w:hAnsi="Arial" w:cs="Arial"/>
                <w:i/>
                <w:sz w:val="20"/>
                <w:szCs w:val="20"/>
                <w:lang w:val="en-GB"/>
              </w:rPr>
              <w:t>pers comm</w:t>
            </w:r>
            <w:r w:rsidRPr="00B70B7A">
              <w:rPr>
                <w:rFonts w:ascii="Arial" w:hAnsi="Arial" w:cs="Arial"/>
                <w:sz w:val="20"/>
                <w:szCs w:val="20"/>
                <w:lang w:val="en-GB"/>
              </w:rPr>
              <w:t>).</w:t>
            </w:r>
          </w:p>
        </w:tc>
      </w:tr>
      <w:tr w:rsidR="00C96521" w:rsidRPr="00B70B7A" w14:paraId="211BA423" w14:textId="77777777" w:rsidTr="00C96521">
        <w:tc>
          <w:tcPr>
            <w:tcW w:w="874" w:type="pct"/>
            <w:shd w:val="clear" w:color="auto" w:fill="auto"/>
          </w:tcPr>
          <w:p w14:paraId="0846342B"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Egypt</w:t>
            </w:r>
          </w:p>
        </w:tc>
        <w:tc>
          <w:tcPr>
            <w:tcW w:w="605" w:type="pct"/>
            <w:shd w:val="clear" w:color="auto" w:fill="auto"/>
          </w:tcPr>
          <w:p w14:paraId="084C15B0"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69E8C006" w14:textId="38032B18"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2014/2015 season 15 Nov to 31 Mar (BirdLife International 2014c).</w:t>
            </w:r>
          </w:p>
        </w:tc>
      </w:tr>
      <w:tr w:rsidR="00C96521" w:rsidRPr="00B70B7A" w14:paraId="2E3F55A3" w14:textId="77777777" w:rsidTr="00C96521">
        <w:tc>
          <w:tcPr>
            <w:tcW w:w="874" w:type="pct"/>
            <w:shd w:val="clear" w:color="auto" w:fill="auto"/>
          </w:tcPr>
          <w:p w14:paraId="3C749327"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Estonia</w:t>
            </w:r>
          </w:p>
        </w:tc>
        <w:tc>
          <w:tcPr>
            <w:tcW w:w="605" w:type="pct"/>
            <w:shd w:val="clear" w:color="auto" w:fill="auto"/>
          </w:tcPr>
          <w:p w14:paraId="5F3E2119"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6D88A56E"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sz w:val="20"/>
                <w:szCs w:val="20"/>
                <w:lang w:val="en-GB"/>
              </w:rPr>
              <w:t>Covered by EU Birds Directive. No hunting.</w:t>
            </w:r>
          </w:p>
        </w:tc>
      </w:tr>
      <w:tr w:rsidR="00C96521" w:rsidRPr="00B70B7A" w14:paraId="734C7A66" w14:textId="77777777" w:rsidTr="00C96521">
        <w:tc>
          <w:tcPr>
            <w:tcW w:w="874" w:type="pct"/>
            <w:shd w:val="clear" w:color="auto" w:fill="auto"/>
          </w:tcPr>
          <w:p w14:paraId="4EC51E9D"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Finland</w:t>
            </w:r>
          </w:p>
        </w:tc>
        <w:tc>
          <w:tcPr>
            <w:tcW w:w="605" w:type="pct"/>
            <w:shd w:val="clear" w:color="auto" w:fill="auto"/>
          </w:tcPr>
          <w:p w14:paraId="7B34430D"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1EFD37A5"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Covered by EU Birds Directive. No hunting.</w:t>
            </w:r>
          </w:p>
        </w:tc>
      </w:tr>
      <w:tr w:rsidR="00C96521" w:rsidRPr="00B70B7A" w14:paraId="5DEF5764" w14:textId="77777777" w:rsidTr="00C96521">
        <w:tc>
          <w:tcPr>
            <w:tcW w:w="874" w:type="pct"/>
            <w:shd w:val="clear" w:color="auto" w:fill="auto"/>
          </w:tcPr>
          <w:p w14:paraId="58008381"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France</w:t>
            </w:r>
          </w:p>
        </w:tc>
        <w:tc>
          <w:tcPr>
            <w:tcW w:w="605" w:type="pct"/>
            <w:shd w:val="clear" w:color="auto" w:fill="auto"/>
          </w:tcPr>
          <w:p w14:paraId="26C1CDCC"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sz w:val="20"/>
                <w:szCs w:val="20"/>
                <w:lang w:val="en-GB"/>
              </w:rPr>
              <w:t xml:space="preserve">91,704 </w:t>
            </w:r>
            <w:r w:rsidRPr="00B70B7A">
              <w:rPr>
                <w:rFonts w:ascii="Arial" w:hAnsi="Arial" w:cs="Arial"/>
                <w:i/>
                <w:sz w:val="20"/>
                <w:szCs w:val="20"/>
                <w:lang w:val="en-GB"/>
              </w:rPr>
              <w:t>2013-14</w:t>
            </w:r>
          </w:p>
        </w:tc>
        <w:tc>
          <w:tcPr>
            <w:tcW w:w="3521" w:type="pct"/>
          </w:tcPr>
          <w:p w14:paraId="7400CE18" w14:textId="04641AD4"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 xml:space="preserve">Covered by EU Birds Directive. From the last Saturday in Aug to the second week of Feb. Two </w:t>
            </w:r>
            <w:r w:rsidRPr="00B70B7A">
              <w:rPr>
                <w:rFonts w:ascii="Arial" w:hAnsi="Arial" w:cs="Arial"/>
                <w:i/>
                <w:color w:val="000000"/>
                <w:sz w:val="20"/>
                <w:szCs w:val="20"/>
                <w:lang w:val="en-GB"/>
              </w:rPr>
              <w:t>Départements</w:t>
            </w:r>
            <w:r w:rsidRPr="00B70B7A">
              <w:rPr>
                <w:rFonts w:ascii="Arial" w:hAnsi="Arial" w:cs="Arial"/>
                <w:color w:val="000000"/>
                <w:sz w:val="20"/>
                <w:szCs w:val="20"/>
                <w:lang w:val="en-GB"/>
              </w:rPr>
              <w:t xml:space="preserve"> apply a bag limit: Deux-Sèvres (5 per day), and Charente Maritime (10 per day). </w:t>
            </w:r>
            <w:r w:rsidRPr="00B70B7A">
              <w:rPr>
                <w:rFonts w:ascii="Arial" w:hAnsi="Arial" w:cs="Arial"/>
                <w:color w:val="000000"/>
                <w:sz w:val="20"/>
                <w:szCs w:val="20"/>
                <w:lang w:val="fr-FR"/>
              </w:rPr>
              <w:t xml:space="preserve">Data provided from </w:t>
            </w:r>
            <w:r w:rsidRPr="00B70B7A">
              <w:rPr>
                <w:rFonts w:ascii="Arial" w:hAnsi="Arial" w:cs="Arial"/>
                <w:sz w:val="20"/>
                <w:szCs w:val="20"/>
                <w:lang w:val="fr-FR"/>
              </w:rPr>
              <w:t xml:space="preserve">Enquête Nationale sur les Tableaux de Chasse à Tir (Aubry </w:t>
            </w:r>
            <w:r w:rsidRPr="00B70B7A">
              <w:rPr>
                <w:rFonts w:ascii="Arial" w:hAnsi="Arial" w:cs="Arial"/>
                <w:i/>
                <w:sz w:val="20"/>
                <w:szCs w:val="20"/>
                <w:lang w:val="fr-FR"/>
              </w:rPr>
              <w:t>et al</w:t>
            </w:r>
            <w:r w:rsidRPr="00B70B7A">
              <w:rPr>
                <w:rFonts w:ascii="Arial" w:hAnsi="Arial" w:cs="Arial"/>
                <w:sz w:val="20"/>
                <w:szCs w:val="20"/>
                <w:lang w:val="fr-FR"/>
              </w:rPr>
              <w:t xml:space="preserve"> 2016), the Office National de la Chasse et la Faune Sauvage, and the Fédération Nationale des Chasseurs (2016).</w:t>
            </w:r>
            <w:r w:rsidRPr="00B70B7A">
              <w:rPr>
                <w:rFonts w:ascii="Arial" w:hAnsi="Arial" w:cs="Arial"/>
                <w:color w:val="000000"/>
                <w:sz w:val="20"/>
                <w:szCs w:val="20"/>
                <w:lang w:val="fr-FR"/>
              </w:rPr>
              <w:t xml:space="preserve"> </w:t>
            </w:r>
            <w:r w:rsidRPr="00B70B7A">
              <w:rPr>
                <w:rFonts w:ascii="Arial" w:hAnsi="Arial" w:cs="Arial"/>
                <w:color w:val="000000"/>
                <w:sz w:val="20"/>
                <w:szCs w:val="20"/>
                <w:lang w:val="en-GB"/>
              </w:rPr>
              <w:t xml:space="preserve">Bag size for combined turtle-dove and collared dove in 1974 was estimated at 1,382,000 (+/- 47%) (Chambolle 1986), in 1983-1984 the combined total was 583,000 (557-609,000) excluding hunting in May along the Atlantic flyway (Chambolle 1986), in 1998-1999 bag size for </w:t>
            </w:r>
            <w:r w:rsidR="00B70B7A">
              <w:rPr>
                <w:rFonts w:ascii="Arial" w:hAnsi="Arial" w:cs="Arial"/>
                <w:color w:val="000000"/>
                <w:sz w:val="20"/>
                <w:szCs w:val="20"/>
                <w:lang w:val="en-GB"/>
              </w:rPr>
              <w:t>T</w:t>
            </w:r>
            <w:r w:rsidRPr="00B70B7A">
              <w:rPr>
                <w:rFonts w:ascii="Arial" w:hAnsi="Arial" w:cs="Arial"/>
                <w:color w:val="000000"/>
                <w:sz w:val="20"/>
                <w:szCs w:val="20"/>
                <w:lang w:val="en-GB"/>
              </w:rPr>
              <w:t>urtle</w:t>
            </w:r>
            <w:r w:rsidR="00B70B7A">
              <w:rPr>
                <w:rFonts w:ascii="Arial" w:hAnsi="Arial" w:cs="Arial"/>
                <w:color w:val="000000"/>
                <w:sz w:val="20"/>
                <w:szCs w:val="20"/>
                <w:lang w:val="en-GB"/>
              </w:rPr>
              <w:t xml:space="preserve"> D</w:t>
            </w:r>
            <w:r w:rsidRPr="00B70B7A">
              <w:rPr>
                <w:rFonts w:ascii="Arial" w:hAnsi="Arial" w:cs="Arial"/>
                <w:color w:val="000000"/>
                <w:sz w:val="20"/>
                <w:szCs w:val="20"/>
                <w:lang w:val="en-GB"/>
              </w:rPr>
              <w:t xml:space="preserve">ove only was estimated at 189,300 (+/- 14,000) (Boutin and Tesson 2000), and in 2007-2008 bag size for </w:t>
            </w:r>
            <w:r w:rsidR="00B70B7A">
              <w:rPr>
                <w:rFonts w:ascii="Arial" w:hAnsi="Arial" w:cs="Arial"/>
                <w:color w:val="000000"/>
                <w:sz w:val="20"/>
                <w:szCs w:val="20"/>
                <w:lang w:val="en-GB"/>
              </w:rPr>
              <w:t>T</w:t>
            </w:r>
            <w:r w:rsidRPr="00B70B7A">
              <w:rPr>
                <w:rFonts w:ascii="Arial" w:hAnsi="Arial" w:cs="Arial"/>
                <w:color w:val="000000"/>
                <w:sz w:val="20"/>
                <w:szCs w:val="20"/>
                <w:lang w:val="en-GB"/>
              </w:rPr>
              <w:t>urtle</w:t>
            </w:r>
            <w:r w:rsidR="00B70B7A">
              <w:rPr>
                <w:rFonts w:ascii="Arial" w:hAnsi="Arial" w:cs="Arial"/>
                <w:color w:val="000000"/>
                <w:sz w:val="20"/>
                <w:szCs w:val="20"/>
                <w:lang w:val="en-GB"/>
              </w:rPr>
              <w:t xml:space="preserve"> D</w:t>
            </w:r>
            <w:r w:rsidRPr="00B70B7A">
              <w:rPr>
                <w:rFonts w:ascii="Arial" w:hAnsi="Arial" w:cs="Arial"/>
                <w:color w:val="000000"/>
                <w:sz w:val="20"/>
                <w:szCs w:val="20"/>
                <w:lang w:val="en-GB"/>
              </w:rPr>
              <w:t xml:space="preserve">ove was 60-75,000 (Arnauduc </w:t>
            </w:r>
            <w:r w:rsidRPr="00B70B7A">
              <w:rPr>
                <w:rFonts w:ascii="Arial" w:hAnsi="Arial" w:cs="Arial"/>
                <w:i/>
                <w:color w:val="000000"/>
                <w:sz w:val="20"/>
                <w:szCs w:val="20"/>
                <w:lang w:val="en-GB"/>
              </w:rPr>
              <w:t>et al</w:t>
            </w:r>
            <w:r w:rsidRPr="00B70B7A">
              <w:rPr>
                <w:rFonts w:ascii="Arial" w:hAnsi="Arial" w:cs="Arial"/>
                <w:color w:val="000000"/>
                <w:sz w:val="20"/>
                <w:szCs w:val="20"/>
                <w:lang w:val="en-GB"/>
              </w:rPr>
              <w:t xml:space="preserve"> 2011). Current bag is estimated 45,618-137,789 (Aubry </w:t>
            </w:r>
            <w:r w:rsidRPr="00B70B7A">
              <w:rPr>
                <w:rFonts w:ascii="Arial" w:hAnsi="Arial" w:cs="Arial"/>
                <w:i/>
                <w:color w:val="000000"/>
                <w:sz w:val="20"/>
                <w:szCs w:val="20"/>
                <w:lang w:val="en-GB"/>
              </w:rPr>
              <w:t>et al</w:t>
            </w:r>
            <w:r w:rsidRPr="00B70B7A">
              <w:rPr>
                <w:rFonts w:ascii="Arial" w:hAnsi="Arial" w:cs="Arial"/>
                <w:color w:val="000000"/>
                <w:sz w:val="20"/>
                <w:szCs w:val="20"/>
                <w:lang w:val="en-GB"/>
              </w:rPr>
              <w:t xml:space="preserve"> 2016).</w:t>
            </w:r>
          </w:p>
        </w:tc>
      </w:tr>
      <w:tr w:rsidR="00C96521" w:rsidRPr="00B70B7A" w14:paraId="7BF2F7C8" w14:textId="77777777" w:rsidTr="00C96521">
        <w:tc>
          <w:tcPr>
            <w:tcW w:w="874" w:type="pct"/>
            <w:shd w:val="clear" w:color="auto" w:fill="auto"/>
          </w:tcPr>
          <w:p w14:paraId="41F88E17"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lastRenderedPageBreak/>
              <w:t>Germany</w:t>
            </w:r>
          </w:p>
        </w:tc>
        <w:tc>
          <w:tcPr>
            <w:tcW w:w="605" w:type="pct"/>
            <w:shd w:val="clear" w:color="auto" w:fill="auto"/>
          </w:tcPr>
          <w:p w14:paraId="776FDE5F"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19B2D06F" w14:textId="174FCDDF"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Covered by EU Birds Directive. Under EU law, </w:t>
            </w:r>
            <w:r w:rsidR="00173165" w:rsidRPr="00B70B7A">
              <w:rPr>
                <w:rFonts w:ascii="Arial" w:hAnsi="Arial" w:cs="Arial"/>
                <w:sz w:val="20"/>
                <w:szCs w:val="20"/>
                <w:lang w:val="en-GB"/>
              </w:rPr>
              <w:t xml:space="preserve">Turtle Doves </w:t>
            </w:r>
            <w:r w:rsidRPr="00B70B7A">
              <w:rPr>
                <w:rFonts w:ascii="Arial" w:hAnsi="Arial" w:cs="Arial"/>
                <w:sz w:val="20"/>
                <w:szCs w:val="20"/>
                <w:lang w:val="en-GB"/>
              </w:rPr>
              <w:t xml:space="preserve">are not huntable in Germany. However, in the Federal Hunting Law of Germany (1952), all wild species of pigeons and doves are classed as huntable species, while Federal regulation on hunting seasons (1977) stipulates open hunting seasons for only two species of pigeons and dove, not including the </w:t>
            </w:r>
            <w:r w:rsidR="00173165" w:rsidRPr="00B70B7A">
              <w:rPr>
                <w:rFonts w:ascii="Arial" w:hAnsi="Arial" w:cs="Arial"/>
                <w:sz w:val="20"/>
                <w:szCs w:val="20"/>
                <w:lang w:val="en-GB"/>
              </w:rPr>
              <w:t>Turtle Dove</w:t>
            </w:r>
            <w:r w:rsidRPr="00B70B7A">
              <w:rPr>
                <w:rFonts w:ascii="Arial" w:hAnsi="Arial" w:cs="Arial"/>
                <w:sz w:val="20"/>
                <w:szCs w:val="20"/>
                <w:lang w:val="en-GB"/>
              </w:rPr>
              <w:t xml:space="preserve">. Nationally the </w:t>
            </w:r>
            <w:r w:rsidR="00173165" w:rsidRPr="00B70B7A">
              <w:rPr>
                <w:rFonts w:ascii="Arial" w:hAnsi="Arial" w:cs="Arial"/>
                <w:sz w:val="20"/>
                <w:szCs w:val="20"/>
                <w:lang w:val="en-GB"/>
              </w:rPr>
              <w:t>Turtle Dove</w:t>
            </w:r>
            <w:r w:rsidR="00173165" w:rsidRPr="00B70B7A" w:rsidDel="00173165">
              <w:rPr>
                <w:rFonts w:ascii="Arial" w:hAnsi="Arial" w:cs="Arial"/>
                <w:sz w:val="20"/>
                <w:szCs w:val="20"/>
                <w:lang w:val="en-GB"/>
              </w:rPr>
              <w:t xml:space="preserve"> </w:t>
            </w:r>
            <w:r w:rsidRPr="00B70B7A">
              <w:rPr>
                <w:rFonts w:ascii="Arial" w:hAnsi="Arial" w:cs="Arial"/>
                <w:sz w:val="20"/>
                <w:szCs w:val="20"/>
                <w:lang w:val="en-GB"/>
              </w:rPr>
              <w:t xml:space="preserve">in Germany is formally a huntable species, but has no open hunting season. In addition, regional hunting legislation supersedes Federal legislation if it is newer, which is the case in several regions (Länder). However, in none of these does the </w:t>
            </w:r>
            <w:r w:rsidR="00173165" w:rsidRPr="00B70B7A">
              <w:rPr>
                <w:rFonts w:ascii="Arial" w:hAnsi="Arial" w:cs="Arial"/>
                <w:sz w:val="20"/>
                <w:szCs w:val="20"/>
                <w:lang w:val="en-GB"/>
              </w:rPr>
              <w:t>Turtle Dove</w:t>
            </w:r>
            <w:r w:rsidR="00173165" w:rsidRPr="00B70B7A" w:rsidDel="00173165">
              <w:rPr>
                <w:rFonts w:ascii="Arial" w:hAnsi="Arial" w:cs="Arial"/>
                <w:sz w:val="20"/>
                <w:szCs w:val="20"/>
                <w:lang w:val="en-GB"/>
              </w:rPr>
              <w:t xml:space="preserve"> </w:t>
            </w:r>
            <w:r w:rsidRPr="00B70B7A">
              <w:rPr>
                <w:rFonts w:ascii="Arial" w:hAnsi="Arial" w:cs="Arial"/>
                <w:sz w:val="20"/>
                <w:szCs w:val="20"/>
                <w:lang w:val="en-GB"/>
              </w:rPr>
              <w:t>have an open hunting season.</w:t>
            </w:r>
          </w:p>
        </w:tc>
      </w:tr>
      <w:tr w:rsidR="00C96521" w:rsidRPr="00B70B7A" w14:paraId="778E2266" w14:textId="77777777" w:rsidTr="00C96521">
        <w:tc>
          <w:tcPr>
            <w:tcW w:w="874" w:type="pct"/>
            <w:shd w:val="clear" w:color="auto" w:fill="auto"/>
          </w:tcPr>
          <w:p w14:paraId="33189C1B"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Georgia</w:t>
            </w:r>
          </w:p>
        </w:tc>
        <w:tc>
          <w:tcPr>
            <w:tcW w:w="605" w:type="pct"/>
            <w:shd w:val="clear" w:color="auto" w:fill="auto"/>
          </w:tcPr>
          <w:p w14:paraId="522999BD"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20FBD103" w14:textId="40F74F0A"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Annual bag between 1966 and 1970 was estimated to be 19-60,000 birds (Rouxel 2000). The season runs from 15 Aug to 15 Feb, with a limit of 10 turtle-doves per hunter per day (Agenda.ge 2015).</w:t>
            </w:r>
          </w:p>
        </w:tc>
      </w:tr>
      <w:tr w:rsidR="00C96521" w:rsidRPr="00B70B7A" w14:paraId="30FA5FFD" w14:textId="77777777" w:rsidTr="00C96521">
        <w:tc>
          <w:tcPr>
            <w:tcW w:w="874" w:type="pct"/>
            <w:shd w:val="clear" w:color="auto" w:fill="auto"/>
          </w:tcPr>
          <w:p w14:paraId="22CA99BE"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Greece</w:t>
            </w:r>
          </w:p>
          <w:p w14:paraId="5178DD12" w14:textId="77777777" w:rsidR="00C96521" w:rsidRPr="00B70B7A" w:rsidRDefault="00C96521" w:rsidP="00C96521">
            <w:pPr>
              <w:widowControl/>
              <w:autoSpaceDE/>
              <w:autoSpaceDN/>
              <w:adjustRightInd/>
              <w:rPr>
                <w:rFonts w:ascii="Arial" w:hAnsi="Arial" w:cs="Arial"/>
                <w:sz w:val="20"/>
                <w:szCs w:val="20"/>
                <w:lang w:val="en-GB"/>
              </w:rPr>
            </w:pPr>
          </w:p>
          <w:p w14:paraId="24C5ED95" w14:textId="77777777" w:rsidR="00C96521" w:rsidRPr="00B70B7A" w:rsidRDefault="00C96521" w:rsidP="00C96521">
            <w:pPr>
              <w:widowControl/>
              <w:autoSpaceDE/>
              <w:autoSpaceDN/>
              <w:adjustRightInd/>
              <w:rPr>
                <w:rFonts w:ascii="Arial" w:hAnsi="Arial" w:cs="Arial"/>
                <w:sz w:val="20"/>
                <w:szCs w:val="20"/>
                <w:lang w:val="en-GB"/>
              </w:rPr>
            </w:pPr>
          </w:p>
        </w:tc>
        <w:tc>
          <w:tcPr>
            <w:tcW w:w="605" w:type="pct"/>
            <w:shd w:val="clear" w:color="auto" w:fill="auto"/>
          </w:tcPr>
          <w:p w14:paraId="58383223"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Cs/>
                <w:color w:val="000000"/>
                <w:sz w:val="20"/>
                <w:szCs w:val="20"/>
                <w:lang w:val="en-GB"/>
              </w:rPr>
              <w:t xml:space="preserve">300-600,000 </w:t>
            </w:r>
            <w:r w:rsidRPr="00B70B7A">
              <w:rPr>
                <w:rFonts w:ascii="Arial" w:hAnsi="Arial" w:cs="Arial"/>
                <w:i/>
                <w:iCs/>
                <w:color w:val="000000"/>
                <w:sz w:val="20"/>
                <w:szCs w:val="20"/>
                <w:lang w:val="en-GB"/>
              </w:rPr>
              <w:t>annually</w:t>
            </w:r>
          </w:p>
        </w:tc>
        <w:tc>
          <w:tcPr>
            <w:tcW w:w="3521" w:type="pct"/>
          </w:tcPr>
          <w:p w14:paraId="7EE84DB7" w14:textId="169995BD"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Covered by EU Birds Directive. Season 20 Aug to 14 Sep within “passage zones of migrating birds” (less than 15% of the overall permitted hunting areas).</w:t>
            </w:r>
            <w:r w:rsidRPr="00B70B7A">
              <w:rPr>
                <w:rFonts w:ascii="Arial" w:hAnsi="Arial" w:cs="Arial"/>
                <w:color w:val="000000"/>
                <w:sz w:val="20"/>
                <w:szCs w:val="20"/>
                <w:shd w:val="clear" w:color="auto" w:fill="FFFFFF"/>
                <w:lang w:val="en-GB"/>
              </w:rPr>
              <w:t xml:space="preserve"> </w:t>
            </w:r>
            <w:r w:rsidRPr="00B70B7A">
              <w:rPr>
                <w:rFonts w:ascii="Arial" w:hAnsi="Arial" w:cs="Arial"/>
                <w:color w:val="000000"/>
                <w:sz w:val="20"/>
                <w:szCs w:val="20"/>
                <w:lang w:val="en-GB"/>
              </w:rPr>
              <w:t xml:space="preserve">Season 15 Sep to 20 Feb for licensed hunters with shotguns, during daylight hours, and in all areas apart from those designated as No Hunting Areas. Daily limit of 12 </w:t>
            </w:r>
            <w:r w:rsidR="00173165" w:rsidRPr="00B70B7A">
              <w:rPr>
                <w:rFonts w:ascii="Arial" w:hAnsi="Arial" w:cs="Arial"/>
                <w:color w:val="000000"/>
                <w:sz w:val="20"/>
                <w:szCs w:val="20"/>
                <w:lang w:val="en-GB"/>
              </w:rPr>
              <w:t>T</w:t>
            </w:r>
            <w:r w:rsidRPr="00B70B7A">
              <w:rPr>
                <w:rFonts w:ascii="Arial" w:hAnsi="Arial" w:cs="Arial"/>
                <w:color w:val="000000"/>
                <w:sz w:val="20"/>
                <w:szCs w:val="20"/>
                <w:lang w:val="en-GB"/>
              </w:rPr>
              <w:t>urtle</w:t>
            </w:r>
            <w:r w:rsidR="00173165" w:rsidRPr="00B70B7A">
              <w:rPr>
                <w:rFonts w:ascii="Arial" w:hAnsi="Arial" w:cs="Arial"/>
                <w:color w:val="000000"/>
                <w:sz w:val="20"/>
                <w:szCs w:val="20"/>
                <w:lang w:val="en-GB"/>
              </w:rPr>
              <w:t>D</w:t>
            </w:r>
            <w:r w:rsidRPr="00B70B7A">
              <w:rPr>
                <w:rFonts w:ascii="Arial" w:hAnsi="Arial" w:cs="Arial"/>
                <w:color w:val="000000"/>
                <w:sz w:val="20"/>
                <w:szCs w:val="20"/>
                <w:lang w:val="en-GB"/>
              </w:rPr>
              <w:t>oves per hunter. The season and the quota system are officially approved each year by the Government, after a report provided by the Hunters</w:t>
            </w:r>
            <w:r w:rsidR="00173165" w:rsidRPr="00B70B7A">
              <w:rPr>
                <w:rFonts w:ascii="Arial" w:hAnsi="Arial" w:cs="Arial"/>
                <w:color w:val="000000"/>
                <w:sz w:val="20"/>
                <w:szCs w:val="20"/>
                <w:lang w:val="en-GB"/>
              </w:rPr>
              <w:t>’</w:t>
            </w:r>
            <w:r w:rsidRPr="00B70B7A">
              <w:rPr>
                <w:rFonts w:ascii="Arial" w:hAnsi="Arial" w:cs="Arial"/>
                <w:color w:val="000000"/>
                <w:sz w:val="20"/>
                <w:szCs w:val="20"/>
                <w:lang w:val="en-GB"/>
              </w:rPr>
              <w:t xml:space="preserve"> Confederation and compiled by Greek Universities</w:t>
            </w:r>
            <w:r w:rsidRPr="00B70B7A">
              <w:rPr>
                <w:rFonts w:ascii="Arial" w:hAnsi="Arial" w:cs="Arial"/>
                <w:sz w:val="20"/>
                <w:szCs w:val="20"/>
                <w:lang w:val="en-GB"/>
              </w:rPr>
              <w:t xml:space="preserve"> (Hellenic Hunters’ Confederation </w:t>
            </w:r>
            <w:r w:rsidRPr="00B70B7A">
              <w:rPr>
                <w:rFonts w:ascii="Arial" w:hAnsi="Arial" w:cs="Arial"/>
                <w:i/>
                <w:sz w:val="20"/>
                <w:szCs w:val="20"/>
                <w:lang w:val="en-GB"/>
              </w:rPr>
              <w:t>pers comm</w:t>
            </w:r>
            <w:r w:rsidRPr="00B70B7A">
              <w:rPr>
                <w:rFonts w:ascii="Arial" w:hAnsi="Arial" w:cs="Arial"/>
                <w:sz w:val="20"/>
                <w:szCs w:val="20"/>
                <w:lang w:val="en-GB"/>
              </w:rPr>
              <w:t>).</w:t>
            </w:r>
          </w:p>
        </w:tc>
      </w:tr>
      <w:tr w:rsidR="00C96521" w:rsidRPr="00B70B7A" w14:paraId="5C971BBA" w14:textId="77777777" w:rsidTr="00C96521">
        <w:tc>
          <w:tcPr>
            <w:tcW w:w="874" w:type="pct"/>
            <w:shd w:val="clear" w:color="auto" w:fill="auto"/>
          </w:tcPr>
          <w:p w14:paraId="10414627"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Guinea-Bissau</w:t>
            </w:r>
          </w:p>
        </w:tc>
        <w:tc>
          <w:tcPr>
            <w:tcW w:w="605" w:type="pct"/>
            <w:shd w:val="clear" w:color="auto" w:fill="auto"/>
          </w:tcPr>
          <w:p w14:paraId="332D0675"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615D8A7F" w14:textId="5D76C5E1"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Hunting of </w:t>
            </w:r>
            <w:r w:rsidR="00173165" w:rsidRPr="00B70B7A">
              <w:rPr>
                <w:rFonts w:ascii="Arial" w:hAnsi="Arial" w:cs="Arial"/>
                <w:sz w:val="20"/>
                <w:szCs w:val="20"/>
                <w:lang w:val="en-GB"/>
              </w:rPr>
              <w:t>Turtle Doves</w:t>
            </w:r>
            <w:r w:rsidR="00173165" w:rsidRPr="00B70B7A" w:rsidDel="00173165">
              <w:rPr>
                <w:rFonts w:ascii="Arial" w:hAnsi="Arial" w:cs="Arial"/>
                <w:sz w:val="20"/>
                <w:szCs w:val="20"/>
                <w:lang w:val="en-GB"/>
              </w:rPr>
              <w:t xml:space="preserve"> </w:t>
            </w:r>
            <w:r w:rsidRPr="00B70B7A">
              <w:rPr>
                <w:rFonts w:ascii="Arial" w:hAnsi="Arial" w:cs="Arial"/>
                <w:sz w:val="20"/>
                <w:szCs w:val="20"/>
                <w:lang w:val="en-GB"/>
              </w:rPr>
              <w:t xml:space="preserve">at their roost sites and drinking pools is commonplace and is facilitated by European travel agencies (Tucker 1996, Carvalho and Dias 2003, Zwarts </w:t>
            </w:r>
            <w:r w:rsidRPr="00B70B7A">
              <w:rPr>
                <w:rFonts w:ascii="Arial" w:hAnsi="Arial" w:cs="Arial"/>
                <w:i/>
                <w:sz w:val="20"/>
                <w:szCs w:val="20"/>
                <w:lang w:val="en-GB"/>
              </w:rPr>
              <w:t>et al</w:t>
            </w:r>
            <w:r w:rsidRPr="00B70B7A">
              <w:rPr>
                <w:rFonts w:ascii="Arial" w:hAnsi="Arial" w:cs="Arial"/>
                <w:sz w:val="20"/>
                <w:szCs w:val="20"/>
                <w:lang w:val="en-GB"/>
              </w:rPr>
              <w:t xml:space="preserve"> 2009, Raffael Ayé </w:t>
            </w:r>
            <w:r w:rsidRPr="00B70B7A">
              <w:rPr>
                <w:rFonts w:ascii="Arial" w:hAnsi="Arial" w:cs="Arial"/>
                <w:i/>
                <w:sz w:val="20"/>
                <w:szCs w:val="20"/>
                <w:lang w:val="en-GB"/>
              </w:rPr>
              <w:t>pers comm</w:t>
            </w:r>
            <w:r w:rsidRPr="00B70B7A">
              <w:rPr>
                <w:rFonts w:ascii="Arial" w:hAnsi="Arial" w:cs="Arial"/>
                <w:sz w:val="20"/>
                <w:szCs w:val="20"/>
                <w:lang w:val="en-GB"/>
              </w:rPr>
              <w:t>).</w:t>
            </w:r>
          </w:p>
        </w:tc>
      </w:tr>
      <w:tr w:rsidR="00C96521" w:rsidRPr="00B70B7A" w14:paraId="1BA2D3D9" w14:textId="77777777" w:rsidTr="00C96521">
        <w:tc>
          <w:tcPr>
            <w:tcW w:w="874" w:type="pct"/>
            <w:shd w:val="clear" w:color="auto" w:fill="auto"/>
          </w:tcPr>
          <w:p w14:paraId="2C0F967F"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Hungary</w:t>
            </w:r>
          </w:p>
        </w:tc>
        <w:tc>
          <w:tcPr>
            <w:tcW w:w="605" w:type="pct"/>
            <w:shd w:val="clear" w:color="auto" w:fill="auto"/>
          </w:tcPr>
          <w:p w14:paraId="6D0D5D80"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4C8EFC3"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and nationally protected since 1971. Not hunted.</w:t>
            </w:r>
          </w:p>
        </w:tc>
      </w:tr>
      <w:tr w:rsidR="00C96521" w:rsidRPr="00B70B7A" w14:paraId="6DF299EE" w14:textId="77777777" w:rsidTr="00C96521">
        <w:tc>
          <w:tcPr>
            <w:tcW w:w="874" w:type="pct"/>
            <w:shd w:val="clear" w:color="auto" w:fill="auto"/>
          </w:tcPr>
          <w:p w14:paraId="50A5F4A9"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Israel</w:t>
            </w:r>
          </w:p>
        </w:tc>
        <w:tc>
          <w:tcPr>
            <w:tcW w:w="605" w:type="pct"/>
            <w:shd w:val="clear" w:color="auto" w:fill="auto"/>
          </w:tcPr>
          <w:p w14:paraId="09A7E684"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094317BE" w14:textId="34C3DC94"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 xml:space="preserve">Protected. Fewer than 1,000 hunters and decreasing; the </w:t>
            </w:r>
            <w:r w:rsidR="00173165" w:rsidRPr="00B70B7A">
              <w:rPr>
                <w:rFonts w:ascii="Arial" w:hAnsi="Arial" w:cs="Arial"/>
                <w:sz w:val="20"/>
                <w:szCs w:val="20"/>
                <w:lang w:val="en-GB"/>
              </w:rPr>
              <w:t>Turtle Dove</w:t>
            </w:r>
            <w:r w:rsidR="00173165" w:rsidRPr="00B70B7A" w:rsidDel="00173165">
              <w:rPr>
                <w:rFonts w:ascii="Arial" w:hAnsi="Arial" w:cs="Arial"/>
                <w:color w:val="000000"/>
                <w:sz w:val="20"/>
                <w:szCs w:val="20"/>
                <w:lang w:val="en-GB"/>
              </w:rPr>
              <w:t xml:space="preserve"> </w:t>
            </w:r>
            <w:r w:rsidRPr="00B70B7A">
              <w:rPr>
                <w:rFonts w:ascii="Arial" w:hAnsi="Arial" w:cs="Arial"/>
                <w:color w:val="000000"/>
                <w:sz w:val="20"/>
                <w:szCs w:val="20"/>
                <w:lang w:val="en-GB"/>
              </w:rPr>
              <w:t>is not a popular quarry species. Season 1 Sep to 31 Jan with no bag limit (BirdLife International 2014d).</w:t>
            </w:r>
          </w:p>
        </w:tc>
      </w:tr>
      <w:tr w:rsidR="00C96521" w:rsidRPr="00B70B7A" w14:paraId="6DA9B17D" w14:textId="77777777" w:rsidTr="00C96521">
        <w:tc>
          <w:tcPr>
            <w:tcW w:w="874" w:type="pct"/>
            <w:shd w:val="clear" w:color="auto" w:fill="auto"/>
          </w:tcPr>
          <w:p w14:paraId="0F082B5C"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Italy </w:t>
            </w:r>
          </w:p>
        </w:tc>
        <w:tc>
          <w:tcPr>
            <w:tcW w:w="605" w:type="pct"/>
            <w:shd w:val="clear" w:color="auto" w:fill="auto"/>
          </w:tcPr>
          <w:p w14:paraId="4774317A" w14:textId="77777777" w:rsidR="00C96521" w:rsidRPr="00B70B7A" w:rsidRDefault="00C96521" w:rsidP="00C96521">
            <w:pPr>
              <w:widowControl/>
              <w:autoSpaceDE/>
              <w:autoSpaceDN/>
              <w:adjustRightInd/>
              <w:rPr>
                <w:rFonts w:ascii="Arial" w:hAnsi="Arial" w:cs="Arial"/>
                <w:iCs/>
                <w:color w:val="000000"/>
                <w:sz w:val="20"/>
                <w:szCs w:val="20"/>
                <w:lang w:val="en-GB"/>
              </w:rPr>
            </w:pPr>
            <w:r w:rsidRPr="00B70B7A">
              <w:rPr>
                <w:rFonts w:ascii="Arial" w:hAnsi="Arial" w:cs="Arial"/>
                <w:iCs/>
                <w:color w:val="000000"/>
                <w:sz w:val="20"/>
                <w:szCs w:val="20"/>
                <w:lang w:val="en-GB"/>
              </w:rPr>
              <w:t>250-350,000</w:t>
            </w:r>
          </w:p>
          <w:p w14:paraId="4F9AF2FB" w14:textId="77777777" w:rsidR="00C96521" w:rsidRPr="00B70B7A" w:rsidRDefault="00C96521" w:rsidP="00C96521">
            <w:pPr>
              <w:widowControl/>
              <w:autoSpaceDE/>
              <w:autoSpaceDN/>
              <w:adjustRightInd/>
              <w:rPr>
                <w:rFonts w:ascii="Arial" w:hAnsi="Arial" w:cs="Arial"/>
                <w:i/>
                <w:iCs/>
                <w:color w:val="000000"/>
                <w:sz w:val="20"/>
                <w:szCs w:val="20"/>
                <w:lang w:val="en-GB"/>
              </w:rPr>
            </w:pPr>
            <w:r w:rsidRPr="00B70B7A">
              <w:rPr>
                <w:rFonts w:ascii="Arial" w:hAnsi="Arial" w:cs="Arial"/>
                <w:i/>
                <w:iCs/>
                <w:color w:val="000000"/>
                <w:sz w:val="20"/>
                <w:szCs w:val="20"/>
                <w:lang w:val="en-GB"/>
              </w:rPr>
              <w:t>annually</w:t>
            </w:r>
          </w:p>
        </w:tc>
        <w:tc>
          <w:tcPr>
            <w:tcW w:w="3521" w:type="pct"/>
          </w:tcPr>
          <w:p w14:paraId="066862F9" w14:textId="649D8B66"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Covered by the EU Birds Directive. </w:t>
            </w:r>
            <w:r w:rsidRPr="00B70B7A">
              <w:rPr>
                <w:rFonts w:ascii="Arial" w:hAnsi="Arial" w:cs="Arial"/>
                <w:color w:val="000000"/>
                <w:sz w:val="20"/>
                <w:szCs w:val="20"/>
                <w:lang w:val="en-GB"/>
              </w:rPr>
              <w:t xml:space="preserve">In many regions the </w:t>
            </w:r>
            <w:r w:rsidR="00173165" w:rsidRPr="00B70B7A">
              <w:rPr>
                <w:rFonts w:ascii="Arial" w:hAnsi="Arial" w:cs="Arial"/>
                <w:sz w:val="20"/>
                <w:szCs w:val="20"/>
                <w:lang w:val="en-GB"/>
              </w:rPr>
              <w:t>Turtle Dove</w:t>
            </w:r>
            <w:r w:rsidR="00173165" w:rsidRPr="00B70B7A" w:rsidDel="00173165">
              <w:rPr>
                <w:rFonts w:ascii="Arial" w:hAnsi="Arial" w:cs="Arial"/>
                <w:color w:val="000000"/>
                <w:sz w:val="20"/>
                <w:szCs w:val="20"/>
                <w:lang w:val="en-GB"/>
              </w:rPr>
              <w:t xml:space="preserve"> </w:t>
            </w:r>
            <w:r w:rsidRPr="00B70B7A">
              <w:rPr>
                <w:rFonts w:ascii="Arial" w:hAnsi="Arial" w:cs="Arial"/>
                <w:color w:val="000000"/>
                <w:sz w:val="20"/>
                <w:szCs w:val="20"/>
                <w:lang w:val="en-GB"/>
              </w:rPr>
              <w:t xml:space="preserve">season runs from 1 Sep and is only allowed for 1-5 fixed days (three in many regions), until the third Sunday of Sep when the regular season starts until 31 Dec. Other regions allow three fixed days, with a season of 1 to 31 October. Most regions now close the </w:t>
            </w:r>
            <w:r w:rsidR="00173165" w:rsidRPr="00B70B7A">
              <w:rPr>
                <w:rFonts w:ascii="Arial" w:hAnsi="Arial" w:cs="Arial"/>
                <w:sz w:val="20"/>
                <w:szCs w:val="20"/>
                <w:lang w:val="en-GB"/>
              </w:rPr>
              <w:t>Turtle Dove</w:t>
            </w:r>
            <w:r w:rsidR="00173165" w:rsidRPr="00B70B7A" w:rsidDel="00173165">
              <w:rPr>
                <w:rFonts w:ascii="Arial" w:hAnsi="Arial" w:cs="Arial"/>
                <w:color w:val="000000"/>
                <w:sz w:val="20"/>
                <w:szCs w:val="20"/>
                <w:lang w:val="en-GB"/>
              </w:rPr>
              <w:t xml:space="preserve"> </w:t>
            </w:r>
            <w:r w:rsidRPr="00B70B7A">
              <w:rPr>
                <w:rFonts w:ascii="Arial" w:hAnsi="Arial" w:cs="Arial"/>
                <w:color w:val="000000"/>
                <w:sz w:val="20"/>
                <w:szCs w:val="20"/>
                <w:lang w:val="en-GB"/>
              </w:rPr>
              <w:t>hunting season on 31 Oct. Regional Governments apply daily and seasonal bag limits. (</w:t>
            </w:r>
            <w:r w:rsidRPr="00B70B7A">
              <w:rPr>
                <w:rFonts w:ascii="Arial" w:hAnsi="Arial" w:cs="Arial"/>
                <w:sz w:val="20"/>
                <w:szCs w:val="20"/>
                <w:lang w:val="en-GB"/>
              </w:rPr>
              <w:t xml:space="preserve">Sorrenti and Tramontana 2016, Michele Sorrenti </w:t>
            </w:r>
            <w:r w:rsidRPr="00B70B7A">
              <w:rPr>
                <w:rFonts w:ascii="Arial" w:hAnsi="Arial" w:cs="Arial"/>
                <w:i/>
                <w:sz w:val="20"/>
                <w:szCs w:val="20"/>
                <w:lang w:val="en-GB"/>
              </w:rPr>
              <w:t>pers comm</w:t>
            </w:r>
            <w:r w:rsidRPr="00B70B7A">
              <w:rPr>
                <w:rFonts w:ascii="Arial" w:hAnsi="Arial" w:cs="Arial"/>
                <w:sz w:val="20"/>
                <w:szCs w:val="20"/>
                <w:lang w:val="en-GB"/>
              </w:rPr>
              <w:t xml:space="preserve">). </w:t>
            </w:r>
          </w:p>
        </w:tc>
      </w:tr>
      <w:tr w:rsidR="00C96521" w:rsidRPr="00B70B7A" w14:paraId="33FB6505" w14:textId="77777777" w:rsidTr="00C96521">
        <w:tc>
          <w:tcPr>
            <w:tcW w:w="874" w:type="pct"/>
            <w:shd w:val="clear" w:color="auto" w:fill="auto"/>
          </w:tcPr>
          <w:p w14:paraId="220AE9BF"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Jordan</w:t>
            </w:r>
          </w:p>
        </w:tc>
        <w:tc>
          <w:tcPr>
            <w:tcW w:w="605" w:type="pct"/>
            <w:shd w:val="clear" w:color="auto" w:fill="auto"/>
          </w:tcPr>
          <w:p w14:paraId="17B5F611"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AADAE10" w14:textId="1450050A"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 xml:space="preserve">Season 1 Jul to 30 Nov, with a limit of 20 </w:t>
            </w:r>
            <w:r w:rsidR="00173165" w:rsidRPr="00B70B7A">
              <w:rPr>
                <w:rFonts w:ascii="Arial" w:hAnsi="Arial" w:cs="Arial"/>
                <w:sz w:val="20"/>
                <w:szCs w:val="20"/>
                <w:lang w:val="en-GB"/>
              </w:rPr>
              <w:t>Turtle Doves</w:t>
            </w:r>
            <w:r w:rsidR="00173165" w:rsidRPr="00B70B7A" w:rsidDel="00173165">
              <w:rPr>
                <w:rFonts w:ascii="Arial" w:hAnsi="Arial" w:cs="Arial"/>
                <w:color w:val="000000"/>
                <w:sz w:val="20"/>
                <w:szCs w:val="20"/>
                <w:lang w:val="en-GB"/>
              </w:rPr>
              <w:t xml:space="preserve"> </w:t>
            </w:r>
            <w:r w:rsidRPr="00B70B7A">
              <w:rPr>
                <w:rFonts w:ascii="Arial" w:hAnsi="Arial" w:cs="Arial"/>
                <w:color w:val="000000"/>
                <w:sz w:val="20"/>
                <w:szCs w:val="20"/>
                <w:lang w:val="en-GB"/>
              </w:rPr>
              <w:t xml:space="preserve">per hunter per trip. </w:t>
            </w:r>
          </w:p>
        </w:tc>
      </w:tr>
      <w:tr w:rsidR="00C96521" w:rsidRPr="00B70B7A" w14:paraId="2DDAC91F" w14:textId="77777777" w:rsidTr="00C96521">
        <w:tc>
          <w:tcPr>
            <w:tcW w:w="874" w:type="pct"/>
            <w:shd w:val="clear" w:color="auto" w:fill="auto"/>
          </w:tcPr>
          <w:p w14:paraId="4E5F360D"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Kosovo</w:t>
            </w:r>
          </w:p>
        </w:tc>
        <w:tc>
          <w:tcPr>
            <w:tcW w:w="605" w:type="pct"/>
            <w:shd w:val="clear" w:color="auto" w:fill="auto"/>
          </w:tcPr>
          <w:p w14:paraId="35A96445"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E7872D9" w14:textId="7EEADAC1"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Season 1 Sep to 30 Nov (UNMIK/IPVQ 2007).</w:t>
            </w:r>
          </w:p>
        </w:tc>
      </w:tr>
      <w:tr w:rsidR="00C96521" w:rsidRPr="00B70B7A" w14:paraId="49F46355" w14:textId="77777777" w:rsidTr="00C96521">
        <w:tc>
          <w:tcPr>
            <w:tcW w:w="874" w:type="pct"/>
            <w:shd w:val="clear" w:color="auto" w:fill="auto"/>
          </w:tcPr>
          <w:p w14:paraId="3D627F61"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Latvia</w:t>
            </w:r>
          </w:p>
        </w:tc>
        <w:tc>
          <w:tcPr>
            <w:tcW w:w="605" w:type="pct"/>
            <w:shd w:val="clear" w:color="auto" w:fill="auto"/>
          </w:tcPr>
          <w:p w14:paraId="06BD9345"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1C7682D"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 hunting.</w:t>
            </w:r>
          </w:p>
        </w:tc>
      </w:tr>
      <w:tr w:rsidR="00C96521" w:rsidRPr="00B70B7A" w14:paraId="07ED7B63" w14:textId="77777777" w:rsidTr="00C96521">
        <w:tc>
          <w:tcPr>
            <w:tcW w:w="874" w:type="pct"/>
            <w:shd w:val="clear" w:color="auto" w:fill="auto"/>
          </w:tcPr>
          <w:p w14:paraId="3F939DAE"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Lebanon</w:t>
            </w:r>
          </w:p>
        </w:tc>
        <w:tc>
          <w:tcPr>
            <w:tcW w:w="605" w:type="pct"/>
            <w:shd w:val="clear" w:color="auto" w:fill="auto"/>
          </w:tcPr>
          <w:p w14:paraId="1D14E1F9"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452DC50E"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 xml:space="preserve">Complete ban (Brochet </w:t>
            </w:r>
            <w:r w:rsidRPr="00B70B7A">
              <w:rPr>
                <w:rFonts w:ascii="Arial" w:hAnsi="Arial" w:cs="Arial"/>
                <w:i/>
                <w:color w:val="000000"/>
                <w:sz w:val="20"/>
                <w:szCs w:val="20"/>
                <w:lang w:val="en-GB"/>
              </w:rPr>
              <w:t>et al</w:t>
            </w:r>
            <w:r w:rsidRPr="00B70B7A">
              <w:rPr>
                <w:rFonts w:ascii="Arial" w:hAnsi="Arial" w:cs="Arial"/>
                <w:color w:val="000000"/>
                <w:sz w:val="20"/>
                <w:szCs w:val="20"/>
                <w:lang w:val="en-GB"/>
              </w:rPr>
              <w:t xml:space="preserve"> 2016, BirdLife International 2014e).</w:t>
            </w:r>
          </w:p>
        </w:tc>
      </w:tr>
      <w:tr w:rsidR="00C96521" w:rsidRPr="00B70B7A" w14:paraId="61D1761E" w14:textId="77777777" w:rsidTr="00C96521">
        <w:tc>
          <w:tcPr>
            <w:tcW w:w="874" w:type="pct"/>
            <w:shd w:val="clear" w:color="auto" w:fill="auto"/>
          </w:tcPr>
          <w:p w14:paraId="3CA33B83"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Libya</w:t>
            </w:r>
          </w:p>
        </w:tc>
        <w:tc>
          <w:tcPr>
            <w:tcW w:w="605" w:type="pct"/>
            <w:shd w:val="clear" w:color="auto" w:fill="auto"/>
          </w:tcPr>
          <w:p w14:paraId="5D2EF36B"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6D3D401C"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No regulations (BirdLife International 2014e).</w:t>
            </w:r>
          </w:p>
        </w:tc>
      </w:tr>
      <w:tr w:rsidR="00C96521" w:rsidRPr="00B70B7A" w14:paraId="0C0DAFBB" w14:textId="77777777" w:rsidTr="00C96521">
        <w:tc>
          <w:tcPr>
            <w:tcW w:w="874" w:type="pct"/>
            <w:shd w:val="clear" w:color="auto" w:fill="auto"/>
          </w:tcPr>
          <w:p w14:paraId="3BAD5828"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Liechtenstein</w:t>
            </w:r>
          </w:p>
        </w:tc>
        <w:tc>
          <w:tcPr>
            <w:tcW w:w="605" w:type="pct"/>
            <w:shd w:val="clear" w:color="auto" w:fill="auto"/>
          </w:tcPr>
          <w:p w14:paraId="041BC8A8"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8ED8B81"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Not on the national list of huntable species (Liechtensteinisches Landesgesetzblatt 2003).</w:t>
            </w:r>
          </w:p>
        </w:tc>
      </w:tr>
      <w:tr w:rsidR="00C96521" w:rsidRPr="00B70B7A" w14:paraId="1BD9419E" w14:textId="77777777" w:rsidTr="00C96521">
        <w:tc>
          <w:tcPr>
            <w:tcW w:w="874" w:type="pct"/>
            <w:shd w:val="clear" w:color="auto" w:fill="auto"/>
          </w:tcPr>
          <w:p w14:paraId="041B4093"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Lithuania</w:t>
            </w:r>
          </w:p>
        </w:tc>
        <w:tc>
          <w:tcPr>
            <w:tcW w:w="605" w:type="pct"/>
            <w:shd w:val="clear" w:color="auto" w:fill="auto"/>
          </w:tcPr>
          <w:p w14:paraId="2488FE40"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368EB597"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Not hunted.</w:t>
            </w:r>
          </w:p>
        </w:tc>
      </w:tr>
      <w:tr w:rsidR="00C96521" w:rsidRPr="00B70B7A" w14:paraId="4E951F2B" w14:textId="77777777" w:rsidTr="00C96521">
        <w:tc>
          <w:tcPr>
            <w:tcW w:w="874" w:type="pct"/>
            <w:shd w:val="clear" w:color="auto" w:fill="auto"/>
          </w:tcPr>
          <w:p w14:paraId="78B7031E"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Luxembourg</w:t>
            </w:r>
          </w:p>
        </w:tc>
        <w:tc>
          <w:tcPr>
            <w:tcW w:w="605" w:type="pct"/>
            <w:shd w:val="clear" w:color="auto" w:fill="auto"/>
          </w:tcPr>
          <w:p w14:paraId="1FFF82FF" w14:textId="77777777" w:rsidR="00C96521" w:rsidRPr="00B70B7A" w:rsidRDefault="00C96521" w:rsidP="00C96521">
            <w:pPr>
              <w:widowControl/>
              <w:autoSpaceDE/>
              <w:autoSpaceDN/>
              <w:adjustRightInd/>
              <w:rPr>
                <w:rFonts w:ascii="Arial" w:hAnsi="Arial" w:cs="Arial"/>
                <w:iCs/>
                <w:color w:val="000000"/>
                <w:sz w:val="20"/>
                <w:szCs w:val="20"/>
                <w:lang w:val="en-GB"/>
              </w:rPr>
            </w:pPr>
          </w:p>
        </w:tc>
        <w:tc>
          <w:tcPr>
            <w:tcW w:w="3521" w:type="pct"/>
          </w:tcPr>
          <w:p w14:paraId="28513619"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Not hunted.</w:t>
            </w:r>
          </w:p>
        </w:tc>
      </w:tr>
      <w:tr w:rsidR="00C96521" w:rsidRPr="00B70B7A" w14:paraId="413CE0EF" w14:textId="77777777" w:rsidTr="00C96521">
        <w:tc>
          <w:tcPr>
            <w:tcW w:w="874" w:type="pct"/>
            <w:shd w:val="clear" w:color="auto" w:fill="auto"/>
          </w:tcPr>
          <w:p w14:paraId="4B9C4426"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Mali</w:t>
            </w:r>
          </w:p>
        </w:tc>
        <w:tc>
          <w:tcPr>
            <w:tcW w:w="605" w:type="pct"/>
            <w:shd w:val="clear" w:color="auto" w:fill="auto"/>
          </w:tcPr>
          <w:p w14:paraId="44EF3454"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27B76225" w14:textId="437AC78D"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Hunting of </w:t>
            </w:r>
            <w:r w:rsidR="00173165" w:rsidRPr="00B70B7A">
              <w:rPr>
                <w:rFonts w:ascii="Arial" w:hAnsi="Arial" w:cs="Arial"/>
                <w:sz w:val="20"/>
                <w:szCs w:val="20"/>
                <w:lang w:val="en-GB"/>
              </w:rPr>
              <w:t>Turtle Dove</w:t>
            </w:r>
            <w:r w:rsidRPr="00B70B7A">
              <w:rPr>
                <w:rFonts w:ascii="Arial" w:hAnsi="Arial" w:cs="Arial"/>
                <w:sz w:val="20"/>
                <w:szCs w:val="20"/>
                <w:lang w:val="en-GB"/>
              </w:rPr>
              <w:t xml:space="preserve">s at their roost sites and drinking pools is commonplace and is facilitated by European travel agencies (Tucker 1996, Carvalho and Dias 2003, Zwarts </w:t>
            </w:r>
            <w:r w:rsidRPr="00B70B7A">
              <w:rPr>
                <w:rFonts w:ascii="Arial" w:hAnsi="Arial" w:cs="Arial"/>
                <w:i/>
                <w:sz w:val="20"/>
                <w:szCs w:val="20"/>
                <w:lang w:val="en-GB"/>
              </w:rPr>
              <w:t>et al</w:t>
            </w:r>
            <w:r w:rsidRPr="00B70B7A">
              <w:rPr>
                <w:rFonts w:ascii="Arial" w:hAnsi="Arial" w:cs="Arial"/>
                <w:sz w:val="20"/>
                <w:szCs w:val="20"/>
                <w:lang w:val="en-GB"/>
              </w:rPr>
              <w:t xml:space="preserve"> 2009, Raffael Ayé </w:t>
            </w:r>
            <w:r w:rsidRPr="00B70B7A">
              <w:rPr>
                <w:rFonts w:ascii="Arial" w:hAnsi="Arial" w:cs="Arial"/>
                <w:i/>
                <w:sz w:val="20"/>
                <w:szCs w:val="20"/>
                <w:lang w:val="en-GB"/>
              </w:rPr>
              <w:t>pers comm</w:t>
            </w:r>
            <w:r w:rsidRPr="00B70B7A">
              <w:rPr>
                <w:rFonts w:ascii="Arial" w:hAnsi="Arial" w:cs="Arial"/>
                <w:sz w:val="20"/>
                <w:szCs w:val="20"/>
                <w:lang w:val="en-GB"/>
              </w:rPr>
              <w:t>).</w:t>
            </w:r>
          </w:p>
        </w:tc>
      </w:tr>
      <w:tr w:rsidR="00C96521" w:rsidRPr="00B70B7A" w14:paraId="063B9D29" w14:textId="77777777" w:rsidTr="00C96521">
        <w:tc>
          <w:tcPr>
            <w:tcW w:w="874" w:type="pct"/>
            <w:shd w:val="clear" w:color="auto" w:fill="auto"/>
          </w:tcPr>
          <w:p w14:paraId="578E1334"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Malta</w:t>
            </w:r>
          </w:p>
        </w:tc>
        <w:tc>
          <w:tcPr>
            <w:tcW w:w="605" w:type="pct"/>
            <w:shd w:val="clear" w:color="auto" w:fill="auto"/>
          </w:tcPr>
          <w:p w14:paraId="00839EB1"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2,014</w:t>
            </w:r>
          </w:p>
          <w:p w14:paraId="546B95E3"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i/>
                <w:sz w:val="20"/>
                <w:szCs w:val="20"/>
                <w:lang w:val="en-GB"/>
              </w:rPr>
              <w:t>spring 2015</w:t>
            </w:r>
          </w:p>
          <w:p w14:paraId="3E61F80A" w14:textId="77777777" w:rsidR="00C96521" w:rsidRPr="00B70B7A" w:rsidRDefault="00C96521" w:rsidP="00C96521">
            <w:pPr>
              <w:widowControl/>
              <w:autoSpaceDE/>
              <w:autoSpaceDN/>
              <w:adjustRightInd/>
              <w:rPr>
                <w:rFonts w:ascii="Arial" w:hAnsi="Arial" w:cs="Arial"/>
                <w:i/>
                <w:sz w:val="20"/>
                <w:szCs w:val="20"/>
                <w:lang w:val="en-GB"/>
              </w:rPr>
            </w:pPr>
          </w:p>
          <w:p w14:paraId="4F755D04"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lastRenderedPageBreak/>
              <w:t>3,695</w:t>
            </w:r>
          </w:p>
          <w:p w14:paraId="647E43EF"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i/>
                <w:sz w:val="20"/>
                <w:szCs w:val="20"/>
                <w:lang w:val="en-GB"/>
              </w:rPr>
              <w:t>autumn 2015</w:t>
            </w:r>
          </w:p>
          <w:p w14:paraId="5B010DBA" w14:textId="77777777" w:rsidR="00C96521" w:rsidRPr="00B70B7A" w:rsidRDefault="00C96521" w:rsidP="00C96521">
            <w:pPr>
              <w:widowControl/>
              <w:autoSpaceDE/>
              <w:autoSpaceDN/>
              <w:adjustRightInd/>
              <w:rPr>
                <w:rFonts w:ascii="Arial" w:hAnsi="Arial" w:cs="Arial"/>
                <w:i/>
                <w:sz w:val="20"/>
                <w:szCs w:val="20"/>
                <w:lang w:val="en-GB"/>
              </w:rPr>
            </w:pPr>
          </w:p>
          <w:p w14:paraId="5278739B"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1,284</w:t>
            </w:r>
          </w:p>
          <w:p w14:paraId="71F7F5BF"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i/>
                <w:sz w:val="20"/>
                <w:szCs w:val="20"/>
                <w:lang w:val="en-GB"/>
              </w:rPr>
              <w:t>spring 2016</w:t>
            </w:r>
          </w:p>
          <w:p w14:paraId="509B8491" w14:textId="77777777" w:rsidR="00C96521" w:rsidRPr="00B70B7A" w:rsidRDefault="00C96521" w:rsidP="00C96521">
            <w:pPr>
              <w:widowControl/>
              <w:autoSpaceDE/>
              <w:autoSpaceDN/>
              <w:adjustRightInd/>
              <w:rPr>
                <w:rFonts w:ascii="Arial" w:hAnsi="Arial" w:cs="Arial"/>
                <w:i/>
                <w:sz w:val="20"/>
                <w:szCs w:val="20"/>
                <w:lang w:val="en-GB"/>
              </w:rPr>
            </w:pPr>
          </w:p>
          <w:p w14:paraId="793982F8"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123</w:t>
            </w:r>
          </w:p>
          <w:p w14:paraId="2E624B32"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i/>
                <w:sz w:val="20"/>
                <w:szCs w:val="20"/>
                <w:lang w:val="en-GB"/>
              </w:rPr>
              <w:t>autumn 2016</w:t>
            </w:r>
          </w:p>
          <w:p w14:paraId="0BEB949C"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67B0D72C" w14:textId="7A774633"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lastRenderedPageBreak/>
              <w:t>Covered by EU Birds Directive. Previous seasons: spring 2015 14</w:t>
            </w:r>
            <w:r w:rsidRPr="00B70B7A">
              <w:rPr>
                <w:rFonts w:ascii="Arial" w:hAnsi="Arial" w:cs="Arial"/>
                <w:color w:val="000000"/>
                <w:sz w:val="20"/>
                <w:szCs w:val="20"/>
                <w:vertAlign w:val="superscript"/>
                <w:lang w:val="en-GB"/>
              </w:rPr>
              <w:t>t</w:t>
            </w:r>
            <w:r w:rsidRPr="00B70B7A">
              <w:rPr>
                <w:rFonts w:ascii="Arial" w:hAnsi="Arial" w:cs="Arial"/>
                <w:color w:val="000000"/>
                <w:sz w:val="20"/>
                <w:szCs w:val="20"/>
                <w:lang w:val="en-GB"/>
              </w:rPr>
              <w:t xml:space="preserve">to 27 Apr; autumn 2015 1 Sep to 31 Jan; spring 2016 17 to 30 Apr; autumn 2016 1 to 30 Sep. Season reduced in 2016 to Sep only, from 2 hours before sunrise to 2 hours after sunset, on weekdays and Saturdays; on Sundays and Public Holidays, hunting stops at 1pm. </w:t>
            </w:r>
            <w:r w:rsidRPr="00B70B7A">
              <w:rPr>
                <w:rFonts w:ascii="Arial" w:hAnsi="Arial" w:cs="Arial"/>
                <w:sz w:val="20"/>
                <w:szCs w:val="20"/>
                <w:lang w:val="en-GB"/>
              </w:rPr>
              <w:t xml:space="preserve">On </w:t>
            </w:r>
            <w:r w:rsidRPr="00B70B7A">
              <w:rPr>
                <w:rFonts w:ascii="Arial" w:hAnsi="Arial" w:cs="Arial"/>
                <w:sz w:val="20"/>
                <w:szCs w:val="20"/>
                <w:lang w:val="en-GB"/>
              </w:rPr>
              <w:lastRenderedPageBreak/>
              <w:t xml:space="preserve">weekdays between 15 and 30 Sep hunting after 7pm is not allowed. </w:t>
            </w:r>
            <w:r w:rsidRPr="00B70B7A">
              <w:rPr>
                <w:rFonts w:ascii="Arial" w:hAnsi="Arial" w:cs="Arial"/>
                <w:color w:val="000000"/>
                <w:sz w:val="20"/>
                <w:szCs w:val="20"/>
                <w:lang w:val="en-GB"/>
              </w:rPr>
              <w:t xml:space="preserve">Licensed hunters are required to report birds caught to a telephone reporting system before leaving the hunting area. Hunters can only take species listed in their </w:t>
            </w:r>
            <w:r w:rsidRPr="00B70B7A">
              <w:rPr>
                <w:rFonts w:ascii="Arial" w:hAnsi="Arial" w:cs="Arial"/>
                <w:sz w:val="20"/>
                <w:szCs w:val="20"/>
                <w:lang w:val="en-GB"/>
              </w:rPr>
              <w:t xml:space="preserve">licence category. Spring hunting derogation law allows for a maximum 3 weeks in Apr with a maximum quota of 11,000. The autumn hunting season with the latest law allows for </w:t>
            </w:r>
            <w:r w:rsidR="00173165" w:rsidRPr="00B70B7A">
              <w:rPr>
                <w:rFonts w:ascii="Arial" w:hAnsi="Arial" w:cs="Arial"/>
                <w:sz w:val="20"/>
                <w:szCs w:val="20"/>
                <w:lang w:val="en-GB"/>
              </w:rPr>
              <w:t>T</w:t>
            </w:r>
            <w:r w:rsidRPr="00B70B7A">
              <w:rPr>
                <w:rFonts w:ascii="Arial" w:hAnsi="Arial" w:cs="Arial"/>
                <w:sz w:val="20"/>
                <w:szCs w:val="20"/>
                <w:lang w:val="en-GB"/>
              </w:rPr>
              <w:t xml:space="preserve">urtle </w:t>
            </w:r>
            <w:r w:rsidR="00173165" w:rsidRPr="00B70B7A">
              <w:rPr>
                <w:rFonts w:ascii="Arial" w:hAnsi="Arial" w:cs="Arial"/>
                <w:sz w:val="20"/>
                <w:szCs w:val="20"/>
                <w:lang w:val="en-GB"/>
              </w:rPr>
              <w:t>D</w:t>
            </w:r>
            <w:r w:rsidRPr="00B70B7A">
              <w:rPr>
                <w:rFonts w:ascii="Arial" w:hAnsi="Arial" w:cs="Arial"/>
                <w:sz w:val="20"/>
                <w:szCs w:val="20"/>
                <w:lang w:val="en-GB"/>
              </w:rPr>
              <w:t xml:space="preserve">oves to be hunted from 1 to 30 Sep, up to a 7,000 quota. (Wild Birds Regulation Unit </w:t>
            </w:r>
            <w:r w:rsidRPr="00B70B7A">
              <w:rPr>
                <w:rFonts w:ascii="Arial" w:hAnsi="Arial" w:cs="Arial"/>
                <w:i/>
                <w:sz w:val="20"/>
                <w:szCs w:val="20"/>
                <w:lang w:val="en-GB"/>
              </w:rPr>
              <w:t>pers comm</w:t>
            </w:r>
            <w:r w:rsidRPr="00B70B7A">
              <w:rPr>
                <w:rFonts w:ascii="Arial" w:hAnsi="Arial" w:cs="Arial"/>
                <w:sz w:val="20"/>
                <w:szCs w:val="20"/>
                <w:lang w:val="en-GB"/>
              </w:rPr>
              <w:t xml:space="preserve">, WBRU 2015, WBRU 2016). Hunting in the spring of 2008 and 2009 was completely prohibited. Following the judgment of the Court of Justice of the European Union (CJEU) in Case C-76/08 Commission vs. Malta of 10 September 2009, Malta applied derogations for limited hunting of the species in spring under strictly supervised conditions from 2010 to 2016. The conditions are stipulated in the Conservation of Wild Birds Regulations (Framework for allowing a derogation opening a Spring Hunting season for </w:t>
            </w:r>
            <w:r w:rsidR="00173165" w:rsidRPr="00B70B7A">
              <w:rPr>
                <w:rFonts w:ascii="Arial" w:hAnsi="Arial" w:cs="Arial"/>
                <w:sz w:val="20"/>
                <w:szCs w:val="20"/>
                <w:lang w:val="en-GB"/>
              </w:rPr>
              <w:t xml:space="preserve">the </w:t>
            </w:r>
            <w:r w:rsidRPr="00B70B7A">
              <w:rPr>
                <w:rFonts w:ascii="Arial" w:hAnsi="Arial" w:cs="Arial"/>
                <w:sz w:val="20"/>
                <w:szCs w:val="20"/>
                <w:lang w:val="en-GB"/>
              </w:rPr>
              <w:t>Turtle</w:t>
            </w:r>
            <w:r w:rsidR="00173165" w:rsidRPr="00B70B7A">
              <w:rPr>
                <w:rFonts w:ascii="Arial" w:hAnsi="Arial" w:cs="Arial"/>
                <w:sz w:val="20"/>
                <w:szCs w:val="20"/>
                <w:lang w:val="en-GB"/>
              </w:rPr>
              <w:t xml:space="preserve"> D</w:t>
            </w:r>
            <w:r w:rsidRPr="00B70B7A">
              <w:rPr>
                <w:rFonts w:ascii="Arial" w:hAnsi="Arial" w:cs="Arial"/>
                <w:sz w:val="20"/>
                <w:szCs w:val="20"/>
                <w:lang w:val="en-GB"/>
              </w:rPr>
              <w:t xml:space="preserve">ove and Quail, S.L. 549.57) which establishes the parameters for the application of a derogation, including provisions related to individual, seasonal and national bag limits, obligations concerning enforcement, reporting requirements and other conditions. The Framework Regulations dictate that a spring hunting season for this species will open if the previous autumn hunting bag exceeds 20,000 specimens. Bag statistics and detailed information on each year’s special licensing process and enforcement are published annually.  </w:t>
            </w:r>
          </w:p>
        </w:tc>
      </w:tr>
      <w:tr w:rsidR="00C96521" w:rsidRPr="009213E9" w14:paraId="1D729267" w14:textId="77777777" w:rsidTr="00C96521">
        <w:tc>
          <w:tcPr>
            <w:tcW w:w="874" w:type="pct"/>
            <w:shd w:val="clear" w:color="auto" w:fill="auto"/>
          </w:tcPr>
          <w:p w14:paraId="3808F022"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lastRenderedPageBreak/>
              <w:t>Mauritania</w:t>
            </w:r>
          </w:p>
        </w:tc>
        <w:tc>
          <w:tcPr>
            <w:tcW w:w="605" w:type="pct"/>
            <w:shd w:val="clear" w:color="auto" w:fill="auto"/>
          </w:tcPr>
          <w:p w14:paraId="49F111B5"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40411FED" w14:textId="77777777" w:rsidR="00C96521" w:rsidRPr="00B70B7A" w:rsidRDefault="00C96521" w:rsidP="00C96521">
            <w:pPr>
              <w:widowControl/>
              <w:autoSpaceDE/>
              <w:autoSpaceDN/>
              <w:adjustRightInd/>
              <w:rPr>
                <w:rFonts w:ascii="Arial" w:hAnsi="Arial" w:cs="Arial"/>
                <w:color w:val="000000"/>
                <w:sz w:val="20"/>
                <w:szCs w:val="20"/>
                <w:lang w:val="fr-FR"/>
              </w:rPr>
            </w:pPr>
            <w:r w:rsidRPr="00B70B7A">
              <w:rPr>
                <w:rFonts w:ascii="Arial" w:hAnsi="Arial" w:cs="Arial"/>
                <w:i/>
                <w:color w:val="000000"/>
                <w:sz w:val="20"/>
                <w:szCs w:val="20"/>
                <w:lang w:val="fr-FR"/>
              </w:rPr>
              <w:t>Streptopelia</w:t>
            </w:r>
            <w:r w:rsidRPr="00B70B7A">
              <w:rPr>
                <w:rFonts w:ascii="Arial" w:hAnsi="Arial" w:cs="Arial"/>
                <w:color w:val="000000"/>
                <w:sz w:val="20"/>
                <w:szCs w:val="20"/>
                <w:lang w:val="fr-FR"/>
              </w:rPr>
              <w:t xml:space="preserve"> </w:t>
            </w:r>
            <w:r w:rsidRPr="00B70B7A">
              <w:rPr>
                <w:rFonts w:ascii="Arial" w:hAnsi="Arial" w:cs="Arial"/>
                <w:i/>
                <w:color w:val="000000"/>
                <w:sz w:val="20"/>
                <w:szCs w:val="20"/>
                <w:lang w:val="fr-FR"/>
              </w:rPr>
              <w:t>sp</w:t>
            </w:r>
            <w:r w:rsidRPr="00B70B7A">
              <w:rPr>
                <w:rFonts w:ascii="Arial" w:hAnsi="Arial" w:cs="Arial"/>
                <w:color w:val="000000"/>
                <w:sz w:val="20"/>
                <w:szCs w:val="20"/>
                <w:lang w:val="fr-FR"/>
              </w:rPr>
              <w:t xml:space="preserve"> partially protected (Journal Officiel de la République Islamique de Mauritanie 1997), but hunting does take place (Sheehan </w:t>
            </w:r>
            <w:r w:rsidRPr="00B70B7A">
              <w:rPr>
                <w:rFonts w:ascii="Arial" w:hAnsi="Arial" w:cs="Arial"/>
                <w:i/>
                <w:color w:val="000000"/>
                <w:sz w:val="20"/>
                <w:szCs w:val="20"/>
                <w:lang w:val="fr-FR"/>
              </w:rPr>
              <w:t>et al</w:t>
            </w:r>
            <w:r w:rsidRPr="00B70B7A">
              <w:rPr>
                <w:rFonts w:ascii="Arial" w:hAnsi="Arial" w:cs="Arial"/>
                <w:color w:val="000000"/>
                <w:sz w:val="20"/>
                <w:szCs w:val="20"/>
                <w:lang w:val="fr-FR"/>
              </w:rPr>
              <w:t xml:space="preserve"> 2014).</w:t>
            </w:r>
          </w:p>
        </w:tc>
      </w:tr>
      <w:tr w:rsidR="00C96521" w:rsidRPr="00B70B7A" w14:paraId="37F65695" w14:textId="77777777" w:rsidTr="00C96521">
        <w:tc>
          <w:tcPr>
            <w:tcW w:w="874" w:type="pct"/>
            <w:shd w:val="clear" w:color="auto" w:fill="auto"/>
          </w:tcPr>
          <w:p w14:paraId="444C7F58"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Montenegro</w:t>
            </w:r>
          </w:p>
        </w:tc>
        <w:tc>
          <w:tcPr>
            <w:tcW w:w="605" w:type="pct"/>
            <w:shd w:val="clear" w:color="auto" w:fill="auto"/>
          </w:tcPr>
          <w:p w14:paraId="45BE21B8"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2A206603" w14:textId="65EF88FC"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Not protected. Hunting season from 1 Aug to 31 Dec (BirdLife International 2014h).</w:t>
            </w:r>
          </w:p>
        </w:tc>
      </w:tr>
      <w:tr w:rsidR="00C96521" w:rsidRPr="00B70B7A" w14:paraId="13598FFD" w14:textId="77777777" w:rsidTr="00C96521">
        <w:tc>
          <w:tcPr>
            <w:tcW w:w="874" w:type="pct"/>
            <w:shd w:val="clear" w:color="auto" w:fill="auto"/>
          </w:tcPr>
          <w:p w14:paraId="006475A3"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Morocco</w:t>
            </w:r>
          </w:p>
        </w:tc>
        <w:tc>
          <w:tcPr>
            <w:tcW w:w="605" w:type="pct"/>
            <w:shd w:val="clear" w:color="auto" w:fill="auto"/>
          </w:tcPr>
          <w:p w14:paraId="2901AA16"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sz w:val="20"/>
                <w:szCs w:val="20"/>
                <w:lang w:val="en-GB"/>
              </w:rPr>
              <w:t xml:space="preserve">31,682 </w:t>
            </w:r>
            <w:r w:rsidRPr="00B70B7A">
              <w:rPr>
                <w:rFonts w:ascii="Arial" w:hAnsi="Arial" w:cs="Arial"/>
                <w:i/>
                <w:sz w:val="20"/>
                <w:szCs w:val="20"/>
                <w:lang w:val="en-GB"/>
              </w:rPr>
              <w:t>2013</w:t>
            </w:r>
          </w:p>
        </w:tc>
        <w:tc>
          <w:tcPr>
            <w:tcW w:w="3521" w:type="pct"/>
          </w:tcPr>
          <w:p w14:paraId="3FE6C67D" w14:textId="5A42B5B5"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Season Jul to Aug (BirdLife International 2014i, HCEFLCD 2013 in Hanane and Besnard 2014). In the Tadla region of Morocco, about 2% of the breeding population was harvested in 2013 (Hanane and Besnard 2014). Hunting is mainly of </w:t>
            </w:r>
            <w:r w:rsidRPr="00B70B7A">
              <w:rPr>
                <w:rFonts w:ascii="Arial" w:hAnsi="Arial" w:cs="Arial"/>
                <w:i/>
                <w:sz w:val="20"/>
                <w:szCs w:val="20"/>
                <w:lang w:val="en-GB"/>
              </w:rPr>
              <w:t>Streptopelia turtur arenicola</w:t>
            </w:r>
            <w:r w:rsidRPr="00B70B7A">
              <w:rPr>
                <w:rFonts w:ascii="Arial" w:hAnsi="Arial" w:cs="Arial"/>
                <w:sz w:val="20"/>
                <w:szCs w:val="20"/>
                <w:lang w:val="en-GB"/>
              </w:rPr>
              <w:t xml:space="preserve"> (El Mastour 1998 in Dubois 2002) and hunting ends by the 25 Aug, so many of the European-breeding birds are unlikely to be affected by hunting in Morocco (M Denny </w:t>
            </w:r>
            <w:r w:rsidRPr="00B70B7A">
              <w:rPr>
                <w:rFonts w:ascii="Arial" w:hAnsi="Arial" w:cs="Arial"/>
                <w:i/>
                <w:sz w:val="20"/>
                <w:szCs w:val="20"/>
                <w:lang w:val="en-GB"/>
              </w:rPr>
              <w:t>unpublished</w:t>
            </w:r>
            <w:r w:rsidRPr="00B70B7A">
              <w:rPr>
                <w:rFonts w:ascii="Arial" w:hAnsi="Arial" w:cs="Arial"/>
                <w:sz w:val="20"/>
                <w:szCs w:val="20"/>
                <w:lang w:val="en-GB"/>
              </w:rPr>
              <w:t xml:space="preserve">). </w:t>
            </w:r>
          </w:p>
        </w:tc>
      </w:tr>
      <w:tr w:rsidR="00C96521" w:rsidRPr="00B70B7A" w14:paraId="5F091A8C" w14:textId="77777777" w:rsidTr="00C96521">
        <w:tc>
          <w:tcPr>
            <w:tcW w:w="874" w:type="pct"/>
            <w:shd w:val="clear" w:color="auto" w:fill="auto"/>
          </w:tcPr>
          <w:p w14:paraId="6DF5A9EF"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Netherlands</w:t>
            </w:r>
          </w:p>
        </w:tc>
        <w:tc>
          <w:tcPr>
            <w:tcW w:w="605" w:type="pct"/>
            <w:shd w:val="clear" w:color="auto" w:fill="auto"/>
          </w:tcPr>
          <w:p w14:paraId="04852B8A"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03E40E66"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Not hunted.</w:t>
            </w:r>
          </w:p>
        </w:tc>
      </w:tr>
      <w:tr w:rsidR="00C96521" w:rsidRPr="00B70B7A" w14:paraId="776B2C35" w14:textId="77777777" w:rsidTr="00C96521">
        <w:tc>
          <w:tcPr>
            <w:tcW w:w="874" w:type="pct"/>
            <w:shd w:val="clear" w:color="auto" w:fill="auto"/>
          </w:tcPr>
          <w:p w14:paraId="7B4C4F3D"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Niger</w:t>
            </w:r>
          </w:p>
        </w:tc>
        <w:tc>
          <w:tcPr>
            <w:tcW w:w="605" w:type="pct"/>
            <w:shd w:val="clear" w:color="auto" w:fill="auto"/>
          </w:tcPr>
          <w:p w14:paraId="3988C3F5"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4ED25DF4"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Hunting takes place (Brouwer 2014).</w:t>
            </w:r>
          </w:p>
        </w:tc>
      </w:tr>
      <w:tr w:rsidR="00C96521" w:rsidRPr="00B70B7A" w14:paraId="60C4A236" w14:textId="77777777" w:rsidTr="00C96521">
        <w:tc>
          <w:tcPr>
            <w:tcW w:w="874" w:type="pct"/>
            <w:shd w:val="clear" w:color="auto" w:fill="auto"/>
          </w:tcPr>
          <w:p w14:paraId="658BF3E6"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Palestinian Territory</w:t>
            </w:r>
          </w:p>
        </w:tc>
        <w:tc>
          <w:tcPr>
            <w:tcW w:w="605" w:type="pct"/>
            <w:shd w:val="clear" w:color="auto" w:fill="auto"/>
          </w:tcPr>
          <w:p w14:paraId="4518A821"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5DF6D134"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Legislation based on Jordanian Environmental Law (BirdLife International 2014j), but status unclear.</w:t>
            </w:r>
          </w:p>
        </w:tc>
      </w:tr>
      <w:tr w:rsidR="00C96521" w:rsidRPr="00B70B7A" w14:paraId="068D7A6B" w14:textId="77777777" w:rsidTr="00C96521">
        <w:tc>
          <w:tcPr>
            <w:tcW w:w="874" w:type="pct"/>
            <w:shd w:val="clear" w:color="auto" w:fill="auto"/>
          </w:tcPr>
          <w:p w14:paraId="728FE827"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Poland</w:t>
            </w:r>
          </w:p>
        </w:tc>
        <w:tc>
          <w:tcPr>
            <w:tcW w:w="605" w:type="pct"/>
            <w:shd w:val="clear" w:color="auto" w:fill="auto"/>
          </w:tcPr>
          <w:p w14:paraId="15CA07A6" w14:textId="77777777" w:rsidR="00C96521" w:rsidRPr="00B70B7A" w:rsidRDefault="00C96521" w:rsidP="00C96521">
            <w:pPr>
              <w:widowControl/>
              <w:autoSpaceDE/>
              <w:autoSpaceDN/>
              <w:adjustRightInd/>
              <w:rPr>
                <w:rFonts w:ascii="Arial" w:hAnsi="Arial" w:cs="Arial"/>
                <w:sz w:val="20"/>
                <w:szCs w:val="20"/>
                <w:lang w:val="en-GB"/>
              </w:rPr>
            </w:pPr>
          </w:p>
        </w:tc>
        <w:tc>
          <w:tcPr>
            <w:tcW w:w="3521" w:type="pct"/>
          </w:tcPr>
          <w:p w14:paraId="029418F1" w14:textId="77777777" w:rsidR="00C96521" w:rsidRPr="00B70B7A" w:rsidRDefault="00C96521" w:rsidP="00C96521">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legislation. Not hunted.</w:t>
            </w:r>
          </w:p>
        </w:tc>
      </w:tr>
      <w:tr w:rsidR="00C96521" w:rsidRPr="00B70B7A" w14:paraId="5C88EC93" w14:textId="77777777" w:rsidTr="00C96521">
        <w:tc>
          <w:tcPr>
            <w:tcW w:w="874" w:type="pct"/>
            <w:shd w:val="clear" w:color="auto" w:fill="auto"/>
          </w:tcPr>
          <w:p w14:paraId="7C9E1C6F" w14:textId="77777777"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sz w:val="20"/>
                <w:szCs w:val="20"/>
                <w:lang w:val="en-GB"/>
              </w:rPr>
              <w:t>Portugal</w:t>
            </w:r>
          </w:p>
        </w:tc>
        <w:tc>
          <w:tcPr>
            <w:tcW w:w="605" w:type="pct"/>
            <w:shd w:val="clear" w:color="auto" w:fill="auto"/>
          </w:tcPr>
          <w:p w14:paraId="58B5BCAF" w14:textId="77777777" w:rsidR="00C96521" w:rsidRPr="00B70B7A" w:rsidRDefault="00C96521" w:rsidP="00C96521">
            <w:pPr>
              <w:widowControl/>
              <w:autoSpaceDE/>
              <w:autoSpaceDN/>
              <w:adjustRightInd/>
              <w:rPr>
                <w:rFonts w:ascii="Arial" w:hAnsi="Arial" w:cs="Arial"/>
                <w:i/>
                <w:sz w:val="20"/>
                <w:szCs w:val="20"/>
                <w:lang w:val="en-GB"/>
              </w:rPr>
            </w:pPr>
            <w:r w:rsidRPr="00B70B7A">
              <w:rPr>
                <w:rFonts w:ascii="Arial" w:hAnsi="Arial" w:cs="Arial"/>
                <w:sz w:val="20"/>
                <w:szCs w:val="20"/>
                <w:lang w:val="en-GB"/>
              </w:rPr>
              <w:t>109,815 2</w:t>
            </w:r>
            <w:r w:rsidRPr="00B70B7A">
              <w:rPr>
                <w:rFonts w:ascii="Arial" w:hAnsi="Arial" w:cs="Arial"/>
                <w:i/>
                <w:sz w:val="20"/>
                <w:szCs w:val="20"/>
                <w:lang w:val="en-GB"/>
              </w:rPr>
              <w:t>013-14</w:t>
            </w:r>
          </w:p>
        </w:tc>
        <w:tc>
          <w:tcPr>
            <w:tcW w:w="3521" w:type="pct"/>
          </w:tcPr>
          <w:p w14:paraId="4F14658F" w14:textId="520AD1F4" w:rsidR="00C96521" w:rsidRPr="00B70B7A" w:rsidRDefault="00C96521" w:rsidP="00C96521">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 xml:space="preserve">Covered by EU Birds Directive. Since 2012, the third Sunday in Aug to 30 Sep. The daily bag limit was reduced from 8 to 6 birds in 2015, reducing further to 5 in 2017 and 4 in 2018. Available bag statistics 1989-2011, covering c90% of the country show a 0.4% annual decrease (ICNF </w:t>
            </w:r>
            <w:r w:rsidRPr="00B70B7A">
              <w:rPr>
                <w:rFonts w:ascii="Arial" w:hAnsi="Arial" w:cs="Arial"/>
                <w:i/>
                <w:color w:val="000000"/>
                <w:sz w:val="20"/>
                <w:szCs w:val="20"/>
                <w:lang w:val="en-GB"/>
              </w:rPr>
              <w:t>unpublished data</w:t>
            </w:r>
            <w:r w:rsidRPr="00B70B7A">
              <w:rPr>
                <w:rFonts w:ascii="Arial" w:hAnsi="Arial" w:cs="Arial"/>
                <w:color w:val="000000"/>
                <w:sz w:val="20"/>
                <w:szCs w:val="20"/>
                <w:lang w:val="en-GB"/>
              </w:rPr>
              <w:t xml:space="preserve">, Susana Dias </w:t>
            </w:r>
            <w:r w:rsidRPr="00B70B7A">
              <w:rPr>
                <w:rFonts w:ascii="Arial" w:hAnsi="Arial" w:cs="Arial"/>
                <w:i/>
                <w:color w:val="000000"/>
                <w:sz w:val="20"/>
                <w:szCs w:val="20"/>
                <w:lang w:val="en-GB"/>
              </w:rPr>
              <w:t>pers comm</w:t>
            </w:r>
            <w:r w:rsidRPr="00B70B7A">
              <w:rPr>
                <w:rFonts w:ascii="Arial" w:hAnsi="Arial" w:cs="Arial"/>
                <w:color w:val="000000"/>
                <w:sz w:val="20"/>
                <w:szCs w:val="20"/>
                <w:lang w:val="en-GB"/>
              </w:rPr>
              <w:t xml:space="preserve">). </w:t>
            </w:r>
            <w:r w:rsidRPr="00B70B7A">
              <w:rPr>
                <w:rFonts w:ascii="Arial" w:hAnsi="Arial" w:cs="Arial"/>
                <w:sz w:val="20"/>
                <w:szCs w:val="20"/>
                <w:lang w:val="en-GB"/>
              </w:rPr>
              <w:t xml:space="preserve">The number of birds shot was c200,000 in 2009/2010, dropping to c120,000 birds in the last three hunting seasons (2014-2016). The number of birds shot has decreased from c11.2 birds shot/100 ha in 1996/1997 to 3.4/100 ha in 2014/2015 (Júlia Almeida </w:t>
            </w:r>
            <w:r w:rsidRPr="00B70B7A">
              <w:rPr>
                <w:rFonts w:ascii="Arial" w:hAnsi="Arial" w:cs="Arial"/>
                <w:i/>
                <w:sz w:val="20"/>
                <w:szCs w:val="20"/>
                <w:lang w:val="en-GB"/>
              </w:rPr>
              <w:t>pers comm;</w:t>
            </w:r>
            <w:r w:rsidRPr="00B70B7A">
              <w:rPr>
                <w:rFonts w:ascii="Arial" w:hAnsi="Arial" w:cs="Arial"/>
                <w:sz w:val="20"/>
                <w:szCs w:val="20"/>
                <w:lang w:val="en-GB"/>
              </w:rPr>
              <w:t xml:space="preserve"> </w:t>
            </w:r>
            <w:r w:rsidRPr="00B70B7A">
              <w:rPr>
                <w:rFonts w:ascii="Arial" w:hAnsi="Arial" w:cs="Arial"/>
                <w:color w:val="000000"/>
                <w:sz w:val="20"/>
                <w:szCs w:val="20"/>
                <w:lang w:val="en-GB"/>
              </w:rPr>
              <w:t>Breeding Monitoring Scheme 1994-2004; hunting statistics for game estates 1989 onwards; past and current National Breeding Birds Atlas).</w:t>
            </w:r>
          </w:p>
        </w:tc>
      </w:tr>
      <w:tr w:rsidR="00B70B7A" w:rsidRPr="00B70B7A" w14:paraId="3A30F7F8" w14:textId="77777777" w:rsidTr="00C96521">
        <w:tc>
          <w:tcPr>
            <w:tcW w:w="874" w:type="pct"/>
            <w:shd w:val="clear" w:color="auto" w:fill="auto"/>
          </w:tcPr>
          <w:p w14:paraId="1E38FB6C" w14:textId="0360C03E" w:rsidR="00B70B7A" w:rsidRPr="00B70B7A" w:rsidRDefault="00B70B7A" w:rsidP="00B70B7A">
            <w:pPr>
              <w:widowControl/>
              <w:autoSpaceDE/>
              <w:autoSpaceDN/>
              <w:adjustRightInd/>
              <w:rPr>
                <w:rFonts w:cs="Arial"/>
                <w:sz w:val="20"/>
                <w:szCs w:val="20"/>
                <w:lang w:val="en-GB"/>
              </w:rPr>
            </w:pPr>
            <w:r w:rsidRPr="00B70B7A">
              <w:rPr>
                <w:rFonts w:ascii="Arial" w:hAnsi="Arial" w:cs="Arial"/>
                <w:sz w:val="20"/>
                <w:szCs w:val="20"/>
                <w:lang w:val="en-GB"/>
              </w:rPr>
              <w:t>Republic of Moldova</w:t>
            </w:r>
          </w:p>
        </w:tc>
        <w:tc>
          <w:tcPr>
            <w:tcW w:w="605" w:type="pct"/>
            <w:shd w:val="clear" w:color="auto" w:fill="auto"/>
          </w:tcPr>
          <w:p w14:paraId="0B121E9A" w14:textId="77777777" w:rsidR="00B70B7A" w:rsidRPr="00B70B7A" w:rsidRDefault="00B70B7A" w:rsidP="00B70B7A">
            <w:pPr>
              <w:widowControl/>
              <w:autoSpaceDE/>
              <w:autoSpaceDN/>
              <w:adjustRightInd/>
              <w:rPr>
                <w:rFonts w:cs="Arial"/>
                <w:sz w:val="20"/>
                <w:szCs w:val="20"/>
                <w:lang w:val="en-GB"/>
              </w:rPr>
            </w:pPr>
          </w:p>
        </w:tc>
        <w:tc>
          <w:tcPr>
            <w:tcW w:w="3521" w:type="pct"/>
          </w:tcPr>
          <w:p w14:paraId="512CAE8B" w14:textId="08752EB2" w:rsidR="00B70B7A" w:rsidRPr="00B70B7A" w:rsidRDefault="00B70B7A" w:rsidP="00B70B7A">
            <w:pPr>
              <w:widowControl/>
              <w:autoSpaceDE/>
              <w:autoSpaceDN/>
              <w:adjustRightInd/>
              <w:rPr>
                <w:rFonts w:cs="Arial"/>
                <w:sz w:val="20"/>
                <w:szCs w:val="20"/>
                <w:lang w:val="en-GB"/>
              </w:rPr>
            </w:pPr>
            <w:r w:rsidRPr="00BA3B6E">
              <w:rPr>
                <w:rFonts w:ascii="Arial" w:hAnsi="Arial" w:cs="Arial"/>
                <w:color w:val="000000"/>
                <w:sz w:val="20"/>
                <w:szCs w:val="20"/>
                <w:lang w:val="en-GB"/>
              </w:rPr>
              <w:t xml:space="preserve">"Doves" are huntable from Aug to Dec (Travel in Moldova </w:t>
            </w:r>
            <w:r w:rsidRPr="00BA3B6E">
              <w:rPr>
                <w:rFonts w:ascii="Arial" w:hAnsi="Arial" w:cs="Arial"/>
                <w:i/>
                <w:color w:val="000000"/>
                <w:sz w:val="20"/>
                <w:szCs w:val="20"/>
                <w:lang w:val="en-GB"/>
              </w:rPr>
              <w:t>undated</w:t>
            </w:r>
            <w:r w:rsidRPr="00BA3B6E">
              <w:rPr>
                <w:rFonts w:ascii="Arial" w:hAnsi="Arial" w:cs="Arial"/>
                <w:color w:val="000000"/>
                <w:sz w:val="20"/>
                <w:szCs w:val="20"/>
                <w:lang w:val="en-GB"/>
              </w:rPr>
              <w:t xml:space="preserve">). However, the Republic of Moldova Government Decision no. 963 of 08.08.2016 made hunting for migratory birds (including </w:t>
            </w:r>
            <w:r w:rsidRPr="00BA3B6E">
              <w:rPr>
                <w:rFonts w:ascii="Arial" w:hAnsi="Arial" w:cs="Arial"/>
                <w:sz w:val="20"/>
                <w:szCs w:val="20"/>
                <w:lang w:val="en-GB"/>
              </w:rPr>
              <w:t>Turtle Doves</w:t>
            </w:r>
            <w:r w:rsidRPr="00BA3B6E">
              <w:rPr>
                <w:rFonts w:ascii="Arial" w:hAnsi="Arial" w:cs="Arial"/>
                <w:color w:val="000000"/>
                <w:sz w:val="20"/>
                <w:szCs w:val="20"/>
                <w:lang w:val="en-GB"/>
              </w:rPr>
              <w:t xml:space="preserve">) forbidden during 2016-2017 (Vitalie Grimalschi </w:t>
            </w:r>
            <w:r w:rsidRPr="00BA3B6E">
              <w:rPr>
                <w:rFonts w:ascii="Arial" w:hAnsi="Arial" w:cs="Arial"/>
                <w:i/>
                <w:color w:val="000000"/>
                <w:sz w:val="20"/>
                <w:szCs w:val="20"/>
                <w:lang w:val="en-GB"/>
              </w:rPr>
              <w:t>pers comm</w:t>
            </w:r>
            <w:r w:rsidRPr="00BA3B6E">
              <w:rPr>
                <w:rFonts w:ascii="Arial" w:hAnsi="Arial" w:cs="Arial"/>
                <w:color w:val="000000"/>
                <w:sz w:val="20"/>
                <w:szCs w:val="20"/>
                <w:lang w:val="en-GB"/>
              </w:rPr>
              <w:t>).</w:t>
            </w:r>
          </w:p>
        </w:tc>
      </w:tr>
      <w:tr w:rsidR="00B70B7A" w:rsidRPr="00B70B7A" w14:paraId="6910E622" w14:textId="77777777" w:rsidTr="00C96521">
        <w:tc>
          <w:tcPr>
            <w:tcW w:w="874" w:type="pct"/>
            <w:shd w:val="clear" w:color="auto" w:fill="auto"/>
          </w:tcPr>
          <w:p w14:paraId="0BE8A423"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lastRenderedPageBreak/>
              <w:t>Romania</w:t>
            </w:r>
          </w:p>
        </w:tc>
        <w:tc>
          <w:tcPr>
            <w:tcW w:w="605" w:type="pct"/>
            <w:shd w:val="clear" w:color="auto" w:fill="auto"/>
          </w:tcPr>
          <w:p w14:paraId="76ED994B"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30,000 max</w:t>
            </w:r>
          </w:p>
          <w:p w14:paraId="141ED67F" w14:textId="77777777" w:rsidR="00B70B7A" w:rsidRPr="00B70B7A" w:rsidRDefault="00B70B7A" w:rsidP="00B70B7A">
            <w:pPr>
              <w:widowControl/>
              <w:autoSpaceDE/>
              <w:autoSpaceDN/>
              <w:adjustRightInd/>
              <w:rPr>
                <w:rFonts w:ascii="Arial" w:hAnsi="Arial" w:cs="Arial"/>
                <w:i/>
                <w:sz w:val="20"/>
                <w:szCs w:val="20"/>
                <w:lang w:val="en-GB"/>
              </w:rPr>
            </w:pPr>
            <w:r w:rsidRPr="00B70B7A">
              <w:rPr>
                <w:rFonts w:ascii="Arial" w:hAnsi="Arial" w:cs="Arial"/>
                <w:i/>
                <w:sz w:val="20"/>
                <w:szCs w:val="20"/>
                <w:lang w:val="en-GB"/>
              </w:rPr>
              <w:t>annually</w:t>
            </w:r>
          </w:p>
        </w:tc>
        <w:tc>
          <w:tcPr>
            <w:tcW w:w="3521" w:type="pct"/>
          </w:tcPr>
          <w:p w14:paraId="7E179089"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Covered by EU Birds Directive. Annual quota approved each year by the Government. The seasons starts on the 15</w:t>
            </w:r>
            <w:r w:rsidRPr="00B70B7A">
              <w:rPr>
                <w:rFonts w:ascii="Arial" w:hAnsi="Arial" w:cs="Arial"/>
                <w:sz w:val="20"/>
                <w:szCs w:val="20"/>
                <w:vertAlign w:val="superscript"/>
                <w:lang w:val="en-GB"/>
              </w:rPr>
              <w:t>th</w:t>
            </w:r>
            <w:r w:rsidRPr="00B70B7A">
              <w:rPr>
                <w:rFonts w:ascii="Arial" w:hAnsi="Arial" w:cs="Arial"/>
                <w:sz w:val="20"/>
                <w:szCs w:val="20"/>
                <w:lang w:val="en-GB"/>
              </w:rPr>
              <w:t xml:space="preserve"> of Aug. At the recent request of the Government, the end of the hunting period was shortened back from the 18</w:t>
            </w:r>
            <w:r w:rsidRPr="00B70B7A">
              <w:rPr>
                <w:rFonts w:ascii="Arial" w:hAnsi="Arial" w:cs="Arial"/>
                <w:sz w:val="20"/>
                <w:szCs w:val="20"/>
                <w:vertAlign w:val="superscript"/>
                <w:lang w:val="en-GB"/>
              </w:rPr>
              <w:t>th</w:t>
            </w:r>
            <w:r w:rsidRPr="00B70B7A">
              <w:rPr>
                <w:rFonts w:ascii="Arial" w:hAnsi="Arial" w:cs="Arial"/>
                <w:sz w:val="20"/>
                <w:szCs w:val="20"/>
                <w:lang w:val="en-GB"/>
              </w:rPr>
              <w:t xml:space="preserve"> of Feb to the 30</w:t>
            </w:r>
            <w:r w:rsidRPr="00B70B7A">
              <w:rPr>
                <w:rFonts w:ascii="Arial" w:hAnsi="Arial" w:cs="Arial"/>
                <w:sz w:val="20"/>
                <w:szCs w:val="20"/>
                <w:vertAlign w:val="superscript"/>
                <w:lang w:val="en-GB"/>
              </w:rPr>
              <w:t>th</w:t>
            </w:r>
            <w:r w:rsidRPr="00B70B7A">
              <w:rPr>
                <w:rFonts w:ascii="Arial" w:hAnsi="Arial" w:cs="Arial"/>
                <w:sz w:val="20"/>
                <w:szCs w:val="20"/>
                <w:lang w:val="en-GB"/>
              </w:rPr>
              <w:t xml:space="preserve"> Sep. An estimated 30,000 individuals are taken yearly. (Michele Sorrenti </w:t>
            </w:r>
            <w:r w:rsidRPr="00B70B7A">
              <w:rPr>
                <w:rFonts w:ascii="Arial" w:hAnsi="Arial" w:cs="Arial"/>
                <w:i/>
                <w:sz w:val="20"/>
                <w:szCs w:val="20"/>
                <w:lang w:val="en-GB"/>
              </w:rPr>
              <w:t>pers comm</w:t>
            </w:r>
            <w:r w:rsidRPr="00B70B7A">
              <w:rPr>
                <w:rFonts w:ascii="Arial" w:hAnsi="Arial" w:cs="Arial"/>
                <w:sz w:val="20"/>
                <w:szCs w:val="20"/>
                <w:lang w:val="en-GB"/>
              </w:rPr>
              <w:t>)</w:t>
            </w:r>
          </w:p>
        </w:tc>
      </w:tr>
      <w:tr w:rsidR="00B70B7A" w:rsidRPr="00B70B7A" w14:paraId="6658D0B9" w14:textId="77777777" w:rsidTr="00C96521">
        <w:tc>
          <w:tcPr>
            <w:tcW w:w="874" w:type="pct"/>
            <w:shd w:val="clear" w:color="auto" w:fill="auto"/>
          </w:tcPr>
          <w:p w14:paraId="485984B0"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Russian Federation (European)</w:t>
            </w:r>
          </w:p>
        </w:tc>
        <w:tc>
          <w:tcPr>
            <w:tcW w:w="605" w:type="pct"/>
            <w:shd w:val="clear" w:color="auto" w:fill="auto"/>
          </w:tcPr>
          <w:p w14:paraId="2D4421B7"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29CE31CA"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 xml:space="preserve">Imminent protected by inclusion in the Red Data Book of the Russian Federation; hunting of turtle-dove will be prohibited for at least 10 years, with serious penalties for illegal killing (Alexander Mischenko </w:t>
            </w:r>
            <w:r w:rsidRPr="00B70B7A">
              <w:rPr>
                <w:rFonts w:ascii="Arial" w:hAnsi="Arial" w:cs="Arial"/>
                <w:i/>
                <w:color w:val="000000"/>
                <w:sz w:val="20"/>
                <w:szCs w:val="20"/>
                <w:lang w:val="en-GB"/>
              </w:rPr>
              <w:t>pers comm</w:t>
            </w:r>
            <w:r w:rsidRPr="00B70B7A">
              <w:rPr>
                <w:rFonts w:ascii="Arial" w:hAnsi="Arial" w:cs="Arial"/>
                <w:color w:val="000000"/>
                <w:sz w:val="20"/>
                <w:szCs w:val="20"/>
                <w:lang w:val="en-GB"/>
              </w:rPr>
              <w:t xml:space="preserve">, Evgeny Syroechkovskiy </w:t>
            </w:r>
            <w:r w:rsidRPr="00B70B7A">
              <w:rPr>
                <w:rFonts w:ascii="Arial" w:hAnsi="Arial" w:cs="Arial"/>
                <w:i/>
                <w:color w:val="000000"/>
                <w:sz w:val="20"/>
                <w:szCs w:val="20"/>
                <w:lang w:val="en-GB"/>
              </w:rPr>
              <w:t>pers comm</w:t>
            </w:r>
            <w:r w:rsidRPr="00B70B7A">
              <w:rPr>
                <w:rFonts w:ascii="Arial" w:hAnsi="Arial" w:cs="Arial"/>
                <w:color w:val="000000"/>
                <w:sz w:val="20"/>
                <w:szCs w:val="20"/>
                <w:lang w:val="en-GB"/>
              </w:rPr>
              <w:t>). Generally, hunting in north-west Russia takes low numbers (Rouxel 2000).</w:t>
            </w:r>
          </w:p>
        </w:tc>
      </w:tr>
      <w:tr w:rsidR="00B70B7A" w:rsidRPr="00B70B7A" w14:paraId="7109178D" w14:textId="77777777" w:rsidTr="00C96521">
        <w:tc>
          <w:tcPr>
            <w:tcW w:w="874" w:type="pct"/>
            <w:shd w:val="clear" w:color="auto" w:fill="auto"/>
          </w:tcPr>
          <w:p w14:paraId="784C27D7"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Senegal</w:t>
            </w:r>
          </w:p>
        </w:tc>
        <w:tc>
          <w:tcPr>
            <w:tcW w:w="605" w:type="pct"/>
            <w:shd w:val="clear" w:color="auto" w:fill="auto"/>
          </w:tcPr>
          <w:p w14:paraId="1CA14CC2"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730A6672"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 xml:space="preserve">Hunting of turtle-doves at their roost sites and drinking pools is commonplace and is facilitated by European travel agencies (Tucker 1996, Carvalho and Dias 2003, Zwarts </w:t>
            </w:r>
            <w:r w:rsidRPr="00B70B7A">
              <w:rPr>
                <w:rFonts w:ascii="Arial" w:hAnsi="Arial" w:cs="Arial"/>
                <w:i/>
                <w:sz w:val="20"/>
                <w:szCs w:val="20"/>
                <w:lang w:val="en-GB"/>
              </w:rPr>
              <w:t>et al</w:t>
            </w:r>
            <w:r w:rsidRPr="00B70B7A">
              <w:rPr>
                <w:rFonts w:ascii="Arial" w:hAnsi="Arial" w:cs="Arial"/>
                <w:sz w:val="20"/>
                <w:szCs w:val="20"/>
                <w:lang w:val="en-GB"/>
              </w:rPr>
              <w:t xml:space="preserve"> 2009, Raffael Ayé </w:t>
            </w:r>
            <w:r w:rsidRPr="00B70B7A">
              <w:rPr>
                <w:rFonts w:ascii="Arial" w:hAnsi="Arial" w:cs="Arial"/>
                <w:i/>
                <w:sz w:val="20"/>
                <w:szCs w:val="20"/>
                <w:lang w:val="en-GB"/>
              </w:rPr>
              <w:t>pers comm</w:t>
            </w:r>
            <w:r w:rsidRPr="00B70B7A">
              <w:rPr>
                <w:rFonts w:ascii="Arial" w:hAnsi="Arial" w:cs="Arial"/>
                <w:sz w:val="20"/>
                <w:szCs w:val="20"/>
                <w:lang w:val="en-GB"/>
              </w:rPr>
              <w:t>).</w:t>
            </w:r>
          </w:p>
        </w:tc>
      </w:tr>
      <w:tr w:rsidR="00B70B7A" w:rsidRPr="00B70B7A" w14:paraId="72968C93" w14:textId="77777777" w:rsidTr="00C96521">
        <w:tc>
          <w:tcPr>
            <w:tcW w:w="874" w:type="pct"/>
            <w:shd w:val="clear" w:color="auto" w:fill="auto"/>
          </w:tcPr>
          <w:p w14:paraId="04D96B0C"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Serbia</w:t>
            </w:r>
          </w:p>
        </w:tc>
        <w:tc>
          <w:tcPr>
            <w:tcW w:w="605" w:type="pct"/>
            <w:shd w:val="clear" w:color="auto" w:fill="auto"/>
          </w:tcPr>
          <w:p w14:paraId="23EC515A"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3BF9A0B1"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Hunting ban in place from Oct 2015 to Mar 2017 due to public pressure. Generally, the season is 1</w:t>
            </w:r>
            <w:r w:rsidRPr="00B70B7A">
              <w:rPr>
                <w:rFonts w:ascii="Arial" w:hAnsi="Arial" w:cs="Arial"/>
                <w:color w:val="000000"/>
                <w:sz w:val="20"/>
                <w:szCs w:val="20"/>
                <w:vertAlign w:val="superscript"/>
                <w:lang w:val="en-GB"/>
              </w:rPr>
              <w:t>st</w:t>
            </w:r>
            <w:r w:rsidRPr="00B70B7A">
              <w:rPr>
                <w:rFonts w:ascii="Arial" w:hAnsi="Arial" w:cs="Arial"/>
                <w:color w:val="000000"/>
                <w:sz w:val="20"/>
                <w:szCs w:val="20"/>
                <w:lang w:val="en-GB"/>
              </w:rPr>
              <w:t xml:space="preserve"> Aug to 30</w:t>
            </w:r>
            <w:r w:rsidRPr="00B70B7A">
              <w:rPr>
                <w:rFonts w:ascii="Arial" w:hAnsi="Arial" w:cs="Arial"/>
                <w:color w:val="000000"/>
                <w:sz w:val="20"/>
                <w:szCs w:val="20"/>
                <w:vertAlign w:val="superscript"/>
                <w:lang w:val="en-GB"/>
              </w:rPr>
              <w:t>th</w:t>
            </w:r>
            <w:r w:rsidRPr="00B70B7A">
              <w:rPr>
                <w:rFonts w:ascii="Arial" w:hAnsi="Arial" w:cs="Arial"/>
                <w:color w:val="000000"/>
                <w:sz w:val="20"/>
                <w:szCs w:val="20"/>
                <w:lang w:val="en-GB"/>
              </w:rPr>
              <w:t xml:space="preserve"> Sep (BirdLife International 2014k, Institute for Nature Conservation of Serbia 2015).</w:t>
            </w:r>
          </w:p>
        </w:tc>
      </w:tr>
      <w:tr w:rsidR="00B70B7A" w:rsidRPr="00B70B7A" w14:paraId="7D8D0F57" w14:textId="77777777" w:rsidTr="00C96521">
        <w:tc>
          <w:tcPr>
            <w:tcW w:w="874" w:type="pct"/>
            <w:shd w:val="clear" w:color="auto" w:fill="auto"/>
          </w:tcPr>
          <w:p w14:paraId="149BE149"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Slovakia</w:t>
            </w:r>
          </w:p>
        </w:tc>
        <w:tc>
          <w:tcPr>
            <w:tcW w:w="605" w:type="pct"/>
            <w:shd w:val="clear" w:color="auto" w:fill="auto"/>
          </w:tcPr>
          <w:p w14:paraId="3B1E66FD"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1861DDF7" w14:textId="77777777" w:rsidR="00B70B7A" w:rsidRPr="00B70B7A" w:rsidDel="0094005B" w:rsidRDefault="00B70B7A" w:rsidP="00B70B7A">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Covered by EU Birds Directive. Not hunted.</w:t>
            </w:r>
          </w:p>
        </w:tc>
      </w:tr>
      <w:tr w:rsidR="00B70B7A" w:rsidRPr="00B70B7A" w14:paraId="2F90BD81" w14:textId="77777777" w:rsidTr="00C96521">
        <w:tc>
          <w:tcPr>
            <w:tcW w:w="874" w:type="pct"/>
            <w:shd w:val="clear" w:color="auto" w:fill="auto"/>
          </w:tcPr>
          <w:p w14:paraId="279268CE"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Slovenia</w:t>
            </w:r>
          </w:p>
        </w:tc>
        <w:tc>
          <w:tcPr>
            <w:tcW w:w="605" w:type="pct"/>
            <w:shd w:val="clear" w:color="auto" w:fill="auto"/>
          </w:tcPr>
          <w:p w14:paraId="36CB6567" w14:textId="77777777" w:rsidR="00B70B7A" w:rsidRPr="00B70B7A" w:rsidDel="005753A4" w:rsidRDefault="00B70B7A" w:rsidP="00B70B7A">
            <w:pPr>
              <w:widowControl/>
              <w:autoSpaceDE/>
              <w:autoSpaceDN/>
              <w:adjustRightInd/>
              <w:rPr>
                <w:rFonts w:ascii="Arial" w:hAnsi="Arial" w:cs="Arial"/>
                <w:sz w:val="20"/>
                <w:szCs w:val="20"/>
                <w:lang w:val="en-GB"/>
              </w:rPr>
            </w:pPr>
          </w:p>
        </w:tc>
        <w:tc>
          <w:tcPr>
            <w:tcW w:w="3521" w:type="pct"/>
          </w:tcPr>
          <w:p w14:paraId="33FDED98"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Not hunted.</w:t>
            </w:r>
          </w:p>
        </w:tc>
      </w:tr>
      <w:tr w:rsidR="00B70B7A" w:rsidRPr="00B70B7A" w14:paraId="7692FE67" w14:textId="77777777" w:rsidTr="00C96521">
        <w:tc>
          <w:tcPr>
            <w:tcW w:w="874" w:type="pct"/>
            <w:shd w:val="clear" w:color="auto" w:fill="auto"/>
          </w:tcPr>
          <w:p w14:paraId="5EC2DD2C"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Spain</w:t>
            </w:r>
          </w:p>
        </w:tc>
        <w:tc>
          <w:tcPr>
            <w:tcW w:w="605" w:type="pct"/>
            <w:shd w:val="clear" w:color="auto" w:fill="auto"/>
          </w:tcPr>
          <w:p w14:paraId="74ABBC9E"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436,807-805,643</w:t>
            </w:r>
          </w:p>
          <w:p w14:paraId="7B6FFF38" w14:textId="77777777" w:rsidR="00B70B7A" w:rsidRPr="00B70B7A" w:rsidRDefault="00B70B7A" w:rsidP="00B70B7A">
            <w:pPr>
              <w:widowControl/>
              <w:autoSpaceDE/>
              <w:autoSpaceDN/>
              <w:adjustRightInd/>
              <w:rPr>
                <w:rFonts w:ascii="Arial" w:hAnsi="Arial" w:cs="Arial"/>
                <w:i/>
                <w:sz w:val="20"/>
                <w:szCs w:val="20"/>
                <w:lang w:val="en-GB"/>
              </w:rPr>
            </w:pPr>
            <w:r w:rsidRPr="00B70B7A">
              <w:rPr>
                <w:rFonts w:ascii="Arial" w:hAnsi="Arial" w:cs="Arial"/>
                <w:i/>
                <w:sz w:val="20"/>
                <w:szCs w:val="20"/>
                <w:lang w:val="en-GB"/>
              </w:rPr>
              <w:t>annually</w:t>
            </w:r>
          </w:p>
        </w:tc>
        <w:tc>
          <w:tcPr>
            <w:tcW w:w="3521" w:type="pct"/>
          </w:tcPr>
          <w:p w14:paraId="129EF112" w14:textId="02645709"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color w:val="000000"/>
                <w:sz w:val="20"/>
                <w:szCs w:val="20"/>
                <w:lang w:val="en-GB"/>
              </w:rPr>
              <w:t>Covered by EU Birds Directive. Generally the season is 15 Aug to 21 Sep but varies between regions. Thursday, Saturday and Sunday only</w:t>
            </w:r>
            <w:r w:rsidRPr="00B70B7A">
              <w:rPr>
                <w:rFonts w:ascii="Arial" w:hAnsi="Arial" w:cs="Arial"/>
                <w:sz w:val="20"/>
                <w:szCs w:val="20"/>
                <w:lang w:val="en-GB"/>
              </w:rPr>
              <w:t xml:space="preserve"> (MAPAMA 2016). A procedure for adding the species to the list of threatened species has been initiated by the Spanish Ministry of the Environment in response to a SEO/BirdLife application. Such listing would entail strict protection, the obligation to approve a national strategy, regional conservation plans, and a ban of hunting.</w:t>
            </w:r>
          </w:p>
        </w:tc>
      </w:tr>
      <w:tr w:rsidR="00B70B7A" w:rsidRPr="00B70B7A" w14:paraId="1CA01339" w14:textId="77777777" w:rsidTr="00C96521">
        <w:tc>
          <w:tcPr>
            <w:tcW w:w="874" w:type="pct"/>
            <w:shd w:val="clear" w:color="auto" w:fill="auto"/>
          </w:tcPr>
          <w:p w14:paraId="00369E79"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Switzerland</w:t>
            </w:r>
          </w:p>
        </w:tc>
        <w:tc>
          <w:tcPr>
            <w:tcW w:w="605" w:type="pct"/>
            <w:shd w:val="clear" w:color="auto" w:fill="auto"/>
          </w:tcPr>
          <w:p w14:paraId="4A6A2E8B"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6688793D"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Not included on the list of huntable species (Le Conseil Federal 2014). Protection covers nest destruction.</w:t>
            </w:r>
          </w:p>
        </w:tc>
      </w:tr>
      <w:tr w:rsidR="00B70B7A" w:rsidRPr="00B70B7A" w14:paraId="5BD87284" w14:textId="77777777" w:rsidTr="00C96521">
        <w:tc>
          <w:tcPr>
            <w:tcW w:w="874" w:type="pct"/>
            <w:shd w:val="clear" w:color="auto" w:fill="auto"/>
          </w:tcPr>
          <w:p w14:paraId="440E2110" w14:textId="14F4C9DE"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Syrian Arab Republic</w:t>
            </w:r>
          </w:p>
        </w:tc>
        <w:tc>
          <w:tcPr>
            <w:tcW w:w="605" w:type="pct"/>
            <w:shd w:val="clear" w:color="auto" w:fill="auto"/>
          </w:tcPr>
          <w:p w14:paraId="6D1734DB"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2E53B1CB"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Included on the Game Species List according to a new law (expected to be issued in 2017) with season from 1</w:t>
            </w:r>
            <w:r w:rsidRPr="00B70B7A">
              <w:rPr>
                <w:rFonts w:ascii="Arial" w:hAnsi="Arial" w:cs="Arial"/>
                <w:color w:val="000000"/>
                <w:sz w:val="20"/>
                <w:szCs w:val="20"/>
                <w:vertAlign w:val="superscript"/>
                <w:lang w:val="en-GB"/>
              </w:rPr>
              <w:t>st</w:t>
            </w:r>
            <w:r w:rsidRPr="00B70B7A">
              <w:rPr>
                <w:rFonts w:ascii="Arial" w:hAnsi="Arial" w:cs="Arial"/>
                <w:color w:val="000000"/>
                <w:sz w:val="20"/>
                <w:szCs w:val="20"/>
                <w:lang w:val="en-GB"/>
              </w:rPr>
              <w:t xml:space="preserve"> Sep to mid-Feb. There is a current ban on hunting (BirdLife International 2014l).</w:t>
            </w:r>
          </w:p>
        </w:tc>
      </w:tr>
      <w:tr w:rsidR="00B70B7A" w:rsidRPr="00B70B7A" w14:paraId="57F6433A" w14:textId="77777777" w:rsidTr="00C96521">
        <w:tc>
          <w:tcPr>
            <w:tcW w:w="874" w:type="pct"/>
            <w:shd w:val="clear" w:color="auto" w:fill="auto"/>
          </w:tcPr>
          <w:p w14:paraId="19AE0D85"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Tunisia</w:t>
            </w:r>
          </w:p>
        </w:tc>
        <w:tc>
          <w:tcPr>
            <w:tcW w:w="605" w:type="pct"/>
            <w:shd w:val="clear" w:color="auto" w:fill="auto"/>
          </w:tcPr>
          <w:p w14:paraId="45495972"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29F931BF" w14:textId="77777777" w:rsidR="00B70B7A" w:rsidRPr="00B70B7A" w:rsidRDefault="00B70B7A" w:rsidP="00B70B7A">
            <w:pPr>
              <w:widowControl/>
              <w:autoSpaceDE/>
              <w:autoSpaceDN/>
              <w:adjustRightInd/>
              <w:rPr>
                <w:rFonts w:ascii="Arial" w:hAnsi="Arial" w:cs="Arial"/>
                <w:color w:val="FF0000"/>
                <w:sz w:val="20"/>
                <w:szCs w:val="20"/>
                <w:lang w:val="en-GB"/>
              </w:rPr>
            </w:pPr>
            <w:r w:rsidRPr="00B70B7A">
              <w:rPr>
                <w:rFonts w:ascii="Arial" w:hAnsi="Arial" w:cs="Arial"/>
                <w:color w:val="000000"/>
                <w:sz w:val="20"/>
                <w:szCs w:val="20"/>
                <w:lang w:val="en-GB"/>
              </w:rPr>
              <w:t xml:space="preserve">"Doves" hunted from mid-Jul to early Sep (BirdLife International 2014m, Kafi </w:t>
            </w:r>
            <w:r w:rsidRPr="00B70B7A">
              <w:rPr>
                <w:rFonts w:ascii="Arial" w:hAnsi="Arial" w:cs="Arial"/>
                <w:i/>
                <w:color w:val="000000"/>
                <w:sz w:val="20"/>
                <w:szCs w:val="20"/>
                <w:lang w:val="en-GB"/>
              </w:rPr>
              <w:t>et al</w:t>
            </w:r>
            <w:r w:rsidRPr="00B70B7A">
              <w:rPr>
                <w:rFonts w:ascii="Arial" w:hAnsi="Arial" w:cs="Arial"/>
                <w:color w:val="000000"/>
                <w:sz w:val="20"/>
                <w:szCs w:val="20"/>
                <w:lang w:val="en-GB"/>
              </w:rPr>
              <w:t xml:space="preserve"> 2015).</w:t>
            </w:r>
            <w:r w:rsidRPr="00B70B7A">
              <w:rPr>
                <w:rFonts w:ascii="Arial" w:hAnsi="Arial" w:cs="Arial"/>
                <w:color w:val="FF0000"/>
                <w:sz w:val="20"/>
                <w:szCs w:val="20"/>
                <w:lang w:val="en-GB"/>
              </w:rPr>
              <w:t xml:space="preserve"> </w:t>
            </w:r>
          </w:p>
        </w:tc>
      </w:tr>
      <w:tr w:rsidR="00B70B7A" w:rsidRPr="00B70B7A" w14:paraId="51C3534A" w14:textId="77777777" w:rsidTr="00C96521">
        <w:tc>
          <w:tcPr>
            <w:tcW w:w="874" w:type="pct"/>
            <w:shd w:val="clear" w:color="auto" w:fill="auto"/>
          </w:tcPr>
          <w:p w14:paraId="1D7DF5EB"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Turkey</w:t>
            </w:r>
          </w:p>
        </w:tc>
        <w:tc>
          <w:tcPr>
            <w:tcW w:w="605" w:type="pct"/>
            <w:shd w:val="clear" w:color="auto" w:fill="auto"/>
          </w:tcPr>
          <w:p w14:paraId="044FF6CA"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0ABB62A0" w14:textId="5DE66612"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Season 23</w:t>
            </w:r>
            <w:r w:rsidRPr="00B70B7A">
              <w:rPr>
                <w:rFonts w:ascii="Arial" w:hAnsi="Arial" w:cs="Arial"/>
                <w:color w:val="000000"/>
                <w:sz w:val="20"/>
                <w:szCs w:val="20"/>
                <w:vertAlign w:val="superscript"/>
                <w:lang w:val="en-GB"/>
              </w:rPr>
              <w:t>d</w:t>
            </w:r>
            <w:r w:rsidRPr="00B70B7A">
              <w:rPr>
                <w:rFonts w:ascii="Arial" w:hAnsi="Arial" w:cs="Arial"/>
                <w:color w:val="000000"/>
                <w:sz w:val="20"/>
                <w:szCs w:val="20"/>
                <w:lang w:val="en-GB"/>
              </w:rPr>
              <w:t xml:space="preserve"> Aug to 18 Jan (BirdLife International 2014n)</w:t>
            </w:r>
          </w:p>
        </w:tc>
      </w:tr>
      <w:tr w:rsidR="00B70B7A" w:rsidRPr="00B70B7A" w14:paraId="2CD3F6FD" w14:textId="77777777" w:rsidTr="00C96521">
        <w:tc>
          <w:tcPr>
            <w:tcW w:w="874" w:type="pct"/>
            <w:shd w:val="clear" w:color="auto" w:fill="auto"/>
          </w:tcPr>
          <w:p w14:paraId="4D5F1C71"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Ukraine</w:t>
            </w:r>
          </w:p>
        </w:tc>
        <w:tc>
          <w:tcPr>
            <w:tcW w:w="605" w:type="pct"/>
            <w:shd w:val="clear" w:color="auto" w:fill="auto"/>
          </w:tcPr>
          <w:p w14:paraId="54D2FDBB"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3D5CD13D" w14:textId="73D4A3D5"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 xml:space="preserve">Season 15 Aug to 30 Sep; "pigeons" except Stock Doves are huntable from Aug to Dec (Ukrainian Hunting and Fishing Association </w:t>
            </w:r>
            <w:r w:rsidRPr="00B70B7A">
              <w:rPr>
                <w:rFonts w:ascii="Arial" w:hAnsi="Arial" w:cs="Arial"/>
                <w:i/>
                <w:color w:val="000000"/>
                <w:sz w:val="20"/>
                <w:szCs w:val="20"/>
                <w:lang w:val="en-GB"/>
              </w:rPr>
              <w:t>undated</w:t>
            </w:r>
            <w:r w:rsidRPr="00B70B7A">
              <w:rPr>
                <w:rFonts w:ascii="Arial" w:hAnsi="Arial" w:cs="Arial"/>
                <w:color w:val="000000"/>
                <w:sz w:val="20"/>
                <w:szCs w:val="20"/>
                <w:lang w:val="en-GB"/>
              </w:rPr>
              <w:t>). The number of Turtle Doves taken could be as high as 218,000 birds (Rouxel 200).</w:t>
            </w:r>
          </w:p>
        </w:tc>
      </w:tr>
      <w:tr w:rsidR="00B70B7A" w:rsidRPr="00B70B7A" w14:paraId="016AC4BE" w14:textId="77777777" w:rsidTr="00C96521">
        <w:tc>
          <w:tcPr>
            <w:tcW w:w="874" w:type="pct"/>
            <w:shd w:val="clear" w:color="auto" w:fill="auto"/>
          </w:tcPr>
          <w:p w14:paraId="5AB71BFA"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United Kingdom</w:t>
            </w:r>
          </w:p>
        </w:tc>
        <w:tc>
          <w:tcPr>
            <w:tcW w:w="605" w:type="pct"/>
            <w:shd w:val="clear" w:color="auto" w:fill="auto"/>
          </w:tcPr>
          <w:p w14:paraId="3DB93E61"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069AF30C"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EU Birds Directive. Not hunted.</w:t>
            </w:r>
          </w:p>
        </w:tc>
      </w:tr>
      <w:tr w:rsidR="00B70B7A" w:rsidRPr="00B70B7A" w14:paraId="7D91EA89" w14:textId="77777777" w:rsidTr="00C96521">
        <w:tc>
          <w:tcPr>
            <w:tcW w:w="874" w:type="pct"/>
            <w:shd w:val="clear" w:color="auto" w:fill="auto"/>
          </w:tcPr>
          <w:p w14:paraId="0F63CC3A" w14:textId="6222CEB6" w:rsidR="00B70B7A" w:rsidRPr="00B70B7A" w:rsidRDefault="00B70B7A" w:rsidP="00B70B7A">
            <w:pPr>
              <w:widowControl/>
              <w:autoSpaceDE/>
              <w:autoSpaceDN/>
              <w:adjustRightInd/>
              <w:rPr>
                <w:rFonts w:cs="Arial"/>
                <w:sz w:val="20"/>
                <w:szCs w:val="20"/>
                <w:lang w:val="en-GB"/>
              </w:rPr>
            </w:pPr>
            <w:r>
              <w:rPr>
                <w:rFonts w:ascii="Arial" w:hAnsi="Arial" w:cs="Arial"/>
                <w:sz w:val="20"/>
                <w:szCs w:val="20"/>
                <w:lang w:val="en-GB"/>
              </w:rPr>
              <w:t xml:space="preserve">The Former Yugoslav Republic of </w:t>
            </w:r>
            <w:r w:rsidRPr="00B70B7A">
              <w:rPr>
                <w:rFonts w:ascii="Arial" w:hAnsi="Arial" w:cs="Arial"/>
                <w:sz w:val="20"/>
                <w:szCs w:val="20"/>
                <w:lang w:val="en-GB"/>
              </w:rPr>
              <w:t>Macedonia, FYR</w:t>
            </w:r>
          </w:p>
        </w:tc>
        <w:tc>
          <w:tcPr>
            <w:tcW w:w="605" w:type="pct"/>
            <w:shd w:val="clear" w:color="auto" w:fill="auto"/>
          </w:tcPr>
          <w:p w14:paraId="029E8D10" w14:textId="77777777" w:rsidR="00B70B7A" w:rsidRPr="00B70B7A" w:rsidRDefault="00B70B7A" w:rsidP="00B70B7A">
            <w:pPr>
              <w:widowControl/>
              <w:autoSpaceDE/>
              <w:autoSpaceDN/>
              <w:adjustRightInd/>
              <w:rPr>
                <w:rFonts w:cs="Arial"/>
                <w:sz w:val="20"/>
                <w:szCs w:val="20"/>
                <w:lang w:val="en-GB"/>
              </w:rPr>
            </w:pPr>
          </w:p>
        </w:tc>
        <w:tc>
          <w:tcPr>
            <w:tcW w:w="3521" w:type="pct"/>
          </w:tcPr>
          <w:p w14:paraId="179656F0" w14:textId="3AE8DE9F" w:rsidR="00B70B7A" w:rsidRPr="00B70B7A" w:rsidRDefault="00B70B7A" w:rsidP="00B70B7A">
            <w:pPr>
              <w:widowControl/>
              <w:autoSpaceDE/>
              <w:autoSpaceDN/>
              <w:adjustRightInd/>
              <w:rPr>
                <w:rFonts w:cs="Arial"/>
                <w:color w:val="000000"/>
                <w:sz w:val="20"/>
                <w:szCs w:val="20"/>
                <w:lang w:val="en-GB"/>
              </w:rPr>
            </w:pPr>
            <w:r w:rsidRPr="00B70B7A">
              <w:rPr>
                <w:rFonts w:ascii="Arial" w:hAnsi="Arial" w:cs="Arial"/>
                <w:color w:val="000000"/>
                <w:sz w:val="20"/>
                <w:szCs w:val="20"/>
                <w:lang w:val="en-GB"/>
              </w:rPr>
              <w:t>1</w:t>
            </w:r>
            <w:r w:rsidRPr="00B70B7A">
              <w:rPr>
                <w:rFonts w:ascii="Arial" w:hAnsi="Arial" w:cs="Arial"/>
                <w:color w:val="000000"/>
                <w:sz w:val="20"/>
                <w:szCs w:val="20"/>
                <w:vertAlign w:val="superscript"/>
                <w:lang w:val="en-GB"/>
              </w:rPr>
              <w:t>t</w:t>
            </w:r>
            <w:r w:rsidRPr="00B70B7A">
              <w:rPr>
                <w:rFonts w:ascii="Arial" w:hAnsi="Arial" w:cs="Arial"/>
                <w:color w:val="000000"/>
                <w:sz w:val="20"/>
                <w:szCs w:val="20"/>
                <w:lang w:val="en-GB"/>
              </w:rPr>
              <w:t xml:space="preserve"> Apr to 31 Jul (BirdLife International 2014g).</w:t>
            </w:r>
          </w:p>
        </w:tc>
      </w:tr>
      <w:tr w:rsidR="00B70B7A" w:rsidRPr="00B70B7A" w14:paraId="5C66BB08" w14:textId="77777777" w:rsidTr="00C96521">
        <w:tc>
          <w:tcPr>
            <w:tcW w:w="874" w:type="pct"/>
            <w:shd w:val="clear" w:color="auto" w:fill="auto"/>
          </w:tcPr>
          <w:p w14:paraId="780A5508"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The Gambia</w:t>
            </w:r>
          </w:p>
        </w:tc>
        <w:tc>
          <w:tcPr>
            <w:tcW w:w="605" w:type="pct"/>
            <w:shd w:val="clear" w:color="auto" w:fill="auto"/>
          </w:tcPr>
          <w:p w14:paraId="3F6D13F6"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56A393B7"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Covered by the Biodiversity Wildlife Act 2003, National Biodiversity Strategy and Action Plan 2015 and international obligations. Commercial hunting Jan to Apr; subsistence hunting Jan to Aug; other hunting banned. Protection covers disturbance.</w:t>
            </w:r>
          </w:p>
        </w:tc>
      </w:tr>
      <w:tr w:rsidR="00B70B7A" w:rsidRPr="00B70B7A" w14:paraId="201DC13F" w14:textId="77777777" w:rsidTr="00C96521">
        <w:tc>
          <w:tcPr>
            <w:tcW w:w="874" w:type="pct"/>
            <w:shd w:val="clear" w:color="auto" w:fill="auto"/>
          </w:tcPr>
          <w:p w14:paraId="6C21FCCB"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Mali</w:t>
            </w:r>
          </w:p>
        </w:tc>
        <w:tc>
          <w:tcPr>
            <w:tcW w:w="605" w:type="pct"/>
            <w:shd w:val="clear" w:color="auto" w:fill="auto"/>
          </w:tcPr>
          <w:p w14:paraId="6EEBDE3F"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69BA034E"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Unprotected. National decree sets rates of royalties and taxes for the exploitation of wildlife in State-owned areas, and sets season dates yearly.</w:t>
            </w:r>
          </w:p>
        </w:tc>
      </w:tr>
      <w:tr w:rsidR="00B70B7A" w:rsidRPr="00B70B7A" w14:paraId="4D66115E" w14:textId="77777777" w:rsidTr="00C96521">
        <w:tc>
          <w:tcPr>
            <w:tcW w:w="874" w:type="pct"/>
            <w:shd w:val="clear" w:color="auto" w:fill="auto"/>
          </w:tcPr>
          <w:p w14:paraId="308B55AB"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Mauritania</w:t>
            </w:r>
          </w:p>
        </w:tc>
        <w:tc>
          <w:tcPr>
            <w:tcW w:w="605" w:type="pct"/>
            <w:shd w:val="clear" w:color="auto" w:fill="auto"/>
          </w:tcPr>
          <w:p w14:paraId="6C625B68"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1459A044"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Protected from killing.</w:t>
            </w:r>
          </w:p>
        </w:tc>
      </w:tr>
      <w:tr w:rsidR="00B70B7A" w:rsidRPr="00B70B7A" w14:paraId="57A04B32" w14:textId="77777777" w:rsidTr="00C96521">
        <w:tc>
          <w:tcPr>
            <w:tcW w:w="874" w:type="pct"/>
            <w:shd w:val="clear" w:color="auto" w:fill="auto"/>
          </w:tcPr>
          <w:p w14:paraId="5FB5139F" w14:textId="77777777" w:rsidR="00B70B7A" w:rsidRPr="00B70B7A" w:rsidRDefault="00B70B7A" w:rsidP="00B70B7A">
            <w:pPr>
              <w:widowControl/>
              <w:autoSpaceDE/>
              <w:autoSpaceDN/>
              <w:adjustRightInd/>
              <w:rPr>
                <w:rFonts w:ascii="Arial" w:hAnsi="Arial" w:cs="Arial"/>
                <w:sz w:val="20"/>
                <w:szCs w:val="20"/>
                <w:lang w:val="en-GB"/>
              </w:rPr>
            </w:pPr>
            <w:r w:rsidRPr="00B70B7A">
              <w:rPr>
                <w:rFonts w:ascii="Arial" w:hAnsi="Arial" w:cs="Arial"/>
                <w:sz w:val="20"/>
                <w:szCs w:val="20"/>
                <w:lang w:val="en-GB"/>
              </w:rPr>
              <w:t>Senegal</w:t>
            </w:r>
          </w:p>
        </w:tc>
        <w:tc>
          <w:tcPr>
            <w:tcW w:w="605" w:type="pct"/>
            <w:shd w:val="clear" w:color="auto" w:fill="auto"/>
          </w:tcPr>
          <w:p w14:paraId="40BE97BF" w14:textId="77777777" w:rsidR="00B70B7A" w:rsidRPr="00B70B7A" w:rsidRDefault="00B70B7A" w:rsidP="00B70B7A">
            <w:pPr>
              <w:widowControl/>
              <w:autoSpaceDE/>
              <w:autoSpaceDN/>
              <w:adjustRightInd/>
              <w:rPr>
                <w:rFonts w:ascii="Arial" w:hAnsi="Arial" w:cs="Arial"/>
                <w:sz w:val="20"/>
                <w:szCs w:val="20"/>
                <w:lang w:val="en-GB"/>
              </w:rPr>
            </w:pPr>
          </w:p>
        </w:tc>
        <w:tc>
          <w:tcPr>
            <w:tcW w:w="3521" w:type="pct"/>
          </w:tcPr>
          <w:p w14:paraId="6AD0642F" w14:textId="77777777" w:rsidR="00B70B7A" w:rsidRPr="00B70B7A" w:rsidRDefault="00B70B7A" w:rsidP="00B70B7A">
            <w:pPr>
              <w:widowControl/>
              <w:autoSpaceDE/>
              <w:autoSpaceDN/>
              <w:adjustRightInd/>
              <w:rPr>
                <w:rFonts w:ascii="Arial" w:hAnsi="Arial" w:cs="Arial"/>
                <w:color w:val="000000"/>
                <w:sz w:val="20"/>
                <w:szCs w:val="20"/>
                <w:lang w:val="en-GB"/>
              </w:rPr>
            </w:pPr>
            <w:r w:rsidRPr="00B70B7A">
              <w:rPr>
                <w:rFonts w:ascii="Arial" w:hAnsi="Arial" w:cs="Arial"/>
                <w:color w:val="000000"/>
                <w:sz w:val="20"/>
                <w:szCs w:val="20"/>
                <w:lang w:val="en-GB"/>
              </w:rPr>
              <w:t>Unprotected, but not a game species.</w:t>
            </w:r>
          </w:p>
        </w:tc>
      </w:tr>
      <w:tr w:rsidR="00B70B7A" w:rsidRPr="00B70B7A" w14:paraId="2CA6038A" w14:textId="77777777" w:rsidTr="00C96521">
        <w:tc>
          <w:tcPr>
            <w:tcW w:w="874" w:type="pct"/>
            <w:shd w:val="clear" w:color="auto" w:fill="auto"/>
          </w:tcPr>
          <w:p w14:paraId="3B719B33" w14:textId="77777777" w:rsidR="00B70B7A" w:rsidRPr="00B70B7A" w:rsidRDefault="00B70B7A" w:rsidP="00B70B7A">
            <w:pPr>
              <w:widowControl/>
              <w:autoSpaceDE/>
              <w:autoSpaceDN/>
              <w:adjustRightInd/>
              <w:rPr>
                <w:rFonts w:ascii="Arial" w:hAnsi="Arial" w:cs="Arial"/>
                <w:b/>
                <w:sz w:val="20"/>
                <w:szCs w:val="20"/>
                <w:lang w:val="en-GB"/>
              </w:rPr>
            </w:pPr>
            <w:r w:rsidRPr="00B70B7A">
              <w:rPr>
                <w:rFonts w:ascii="Arial" w:hAnsi="Arial" w:cs="Arial"/>
                <w:b/>
                <w:sz w:val="20"/>
                <w:szCs w:val="20"/>
                <w:lang w:val="en-GB"/>
              </w:rPr>
              <w:t>Total EU bag</w:t>
            </w:r>
          </w:p>
        </w:tc>
        <w:tc>
          <w:tcPr>
            <w:tcW w:w="4126" w:type="pct"/>
            <w:gridSpan w:val="2"/>
          </w:tcPr>
          <w:p w14:paraId="105BCBCC" w14:textId="77777777" w:rsidR="00B70B7A" w:rsidRPr="00B70B7A" w:rsidRDefault="00B70B7A" w:rsidP="00B70B7A">
            <w:pPr>
              <w:widowControl/>
              <w:autoSpaceDE/>
              <w:autoSpaceDN/>
              <w:adjustRightInd/>
              <w:rPr>
                <w:rFonts w:ascii="Arial" w:hAnsi="Arial" w:cs="Arial"/>
                <w:b/>
                <w:sz w:val="20"/>
                <w:szCs w:val="20"/>
                <w:lang w:val="en-GB"/>
              </w:rPr>
            </w:pPr>
            <w:r w:rsidRPr="00B70B7A">
              <w:rPr>
                <w:rFonts w:ascii="Arial" w:hAnsi="Arial" w:cs="Arial"/>
                <w:b/>
                <w:sz w:val="20"/>
                <w:szCs w:val="20"/>
                <w:lang w:val="en-GB"/>
              </w:rPr>
              <w:t>Estimated 1,396,509 to 2,165,345</w:t>
            </w:r>
          </w:p>
        </w:tc>
      </w:tr>
    </w:tbl>
    <w:p w14:paraId="77E281F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47A11A2E"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sectPr w:rsidR="00C96521" w:rsidRPr="00C96521" w:rsidSect="00C96521">
          <w:pgSz w:w="16840" w:h="11920" w:orient="landscape"/>
          <w:pgMar w:top="1298" w:right="1276" w:bottom="1298" w:left="919" w:header="731" w:footer="737" w:gutter="0"/>
          <w:cols w:space="720"/>
          <w:docGrid w:linePitch="299"/>
        </w:sectPr>
      </w:pPr>
    </w:p>
    <w:p w14:paraId="0A761FC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0AD7FDC" w14:textId="35448950"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According to Jarry (1994) and Hill (1992), the </w:t>
      </w:r>
      <w:r w:rsidR="00173165" w:rsidRPr="00374BE2">
        <w:rPr>
          <w:rFonts w:eastAsia="MS Mincho" w:cs="Arial"/>
          <w:sz w:val="20"/>
          <w:szCs w:val="20"/>
          <w:lang w:val="en-GB" w:eastAsia="ja-JP"/>
        </w:rPr>
        <w:t>Turtle Dove</w:t>
      </w:r>
      <w:r w:rsidR="00173165" w:rsidRPr="00C96521" w:rsidDel="00173165">
        <w:rPr>
          <w:rFonts w:eastAsia="MS Mincho" w:cs="Arial"/>
          <w:sz w:val="20"/>
          <w:szCs w:val="22"/>
          <w:lang w:val="en-GB" w:eastAsia="ja-JP"/>
        </w:rPr>
        <w:t xml:space="preserve"> </w:t>
      </w:r>
      <w:r w:rsidRPr="00C96521">
        <w:rPr>
          <w:rFonts w:eastAsia="MS Mincho" w:cs="Arial"/>
          <w:sz w:val="20"/>
          <w:szCs w:val="22"/>
          <w:lang w:val="en-GB" w:eastAsia="ja-JP"/>
        </w:rPr>
        <w:t xml:space="preserve">is the EU quarry species likely to be worst affected by hunting as it has particularly low survival and productivity, although the extent to which hunting poses a threat has not been quantified and hunting pressure has changed over time (Hill 1992, Tucker 1996). In general, estimates of population sizes and bag data in most EU States exist, although care must be taken in the interpretation of the available data. There is a lack of up-to-date information on the sustainability of </w:t>
      </w:r>
      <w:r w:rsidR="00173165" w:rsidRPr="00374BE2">
        <w:rPr>
          <w:rFonts w:eastAsia="MS Mincho" w:cs="Arial"/>
          <w:sz w:val="20"/>
          <w:szCs w:val="20"/>
          <w:lang w:val="en-GB" w:eastAsia="ja-JP"/>
        </w:rPr>
        <w:t>Turtle Dove</w:t>
      </w:r>
      <w:r w:rsidR="00173165" w:rsidRPr="00C96521" w:rsidDel="00173165">
        <w:rPr>
          <w:rFonts w:eastAsia="MS Mincho" w:cs="Arial"/>
          <w:sz w:val="20"/>
          <w:szCs w:val="22"/>
          <w:lang w:val="en-GB" w:eastAsia="ja-JP"/>
        </w:rPr>
        <w:t xml:space="preserve"> </w:t>
      </w:r>
      <w:r w:rsidRPr="00C96521">
        <w:rPr>
          <w:rFonts w:eastAsia="MS Mincho" w:cs="Arial"/>
          <w:sz w:val="20"/>
          <w:szCs w:val="22"/>
          <w:lang w:val="en-GB" w:eastAsia="ja-JP"/>
        </w:rPr>
        <w:t>hunting at a flyway level. Existing hunting quotas are not</w:t>
      </w:r>
      <w:r w:rsidRPr="00C96521">
        <w:rPr>
          <w:rFonts w:eastAsia="MS Mincho"/>
          <w:sz w:val="20"/>
          <w:szCs w:val="22"/>
          <w:lang w:val="en-GB" w:eastAsia="ja-JP"/>
        </w:rPr>
        <w:t xml:space="preserve"> based on sustainable harvest levels at a regional or national level, and control over current quotas is challenged by some NGOs. The monitoring and enforcement of hunting restrictions as well as the collection of reliable harvest data also presents a challenge in some regions. </w:t>
      </w:r>
    </w:p>
    <w:p w14:paraId="4B0F1D1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DDB2903" w14:textId="73B8047D"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Based on a modelling analysis, Hill (1992) recommended that hunting losses in Europe should be reduced to 5-15</w:t>
      </w:r>
      <w:r w:rsidR="00173165">
        <w:rPr>
          <w:rFonts w:eastAsia="MS Mincho" w:cs="Arial"/>
          <w:sz w:val="20"/>
          <w:szCs w:val="22"/>
          <w:lang w:val="en-GB" w:eastAsia="ja-JP"/>
        </w:rPr>
        <w:t xml:space="preserve"> per cent</w:t>
      </w:r>
      <w:r w:rsidR="00173165" w:rsidRPr="00C96521">
        <w:rPr>
          <w:rFonts w:eastAsia="MS Mincho" w:cs="Arial"/>
          <w:sz w:val="20"/>
          <w:szCs w:val="22"/>
          <w:lang w:val="en-GB" w:eastAsia="ja-JP"/>
        </w:rPr>
        <w:t xml:space="preserve"> </w:t>
      </w:r>
      <w:r w:rsidRPr="00C96521">
        <w:rPr>
          <w:rFonts w:eastAsia="MS Mincho" w:cs="Arial"/>
          <w:sz w:val="20"/>
          <w:szCs w:val="22"/>
          <w:lang w:val="en-GB" w:eastAsia="ja-JP"/>
        </w:rPr>
        <w:t>of the post-breeding population if overall populations were to be self-sustaining. However, the impact of hunting in terms of population dynamics has not been assessed, and without an assessment of harvest sustainability at the flyway level, the full impact of hunting activity remains unknown. This is starting to be addressed through sustainable harvest modelling (Annex 4).</w:t>
      </w:r>
    </w:p>
    <w:p w14:paraId="7BC11A0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A105263" w14:textId="01D0DFF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A series of studies from Spain indicate that e</w:t>
      </w:r>
      <w:r w:rsidRPr="00C96521">
        <w:rPr>
          <w:rFonts w:eastAsia="MS Mincho"/>
          <w:sz w:val="20"/>
          <w:szCs w:val="22"/>
          <w:lang w:val="en-GB" w:eastAsia="ja-JP"/>
        </w:rPr>
        <w:t>xcessive hunting pressure, particularly on fledglings, as well as an early start to the hunting season may have aggravated and, in some cases, accelerated the species’ decline in combination with other factors (Hidalgo de Trucios and Rocha 2001a,b, 2005, Hidalgo de Trucios 2007). A PhD study currently underway seeks to provide better understanding of the numbers of turtle-doves hunted in Iberia, their geographical area of origin and the motivations of the hunters</w:t>
      </w:r>
      <w:r w:rsidRPr="00C96521">
        <w:rPr>
          <w:rFonts w:eastAsia="MS Mincho" w:cs="Arial"/>
          <w:sz w:val="20"/>
          <w:szCs w:val="22"/>
          <w:lang w:val="en-GB" w:eastAsia="ja-JP"/>
        </w:rPr>
        <w:t xml:space="preserve">. </w:t>
      </w:r>
      <w:r w:rsidRPr="00C96521">
        <w:rPr>
          <w:rFonts w:eastAsia="MS Mincho"/>
          <w:sz w:val="20"/>
          <w:szCs w:val="22"/>
          <w:lang w:val="en-GB" w:eastAsia="ja-JP"/>
        </w:rPr>
        <w:t xml:space="preserve">In Portugal, suggested conservation actions for the species have been identified as: better game management, protecting the most important habitats, and ultimately suspension of hunting (Meirinho </w:t>
      </w:r>
      <w:r w:rsidRPr="00C96521">
        <w:rPr>
          <w:rFonts w:eastAsia="MS Mincho"/>
          <w:i/>
          <w:sz w:val="20"/>
          <w:szCs w:val="22"/>
          <w:lang w:val="en-GB" w:eastAsia="ja-JP"/>
        </w:rPr>
        <w:t>et al</w:t>
      </w:r>
      <w:r w:rsidRPr="00C96521">
        <w:rPr>
          <w:rFonts w:eastAsia="MS Mincho"/>
          <w:sz w:val="20"/>
          <w:szCs w:val="22"/>
          <w:lang w:val="en-GB" w:eastAsia="ja-JP"/>
        </w:rPr>
        <w:t xml:space="preserve"> 2013) as well as more detailed suggestions included in Dias (2016). In Romania, the cessation of hunting and poaching has been identified as an important action for the conservation of the species (Petrovici 2015). The idea of a temporary moratorium on hunting has been put forward by several authors in Spain (eg Balmori in Madroño </w:t>
      </w:r>
      <w:r w:rsidRPr="00C96521">
        <w:rPr>
          <w:rFonts w:eastAsia="MS Mincho"/>
          <w:i/>
          <w:sz w:val="20"/>
          <w:szCs w:val="22"/>
          <w:lang w:val="en-GB" w:eastAsia="ja-JP"/>
        </w:rPr>
        <w:t xml:space="preserve">et al </w:t>
      </w:r>
      <w:r w:rsidRPr="00C96521">
        <w:rPr>
          <w:rFonts w:eastAsia="MS Mincho"/>
          <w:sz w:val="20"/>
          <w:szCs w:val="22"/>
          <w:lang w:val="en-GB" w:eastAsia="ja-JP"/>
        </w:rPr>
        <w:t xml:space="preserve">2004, Purroy 1997, Rocha and Hidalgo 2001a) as an effective measure to stop population declines. The Spanish Red List proposes a five-year moratorium that should be accompanied by a set of measures on habitat management in order to favour the recovery of </w:t>
      </w:r>
      <w:r w:rsidR="00F33271" w:rsidRPr="00374BE2">
        <w:rPr>
          <w:rFonts w:eastAsia="MS Mincho" w:cs="Arial"/>
          <w:sz w:val="20"/>
          <w:szCs w:val="20"/>
          <w:lang w:val="en-GB" w:eastAsia="ja-JP"/>
        </w:rPr>
        <w:t>Turtle Dove</w:t>
      </w:r>
      <w:r w:rsidR="00F33271" w:rsidRPr="00C96521" w:rsidDel="00F33271">
        <w:rPr>
          <w:rFonts w:eastAsia="MS Mincho"/>
          <w:sz w:val="20"/>
          <w:szCs w:val="22"/>
          <w:lang w:val="en-GB" w:eastAsia="ja-JP"/>
        </w:rPr>
        <w:t xml:space="preserve"> </w:t>
      </w:r>
      <w:r w:rsidRPr="00C96521">
        <w:rPr>
          <w:rFonts w:eastAsia="MS Mincho"/>
          <w:sz w:val="20"/>
          <w:szCs w:val="22"/>
          <w:lang w:val="en-GB" w:eastAsia="ja-JP"/>
        </w:rPr>
        <w:t xml:space="preserve">populations (Balmori in Madroño </w:t>
      </w:r>
      <w:r w:rsidRPr="00C96521">
        <w:rPr>
          <w:rFonts w:eastAsia="MS Mincho"/>
          <w:i/>
          <w:sz w:val="20"/>
          <w:szCs w:val="22"/>
          <w:lang w:val="en-GB" w:eastAsia="ja-JP"/>
        </w:rPr>
        <w:t>et al</w:t>
      </w:r>
      <w:r w:rsidRPr="00C96521">
        <w:rPr>
          <w:rFonts w:eastAsia="MS Mincho"/>
          <w:sz w:val="20"/>
          <w:szCs w:val="22"/>
          <w:lang w:val="en-GB" w:eastAsia="ja-JP"/>
        </w:rPr>
        <w:t xml:space="preserve"> 2004). However, the theoretical effectiveness of a temporary moratorium in increasing turtle-dove numbers has never been tested on any population.</w:t>
      </w:r>
    </w:p>
    <w:p w14:paraId="1F3583B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30A146F"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According to Rocha and Hidalgo (2002a) and Dias (2016), a delay in the beginning of the hunting period would be beneficial to the species, not only because it would avoid hunting when some pairs are still breeding, but also because it would allow a longer development period for the chicks and a higher probability of survival. </w:t>
      </w:r>
    </w:p>
    <w:p w14:paraId="14BEDF3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984E763"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In some states, the hunting period still overlaps the breeding season (see Figure 15). </w:t>
      </w:r>
      <w:r w:rsidRPr="00C96521">
        <w:rPr>
          <w:rFonts w:eastAsia="MS Mincho"/>
          <w:sz w:val="20"/>
          <w:szCs w:val="22"/>
          <w:lang w:val="en-GB" w:eastAsia="ja-JP"/>
        </w:rPr>
        <w:t xml:space="preserve">The Red List Book of Wild Birds in Spain (Balmori in Madroño </w:t>
      </w:r>
      <w:r w:rsidRPr="00C96521">
        <w:rPr>
          <w:rFonts w:eastAsia="MS Mincho"/>
          <w:i/>
          <w:sz w:val="20"/>
          <w:szCs w:val="22"/>
          <w:lang w:val="en-GB" w:eastAsia="ja-JP"/>
        </w:rPr>
        <w:t>et al</w:t>
      </w:r>
      <w:r w:rsidRPr="00C96521">
        <w:rPr>
          <w:rFonts w:eastAsia="MS Mincho"/>
          <w:sz w:val="20"/>
          <w:szCs w:val="22"/>
          <w:lang w:val="en-GB" w:eastAsia="ja-JP"/>
        </w:rPr>
        <w:t xml:space="preserve"> 2004) identifies the overlap between the beginning of the hunting season and the end of the breeding season as one of the causes of decline of the population in that country, and recommends delaying the onset of the open season for hunting as a conservation measure. </w:t>
      </w:r>
    </w:p>
    <w:p w14:paraId="7AADAE9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40F8070"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noProof/>
          <w:sz w:val="20"/>
          <w:szCs w:val="22"/>
        </w:rPr>
        <w:lastRenderedPageBreak/>
        <w:drawing>
          <wp:inline distT="0" distB="0" distL="0" distR="0" wp14:anchorId="1FDC4AB1" wp14:editId="612A339A">
            <wp:extent cx="5856964" cy="2988813"/>
            <wp:effectExtent l="19050" t="0" r="0" b="0"/>
            <wp:docPr id="100" name="Picture 1" descr="Hunting peri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nting period.jpg"/>
                    <pic:cNvPicPr/>
                  </pic:nvPicPr>
                  <pic:blipFill>
                    <a:blip r:embed="rId48" cstate="print"/>
                    <a:stretch>
                      <a:fillRect/>
                    </a:stretch>
                  </pic:blipFill>
                  <pic:spPr>
                    <a:xfrm>
                      <a:off x="0" y="0"/>
                      <a:ext cx="5873357" cy="2997178"/>
                    </a:xfrm>
                    <a:prstGeom prst="rect">
                      <a:avLst/>
                    </a:prstGeom>
                  </pic:spPr>
                </pic:pic>
              </a:graphicData>
            </a:graphic>
          </wp:inline>
        </w:drawing>
      </w:r>
    </w:p>
    <w:p w14:paraId="11BF41B3" w14:textId="445C8DC6" w:rsidR="00C96521" w:rsidRPr="00C96521" w:rsidRDefault="00C96521" w:rsidP="00C96521">
      <w:pPr>
        <w:widowControl/>
        <w:autoSpaceDE/>
        <w:autoSpaceDN/>
        <w:adjustRightInd/>
        <w:spacing w:line="276" w:lineRule="auto"/>
        <w:rPr>
          <w:rFonts w:eastAsia="MS Mincho" w:cs="Arial"/>
          <w:i/>
          <w:sz w:val="20"/>
          <w:szCs w:val="22"/>
          <w:lang w:val="en-GB" w:eastAsia="ja-JP"/>
        </w:rPr>
      </w:pPr>
      <w:r w:rsidRPr="00C96521">
        <w:rPr>
          <w:rFonts w:eastAsia="MS Mincho" w:cs="Arial"/>
          <w:i/>
          <w:sz w:val="20"/>
          <w:szCs w:val="22"/>
          <w:lang w:val="en-GB" w:eastAsia="ja-JP"/>
        </w:rPr>
        <w:t xml:space="preserve">Figure 15. Overlap of hunting season (outlined) with breeding period (shaded) for the </w:t>
      </w:r>
      <w:r w:rsidR="00F33271" w:rsidRPr="00B70B7A">
        <w:rPr>
          <w:rFonts w:eastAsia="MS Mincho" w:cs="Arial"/>
          <w:i/>
          <w:sz w:val="20"/>
          <w:szCs w:val="20"/>
          <w:lang w:val="en-GB" w:eastAsia="ja-JP"/>
        </w:rPr>
        <w:t>Turtle Dove</w:t>
      </w:r>
      <w:r w:rsidR="00F33271" w:rsidRPr="00C96521" w:rsidDel="00F33271">
        <w:rPr>
          <w:rFonts w:eastAsia="MS Mincho" w:cs="Arial"/>
          <w:i/>
          <w:sz w:val="20"/>
          <w:szCs w:val="22"/>
          <w:lang w:val="en-GB" w:eastAsia="ja-JP"/>
        </w:rPr>
        <w:t xml:space="preserve"> </w:t>
      </w:r>
      <w:r w:rsidRPr="00C96521">
        <w:rPr>
          <w:rFonts w:eastAsia="MS Mincho" w:cs="Arial"/>
          <w:i/>
          <w:sz w:val="20"/>
          <w:szCs w:val="22"/>
          <w:lang w:val="en-GB" w:eastAsia="ja-JP"/>
        </w:rPr>
        <w:t xml:space="preserve">in EU Member States, ordered north to south (EU 2008), for those States allowing a turtle-dove season. In France, the hunting season and </w:t>
      </w:r>
      <w:r w:rsidR="00F33271" w:rsidRPr="00B70B7A">
        <w:rPr>
          <w:rFonts w:eastAsia="MS Mincho" w:cs="Arial"/>
          <w:i/>
          <w:sz w:val="20"/>
          <w:szCs w:val="20"/>
          <w:lang w:val="en-GB" w:eastAsia="ja-JP"/>
        </w:rPr>
        <w:t>Turtle Dove</w:t>
      </w:r>
      <w:r w:rsidR="00F33271" w:rsidRPr="00C96521" w:rsidDel="00F33271">
        <w:rPr>
          <w:rFonts w:eastAsia="MS Mincho" w:cs="Arial"/>
          <w:i/>
          <w:sz w:val="20"/>
          <w:szCs w:val="22"/>
          <w:lang w:val="en-GB" w:eastAsia="ja-JP"/>
        </w:rPr>
        <w:t xml:space="preserve"> </w:t>
      </w:r>
      <w:r w:rsidRPr="00C96521">
        <w:rPr>
          <w:rFonts w:eastAsia="MS Mincho" w:cs="Arial"/>
          <w:i/>
          <w:sz w:val="20"/>
          <w:szCs w:val="22"/>
          <w:lang w:val="en-GB" w:eastAsia="ja-JP"/>
        </w:rPr>
        <w:t>breeding period only overlap in certain D</w:t>
      </w:r>
      <w:r w:rsidR="00F33271">
        <w:rPr>
          <w:rFonts w:eastAsia="MS Mincho" w:cs="Arial"/>
          <w:i/>
          <w:sz w:val="20"/>
          <w:szCs w:val="22"/>
          <w:lang w:val="en-GB" w:eastAsia="ja-JP"/>
        </w:rPr>
        <w:t>é</w:t>
      </w:r>
      <w:r w:rsidRPr="00C96521">
        <w:rPr>
          <w:rFonts w:eastAsia="MS Mincho" w:cs="Arial"/>
          <w:i/>
          <w:sz w:val="20"/>
          <w:szCs w:val="22"/>
          <w:lang w:val="en-GB" w:eastAsia="ja-JP"/>
        </w:rPr>
        <w:t>part</w:t>
      </w:r>
      <w:r w:rsidR="00F33271">
        <w:rPr>
          <w:rFonts w:eastAsia="MS Mincho" w:cs="Arial"/>
          <w:i/>
          <w:sz w:val="20"/>
          <w:szCs w:val="22"/>
          <w:lang w:val="en-GB" w:eastAsia="ja-JP"/>
        </w:rPr>
        <w:t>e</w:t>
      </w:r>
      <w:r w:rsidRPr="00C96521">
        <w:rPr>
          <w:rFonts w:eastAsia="MS Mincho" w:cs="Arial"/>
          <w:i/>
          <w:sz w:val="20"/>
          <w:szCs w:val="22"/>
          <w:lang w:val="en-GB" w:eastAsia="ja-JP"/>
        </w:rPr>
        <w:t xml:space="preserve">ments, but not across the whole territory. It is acknowledged that these data need to be updated in a systematic way to reflect changes in arrival and departure dates since 2008. </w:t>
      </w:r>
    </w:p>
    <w:p w14:paraId="714830FD"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98C4641" w14:textId="7C4FCC0B"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May 2016, following reclassification of the conservation status of </w:t>
      </w:r>
      <w:r w:rsidR="00F33271">
        <w:rPr>
          <w:rFonts w:eastAsia="MS Mincho"/>
          <w:sz w:val="20"/>
          <w:szCs w:val="22"/>
          <w:lang w:val="en-GB" w:eastAsia="ja-JP"/>
        </w:rPr>
        <w:t xml:space="preserve">the </w:t>
      </w:r>
      <w:r w:rsidR="00F33271" w:rsidRPr="00374BE2">
        <w:rPr>
          <w:rFonts w:eastAsia="MS Mincho" w:cs="Arial"/>
          <w:sz w:val="20"/>
          <w:szCs w:val="20"/>
          <w:lang w:val="en-GB" w:eastAsia="ja-JP"/>
        </w:rPr>
        <w:t>Turtle Dove</w:t>
      </w:r>
      <w:r w:rsidR="00F33271" w:rsidRPr="00C96521" w:rsidDel="00F33271">
        <w:rPr>
          <w:rFonts w:eastAsia="MS Mincho"/>
          <w:sz w:val="20"/>
          <w:szCs w:val="22"/>
          <w:lang w:val="en-GB" w:eastAsia="ja-JP"/>
        </w:rPr>
        <w:t xml:space="preserve"> </w:t>
      </w:r>
      <w:r w:rsidRPr="00C96521">
        <w:rPr>
          <w:rFonts w:eastAsia="MS Mincho"/>
          <w:sz w:val="20"/>
          <w:szCs w:val="22"/>
          <w:lang w:val="en-GB" w:eastAsia="ja-JP"/>
        </w:rPr>
        <w:t xml:space="preserve">to Vulnerable at the global level and Near Threatened at EU level, the Maltese </w:t>
      </w:r>
      <w:r w:rsidR="00F33271">
        <w:rPr>
          <w:rFonts w:eastAsia="MS Mincho"/>
          <w:sz w:val="20"/>
          <w:szCs w:val="22"/>
          <w:lang w:val="en-GB" w:eastAsia="ja-JP"/>
        </w:rPr>
        <w:t>G</w:t>
      </w:r>
      <w:r w:rsidR="00F33271" w:rsidRPr="00C96521">
        <w:rPr>
          <w:rFonts w:eastAsia="MS Mincho"/>
          <w:sz w:val="20"/>
          <w:szCs w:val="22"/>
          <w:lang w:val="en-GB" w:eastAsia="ja-JP"/>
        </w:rPr>
        <w:t xml:space="preserve">overnment </w:t>
      </w:r>
      <w:r w:rsidRPr="00C96521">
        <w:rPr>
          <w:rFonts w:eastAsia="MS Mincho"/>
          <w:sz w:val="20"/>
          <w:szCs w:val="22"/>
          <w:lang w:val="en-GB" w:eastAsia="ja-JP"/>
        </w:rPr>
        <w:t xml:space="preserve">enacted a moratorium on the future spring hunting of the </w:t>
      </w:r>
      <w:r w:rsidR="00F33271" w:rsidRPr="00374BE2">
        <w:rPr>
          <w:rFonts w:eastAsia="MS Mincho" w:cs="Arial"/>
          <w:sz w:val="20"/>
          <w:szCs w:val="20"/>
          <w:lang w:val="en-GB" w:eastAsia="ja-JP"/>
        </w:rPr>
        <w:t>Turtle Dove</w:t>
      </w:r>
      <w:r w:rsidRPr="00C96521">
        <w:rPr>
          <w:rFonts w:eastAsia="MS Mincho"/>
          <w:sz w:val="20"/>
          <w:szCs w:val="22"/>
          <w:lang w:val="en-GB" w:eastAsia="ja-JP"/>
        </w:rPr>
        <w:t xml:space="preserve">, which will remain in force until such time that maintenance of the EU population of </w:t>
      </w:r>
      <w:r w:rsidR="00F33271" w:rsidRPr="00374BE2">
        <w:rPr>
          <w:rFonts w:eastAsia="MS Mincho" w:cs="Arial"/>
          <w:sz w:val="20"/>
          <w:szCs w:val="20"/>
          <w:lang w:val="en-GB" w:eastAsia="ja-JP"/>
        </w:rPr>
        <w:t>Turtle Dove</w:t>
      </w:r>
      <w:r w:rsidR="00F33271">
        <w:rPr>
          <w:rFonts w:eastAsia="MS Mincho" w:cs="Arial"/>
          <w:sz w:val="20"/>
          <w:szCs w:val="20"/>
          <w:lang w:val="en-GB" w:eastAsia="ja-JP"/>
        </w:rPr>
        <w:t>s</w:t>
      </w:r>
      <w:r w:rsidR="00F33271" w:rsidRPr="00C96521" w:rsidDel="00F33271">
        <w:rPr>
          <w:rFonts w:eastAsia="MS Mincho"/>
          <w:sz w:val="20"/>
          <w:szCs w:val="22"/>
          <w:lang w:val="en-GB" w:eastAsia="ja-JP"/>
        </w:rPr>
        <w:t xml:space="preserve"> </w:t>
      </w:r>
      <w:r w:rsidRPr="00C96521">
        <w:rPr>
          <w:rFonts w:eastAsia="MS Mincho"/>
          <w:sz w:val="20"/>
          <w:szCs w:val="22"/>
          <w:lang w:val="en-GB" w:eastAsia="ja-JP"/>
        </w:rPr>
        <w:t>at a satisfactory level is scientifically ascertained at EU level.</w:t>
      </w:r>
    </w:p>
    <w:p w14:paraId="15701EA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0953D970" w14:textId="5A4D22B6"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Outside of Europe, information on hunting bags becomes scarce. In Africa, the </w:t>
      </w:r>
      <w:r w:rsidR="00F33271" w:rsidRPr="00374BE2">
        <w:rPr>
          <w:rFonts w:eastAsia="MS Mincho" w:cs="Arial"/>
          <w:sz w:val="20"/>
          <w:szCs w:val="20"/>
          <w:lang w:val="en-GB" w:eastAsia="ja-JP"/>
        </w:rPr>
        <w:t>Turtle Dove</w:t>
      </w:r>
      <w:r w:rsidR="00F33271" w:rsidRPr="00C96521" w:rsidDel="00F33271">
        <w:rPr>
          <w:rFonts w:eastAsia="MS Mincho" w:cs="Arial"/>
          <w:sz w:val="20"/>
          <w:szCs w:val="22"/>
          <w:lang w:val="en-GB" w:eastAsia="ja-JP"/>
        </w:rPr>
        <w:t xml:space="preserve"> </w:t>
      </w:r>
      <w:r w:rsidRPr="00C96521">
        <w:rPr>
          <w:rFonts w:eastAsia="MS Mincho" w:cs="Arial"/>
          <w:sz w:val="20"/>
          <w:szCs w:val="22"/>
          <w:lang w:val="en-GB" w:eastAsia="ja-JP"/>
        </w:rPr>
        <w:t xml:space="preserve">is subject to hunting on both the wintering grounds and on migration (Barlow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1997), and </w:t>
      </w:r>
      <w:r w:rsidRPr="00C96521">
        <w:rPr>
          <w:rFonts w:eastAsia="MS Mincho"/>
          <w:sz w:val="20"/>
          <w:szCs w:val="22"/>
          <w:lang w:val="en-GB" w:eastAsia="ja-JP"/>
        </w:rPr>
        <w:t xml:space="preserve">the combined effect of direct mortality and disturbance at roosts during the crucial pre-migration period when the birds must substantially increase their body mass is likely to affect survival (Zwarts </w:t>
      </w:r>
      <w:r w:rsidRPr="00C96521">
        <w:rPr>
          <w:rFonts w:eastAsia="MS Mincho"/>
          <w:i/>
          <w:sz w:val="20"/>
          <w:szCs w:val="22"/>
          <w:lang w:val="en-GB" w:eastAsia="ja-JP"/>
        </w:rPr>
        <w:t>et al</w:t>
      </w:r>
      <w:r w:rsidRPr="00C96521">
        <w:rPr>
          <w:rFonts w:eastAsia="MS Mincho"/>
          <w:sz w:val="20"/>
          <w:szCs w:val="22"/>
          <w:lang w:val="en-GB" w:eastAsia="ja-JP"/>
        </w:rPr>
        <w:t xml:space="preserve"> 2009). Hunting is likely to be </w:t>
      </w:r>
      <w:r w:rsidRPr="00C96521">
        <w:rPr>
          <w:rFonts w:eastAsia="MS Mincho" w:cs="Arial"/>
          <w:sz w:val="20"/>
          <w:szCs w:val="22"/>
          <w:lang w:val="en-GB" w:eastAsia="ja-JP"/>
        </w:rPr>
        <w:t xml:space="preserve">taking place at times and levels that are not in alignment with the EU Birds Directive. </w:t>
      </w:r>
    </w:p>
    <w:p w14:paraId="70C95415"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76ABA4E2" w14:textId="599759B4"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Hunting tourism also remains a problem. Agencies offer turtle-dove hunting during the summer in some parts of Europe, such as in Bulgaria (quota-free harvesting, mid-August to mid-September), and </w:t>
      </w:r>
      <w:r w:rsidR="00F33271">
        <w:rPr>
          <w:rFonts w:eastAsia="MS Mincho" w:cs="Arial"/>
          <w:sz w:val="20"/>
          <w:szCs w:val="22"/>
          <w:lang w:val="en-GB" w:eastAsia="ja-JP"/>
        </w:rPr>
        <w:t xml:space="preserve">the FYR of </w:t>
      </w:r>
      <w:r w:rsidRPr="00C96521">
        <w:rPr>
          <w:rFonts w:eastAsia="MS Mincho" w:cs="Arial"/>
          <w:sz w:val="20"/>
          <w:szCs w:val="22"/>
          <w:lang w:val="en-GB" w:eastAsia="ja-JP"/>
        </w:rPr>
        <w:t xml:space="preserve">Macedonia (quota-free, from 20 August to 10 September) (Favia 2016). The impact of hunting tourism needs to be better understood and quantified. A basic internet search found </w:t>
      </w:r>
      <w:r w:rsidR="00F33271" w:rsidRPr="00374BE2">
        <w:rPr>
          <w:rFonts w:eastAsia="MS Mincho" w:cs="Arial"/>
          <w:sz w:val="20"/>
          <w:szCs w:val="20"/>
          <w:lang w:val="en-GB" w:eastAsia="ja-JP"/>
        </w:rPr>
        <w:t>Turtle Dove</w:t>
      </w:r>
      <w:r w:rsidR="00F33271" w:rsidRPr="00C96521" w:rsidDel="00F33271">
        <w:rPr>
          <w:rFonts w:eastAsia="MS Mincho" w:cs="Arial"/>
          <w:sz w:val="20"/>
          <w:szCs w:val="22"/>
          <w:lang w:val="en-GB" w:eastAsia="ja-JP"/>
        </w:rPr>
        <w:t xml:space="preserve"> </w:t>
      </w:r>
      <w:r w:rsidRPr="00C96521">
        <w:rPr>
          <w:rFonts w:eastAsia="MS Mincho" w:cs="Arial"/>
          <w:sz w:val="20"/>
          <w:szCs w:val="22"/>
          <w:lang w:val="en-GB" w:eastAsia="ja-JP"/>
        </w:rPr>
        <w:t xml:space="preserve">hunting trips were offered in Bulgaria, Burkina Faso, Egypt, </w:t>
      </w:r>
      <w:r w:rsidR="00F33271">
        <w:rPr>
          <w:rFonts w:eastAsia="MS Mincho" w:cs="Arial"/>
          <w:sz w:val="20"/>
          <w:szCs w:val="22"/>
          <w:lang w:val="en-GB" w:eastAsia="ja-JP"/>
        </w:rPr>
        <w:t>t</w:t>
      </w:r>
      <w:r w:rsidRPr="00C96521">
        <w:rPr>
          <w:rFonts w:eastAsia="MS Mincho" w:cs="Arial"/>
          <w:sz w:val="20"/>
          <w:szCs w:val="22"/>
          <w:lang w:val="en-GB" w:eastAsia="ja-JP"/>
        </w:rPr>
        <w:t xml:space="preserve">he Gambia, Greece, Guinea Bissau, Mali, Montenegro, Morocco, Romania, </w:t>
      </w:r>
      <w:r w:rsidR="00F33271" w:rsidRPr="00C96521">
        <w:rPr>
          <w:rFonts w:eastAsia="MS Mincho" w:cs="Arial"/>
          <w:sz w:val="20"/>
          <w:szCs w:val="22"/>
          <w:lang w:val="en-GB" w:eastAsia="ja-JP"/>
        </w:rPr>
        <w:t>Senegal</w:t>
      </w:r>
      <w:r w:rsidR="00F33271">
        <w:rPr>
          <w:rFonts w:eastAsia="MS Mincho" w:cs="Arial"/>
          <w:sz w:val="20"/>
          <w:szCs w:val="22"/>
          <w:lang w:val="en-GB" w:eastAsia="ja-JP"/>
        </w:rPr>
        <w:t>,</w:t>
      </w:r>
      <w:r w:rsidR="00F33271" w:rsidRPr="00C96521">
        <w:rPr>
          <w:rFonts w:eastAsia="MS Mincho" w:cs="Arial"/>
          <w:sz w:val="20"/>
          <w:szCs w:val="22"/>
          <w:lang w:val="en-GB" w:eastAsia="ja-JP"/>
        </w:rPr>
        <w:t xml:space="preserve"> </w:t>
      </w:r>
      <w:r w:rsidRPr="00C96521">
        <w:rPr>
          <w:rFonts w:eastAsia="MS Mincho" w:cs="Arial"/>
          <w:sz w:val="20"/>
          <w:szCs w:val="22"/>
          <w:lang w:val="en-GB" w:eastAsia="ja-JP"/>
        </w:rPr>
        <w:t>Serbia,</w:t>
      </w:r>
      <w:r w:rsidR="00F33271">
        <w:rPr>
          <w:rFonts w:eastAsia="MS Mincho" w:cs="Arial"/>
          <w:sz w:val="20"/>
          <w:szCs w:val="22"/>
          <w:lang w:val="en-GB" w:eastAsia="ja-JP"/>
        </w:rPr>
        <w:t xml:space="preserve"> Spain,</w:t>
      </w:r>
      <w:r w:rsidRPr="00C96521">
        <w:rPr>
          <w:rFonts w:eastAsia="MS Mincho" w:cs="Arial"/>
          <w:sz w:val="20"/>
          <w:szCs w:val="22"/>
          <w:lang w:val="en-GB" w:eastAsia="ja-JP"/>
        </w:rPr>
        <w:t xml:space="preserve"> </w:t>
      </w:r>
      <w:r w:rsidR="00F33271">
        <w:rPr>
          <w:rFonts w:eastAsia="MS Mincho" w:cs="Arial"/>
          <w:sz w:val="20"/>
          <w:szCs w:val="22"/>
          <w:lang w:val="en-GB" w:eastAsia="ja-JP"/>
        </w:rPr>
        <w:t xml:space="preserve">the FYR of </w:t>
      </w:r>
      <w:r w:rsidR="00F33271" w:rsidRPr="00C96521">
        <w:rPr>
          <w:rFonts w:eastAsia="MS Mincho" w:cs="Arial"/>
          <w:sz w:val="20"/>
          <w:szCs w:val="22"/>
          <w:lang w:val="en-GB" w:eastAsia="ja-JP"/>
        </w:rPr>
        <w:t xml:space="preserve">Macedonia </w:t>
      </w:r>
      <w:r w:rsidR="00F33271">
        <w:rPr>
          <w:rFonts w:eastAsia="MS Mincho" w:cs="Arial"/>
          <w:sz w:val="20"/>
          <w:szCs w:val="22"/>
          <w:lang w:val="en-GB" w:eastAsia="ja-JP"/>
        </w:rPr>
        <w:t>,</w:t>
      </w:r>
      <w:r w:rsidRPr="00C96521">
        <w:rPr>
          <w:rFonts w:eastAsia="MS Mincho" w:cs="Arial"/>
          <w:sz w:val="20"/>
          <w:szCs w:val="22"/>
          <w:lang w:val="en-GB" w:eastAsia="ja-JP"/>
        </w:rPr>
        <w:t xml:space="preserve">Tunisia, </w:t>
      </w:r>
      <w:r w:rsidR="00F33271">
        <w:rPr>
          <w:rFonts w:eastAsia="MS Mincho" w:cs="Arial"/>
          <w:sz w:val="20"/>
          <w:szCs w:val="22"/>
          <w:lang w:val="en-GB" w:eastAsia="ja-JP"/>
        </w:rPr>
        <w:t xml:space="preserve">and </w:t>
      </w:r>
      <w:r w:rsidRPr="00C96521">
        <w:rPr>
          <w:rFonts w:eastAsia="MS Mincho" w:cs="Arial"/>
          <w:sz w:val="20"/>
          <w:szCs w:val="22"/>
          <w:lang w:val="en-GB" w:eastAsia="ja-JP"/>
        </w:rPr>
        <w:t>Turkey. There is concern that if hunting is banned in one country, hunting effort will be displaced to countries where the practice is still allowed.</w:t>
      </w:r>
    </w:p>
    <w:p w14:paraId="31E16AAA"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FC5B946" w14:textId="07A62DF1"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Hunting organi</w:t>
      </w:r>
      <w:r w:rsidR="00F33271">
        <w:rPr>
          <w:rFonts w:eastAsia="MS Mincho" w:cs="Arial"/>
          <w:sz w:val="20"/>
          <w:szCs w:val="22"/>
          <w:lang w:val="en-GB" w:eastAsia="ja-JP"/>
        </w:rPr>
        <w:t>z</w:t>
      </w:r>
      <w:r w:rsidRPr="00C96521">
        <w:rPr>
          <w:rFonts w:eastAsia="MS Mincho" w:cs="Arial"/>
          <w:sz w:val="20"/>
          <w:szCs w:val="22"/>
          <w:lang w:val="en-GB" w:eastAsia="ja-JP"/>
        </w:rPr>
        <w:t xml:space="preserve">ations also carry out activities that are beneficial to the </w:t>
      </w:r>
      <w:r w:rsidR="00F33271">
        <w:rPr>
          <w:rFonts w:eastAsia="MS Mincho" w:cs="Arial"/>
          <w:sz w:val="20"/>
          <w:szCs w:val="22"/>
          <w:lang w:val="en-GB" w:eastAsia="ja-JP"/>
        </w:rPr>
        <w:t>T</w:t>
      </w:r>
      <w:r w:rsidRPr="00C96521">
        <w:rPr>
          <w:rFonts w:eastAsia="MS Mincho" w:cs="Arial"/>
          <w:sz w:val="20"/>
          <w:szCs w:val="22"/>
          <w:lang w:val="en-GB" w:eastAsia="ja-JP"/>
        </w:rPr>
        <w:t>urtle</w:t>
      </w:r>
      <w:r w:rsidR="00F33271">
        <w:rPr>
          <w:rFonts w:eastAsia="MS Mincho" w:cs="Arial"/>
          <w:sz w:val="20"/>
          <w:szCs w:val="22"/>
          <w:lang w:val="en-GB" w:eastAsia="ja-JP"/>
        </w:rPr>
        <w:t xml:space="preserve"> D</w:t>
      </w:r>
      <w:r w:rsidRPr="00C96521">
        <w:rPr>
          <w:rFonts w:eastAsia="MS Mincho" w:cs="Arial"/>
          <w:sz w:val="20"/>
          <w:szCs w:val="22"/>
          <w:lang w:val="en-GB" w:eastAsia="ja-JP"/>
        </w:rPr>
        <w:t xml:space="preserve">ove, such as restoring hedges and woodland, clearing springs, providing food directly, planting set-aside crops, voluntarily policing hunting activity, and limiting birds taken. Research by Rocha and Quillfeldt (2015) shows that hunting estates in south-west Spain, where food supplementation takes place, have higher young/adult ratios than control ones (estimated in the second half of August, prior to the opening of the hunting season). </w:t>
      </w:r>
    </w:p>
    <w:p w14:paraId="4F619123" w14:textId="77777777" w:rsidR="00C96521" w:rsidRPr="00C96521" w:rsidRDefault="00C96521" w:rsidP="00C96521">
      <w:pPr>
        <w:widowControl/>
        <w:autoSpaceDE/>
        <w:autoSpaceDN/>
        <w:adjustRightInd/>
        <w:spacing w:line="276" w:lineRule="auto"/>
        <w:rPr>
          <w:rFonts w:eastAsia="MS Mincho" w:cs="Arial"/>
          <w:color w:val="FF0000"/>
          <w:sz w:val="20"/>
          <w:szCs w:val="22"/>
          <w:lang w:val="en-GB" w:eastAsia="ja-JP"/>
        </w:rPr>
      </w:pPr>
    </w:p>
    <w:p w14:paraId="6D09DC54" w14:textId="77777777" w:rsidR="00C96521" w:rsidRPr="00C96521" w:rsidRDefault="00C96521" w:rsidP="00C96521">
      <w:pPr>
        <w:widowControl/>
        <w:rPr>
          <w:rFonts w:ascii="TimesNewRoman" w:eastAsia="MS Mincho" w:hAnsi="TimesNewRoman" w:cs="TimesNewRoman"/>
          <w:sz w:val="20"/>
          <w:szCs w:val="22"/>
          <w:lang w:val="en-GB" w:eastAsia="ja-JP"/>
        </w:rPr>
      </w:pPr>
    </w:p>
    <w:p w14:paraId="2E5682F2" w14:textId="77777777" w:rsidR="00C96521" w:rsidRPr="00C96521" w:rsidRDefault="00C96521" w:rsidP="00C96521">
      <w:pPr>
        <w:widowControl/>
        <w:rPr>
          <w:rFonts w:ascii="TimesNewRoman" w:eastAsia="MS Mincho" w:hAnsi="TimesNewRoman" w:cs="TimesNewRoman"/>
          <w:sz w:val="20"/>
          <w:szCs w:val="22"/>
          <w:lang w:val="en-GB" w:eastAsia="ja-JP"/>
        </w:rPr>
      </w:pPr>
    </w:p>
    <w:p w14:paraId="47EA3E47"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28" w:name="_Toc478646913"/>
      <w:r w:rsidRPr="00C96521">
        <w:rPr>
          <w:rFonts w:ascii="Cambria" w:eastAsia="MS Gothic" w:hAnsi="Cambria"/>
          <w:b/>
          <w:bCs/>
          <w:color w:val="4F81BD"/>
          <w:sz w:val="26"/>
          <w:szCs w:val="26"/>
          <w:lang w:val="en-GB" w:eastAsia="ja-JP"/>
        </w:rPr>
        <w:lastRenderedPageBreak/>
        <w:t>Other threats</w:t>
      </w:r>
      <w:bookmarkEnd w:id="28"/>
    </w:p>
    <w:p w14:paraId="006404C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8174D96" w14:textId="337CBE1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 number of additional threats to </w:t>
      </w:r>
      <w:r w:rsidR="00F33271">
        <w:rPr>
          <w:rFonts w:eastAsia="MS Mincho"/>
          <w:sz w:val="20"/>
          <w:szCs w:val="22"/>
          <w:lang w:val="en-GB" w:eastAsia="ja-JP"/>
        </w:rPr>
        <w:t>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oves have been identified, but are either considered to have a small impact or the degree of impact is unknown and further research is needed. In addition to those listed below, there may be mortality associated with collision with wind energy installations as well as electrocution and impact with power lines. It is possible that predation may be impacting the species (Hanane 2016b), and plastic pollution could pose a threat, as a study in Mediterranean forest areas in southern Spain found plastic granules in 3.8</w:t>
      </w:r>
      <w:r w:rsidR="00F33271">
        <w:rPr>
          <w:rFonts w:eastAsia="MS Mincho"/>
          <w:sz w:val="20"/>
          <w:szCs w:val="22"/>
          <w:lang w:val="en-GB" w:eastAsia="ja-JP"/>
        </w:rPr>
        <w:t xml:space="preserve"> per cent</w:t>
      </w:r>
      <w:r w:rsidRPr="00C96521">
        <w:rPr>
          <w:rFonts w:eastAsia="MS Mincho"/>
          <w:sz w:val="20"/>
          <w:szCs w:val="22"/>
          <w:lang w:val="en-GB" w:eastAsia="ja-JP"/>
        </w:rPr>
        <w:t xml:space="preserve"> of </w:t>
      </w:r>
      <w:r w:rsidR="00F33271">
        <w:rPr>
          <w:rFonts w:eastAsia="MS Mincho"/>
          <w:sz w:val="20"/>
          <w:szCs w:val="22"/>
          <w:lang w:val="en-GB" w:eastAsia="ja-JP"/>
        </w:rPr>
        <w:t>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 xml:space="preserve">ove digestive tracts analysed (Guttiérez-Galàn and Alonso 2016). </w:t>
      </w:r>
    </w:p>
    <w:p w14:paraId="5108356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2F69F2C"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29" w:name="_Toc478646914"/>
      <w:r w:rsidRPr="00C96521">
        <w:rPr>
          <w:rFonts w:ascii="Cambria" w:eastAsia="MS Gothic" w:hAnsi="Cambria"/>
          <w:b/>
          <w:bCs/>
          <w:color w:val="4F81BD"/>
          <w:sz w:val="20"/>
          <w:szCs w:val="22"/>
          <w:lang w:val="en-GB" w:eastAsia="ja-JP"/>
        </w:rPr>
        <w:t>Pesticides, agricultural chemicals and lead shot</w:t>
      </w:r>
      <w:bookmarkEnd w:id="29"/>
    </w:p>
    <w:p w14:paraId="0A4541B7"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1DF6BE15" w14:textId="7DB2331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Increased use of pesticides and herbicides has the potential to threaten the species both directly and indirectly: direct poisoning through ingestion of agricultural chemicals, and indirectly by reducing the availability of weed seeds. There is no direct evidence to suggest that pesticides have been responsible for declines in t</w:t>
      </w:r>
      <w:r w:rsidR="00F33271">
        <w:rPr>
          <w:rFonts w:eastAsia="MS Mincho"/>
          <w:sz w:val="20"/>
          <w:szCs w:val="22"/>
          <w:lang w:val="en-GB" w:eastAsia="ja-JP"/>
        </w:rPr>
        <w:t>he 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ove, but avian species are known to be negatively affected with effects ranging from reduced reproductive success and immune response to mortality (Mineau and Palmer 2013). Granivorous birds may be susceptible to feeding on seeds treated with pesticides (Goulson 2013). For instance,</w:t>
      </w:r>
      <w:r w:rsidR="00F33271">
        <w:rPr>
          <w:rFonts w:eastAsia="MS Mincho"/>
          <w:sz w:val="20"/>
          <w:szCs w:val="22"/>
          <w:lang w:val="en-GB" w:eastAsia="ja-JP"/>
        </w:rPr>
        <w:t xml:space="preserve"> the</w:t>
      </w:r>
      <w:r w:rsidRPr="00C96521">
        <w:rPr>
          <w:rFonts w:eastAsia="MS Mincho"/>
          <w:sz w:val="20"/>
          <w:szCs w:val="22"/>
          <w:lang w:val="en-GB" w:eastAsia="ja-JP"/>
        </w:rPr>
        <w:t xml:space="preserve"> </w:t>
      </w:r>
      <w:r w:rsidR="00F33271">
        <w:rPr>
          <w:rFonts w:eastAsia="MS Mincho"/>
          <w:sz w:val="20"/>
          <w:szCs w:val="22"/>
          <w:lang w:val="en-GB" w:eastAsia="ja-JP"/>
        </w:rPr>
        <w:t>R</w:t>
      </w:r>
      <w:r w:rsidRPr="00C96521">
        <w:rPr>
          <w:rFonts w:eastAsia="MS Mincho"/>
          <w:sz w:val="20"/>
          <w:szCs w:val="22"/>
          <w:lang w:val="en-GB" w:eastAsia="ja-JP"/>
        </w:rPr>
        <w:t xml:space="preserve">ed-legged </w:t>
      </w:r>
      <w:r w:rsidR="00F33271">
        <w:rPr>
          <w:rFonts w:eastAsia="MS Mincho"/>
          <w:sz w:val="20"/>
          <w:szCs w:val="22"/>
          <w:lang w:val="en-GB" w:eastAsia="ja-JP"/>
        </w:rPr>
        <w:t>P</w:t>
      </w:r>
      <w:r w:rsidRPr="00C96521">
        <w:rPr>
          <w:rFonts w:eastAsia="MS Mincho"/>
          <w:sz w:val="20"/>
          <w:szCs w:val="22"/>
          <w:lang w:val="en-GB" w:eastAsia="ja-JP"/>
        </w:rPr>
        <w:t>artridge (</w:t>
      </w:r>
      <w:r w:rsidRPr="00C96521">
        <w:rPr>
          <w:rFonts w:eastAsia="MS Mincho"/>
          <w:i/>
          <w:sz w:val="20"/>
          <w:szCs w:val="22"/>
          <w:lang w:val="en-GB" w:eastAsia="ja-JP"/>
        </w:rPr>
        <w:t>Alectoris rufa</w:t>
      </w:r>
      <w:r w:rsidRPr="00C96521">
        <w:rPr>
          <w:rFonts w:eastAsia="MS Mincho"/>
          <w:sz w:val="20"/>
          <w:szCs w:val="22"/>
          <w:lang w:val="en-GB" w:eastAsia="ja-JP"/>
        </w:rPr>
        <w:t xml:space="preserve">) is known to be susceptible to at least three pesticides, with birds experiencing sublethal and lethal effects when fed wheat seed dressed in the substances (Lopez-Antia </w:t>
      </w:r>
      <w:r w:rsidRPr="00C96521">
        <w:rPr>
          <w:rFonts w:eastAsia="MS Mincho"/>
          <w:i/>
          <w:sz w:val="20"/>
          <w:szCs w:val="22"/>
          <w:lang w:val="en-GB" w:eastAsia="ja-JP"/>
        </w:rPr>
        <w:t>et al</w:t>
      </w:r>
      <w:r w:rsidRPr="00C96521">
        <w:rPr>
          <w:rFonts w:eastAsia="MS Mincho"/>
          <w:sz w:val="20"/>
          <w:szCs w:val="22"/>
          <w:lang w:val="en-GB" w:eastAsia="ja-JP"/>
        </w:rPr>
        <w:t xml:space="preserve"> 2013). </w:t>
      </w:r>
      <w:r w:rsidR="00F33271">
        <w:rPr>
          <w:rFonts w:eastAsia="MS Mincho"/>
          <w:sz w:val="20"/>
          <w:szCs w:val="22"/>
          <w:lang w:val="en-GB" w:eastAsia="ja-JP"/>
        </w:rPr>
        <w:t xml:space="preserve">The </w:t>
      </w:r>
      <w:r w:rsidRPr="00C96521">
        <w:rPr>
          <w:rFonts w:eastAsia="MS Mincho"/>
          <w:sz w:val="20"/>
          <w:szCs w:val="22"/>
          <w:lang w:val="en-GB" w:eastAsia="ja-JP"/>
        </w:rPr>
        <w:t xml:space="preserve">Feral </w:t>
      </w:r>
      <w:r w:rsidR="00F33271">
        <w:rPr>
          <w:rFonts w:eastAsia="MS Mincho"/>
          <w:sz w:val="20"/>
          <w:szCs w:val="22"/>
          <w:lang w:val="en-GB" w:eastAsia="ja-JP"/>
        </w:rPr>
        <w:t>P</w:t>
      </w:r>
      <w:r w:rsidRPr="00C96521">
        <w:rPr>
          <w:rFonts w:eastAsia="MS Mincho"/>
          <w:sz w:val="20"/>
          <w:szCs w:val="22"/>
          <w:lang w:val="en-GB" w:eastAsia="ja-JP"/>
        </w:rPr>
        <w:t>igeon (</w:t>
      </w:r>
      <w:r w:rsidRPr="00C96521">
        <w:rPr>
          <w:rFonts w:eastAsia="MS Mincho"/>
          <w:i/>
          <w:sz w:val="20"/>
          <w:szCs w:val="22"/>
          <w:lang w:val="en-GB" w:eastAsia="ja-JP"/>
        </w:rPr>
        <w:t>Columba livia</w:t>
      </w:r>
      <w:r w:rsidRPr="00C96521">
        <w:rPr>
          <w:rFonts w:eastAsia="MS Mincho"/>
          <w:sz w:val="20"/>
          <w:szCs w:val="22"/>
          <w:lang w:val="en-GB" w:eastAsia="ja-JP"/>
        </w:rPr>
        <w:t xml:space="preserve">) is also known to be susceptible to at least two pesticides and it has been calculated that a </w:t>
      </w:r>
      <w:r w:rsidR="00F33271">
        <w:rPr>
          <w:rFonts w:eastAsia="MS Mincho"/>
          <w:sz w:val="20"/>
          <w:szCs w:val="22"/>
          <w:lang w:val="en-GB" w:eastAsia="ja-JP"/>
        </w:rPr>
        <w:t>G</w:t>
      </w:r>
      <w:r w:rsidRPr="00C96521">
        <w:rPr>
          <w:rFonts w:eastAsia="MS Mincho"/>
          <w:sz w:val="20"/>
          <w:szCs w:val="22"/>
          <w:lang w:val="en-GB" w:eastAsia="ja-JP"/>
        </w:rPr>
        <w:t xml:space="preserve">rey </w:t>
      </w:r>
      <w:r w:rsidR="00F33271">
        <w:rPr>
          <w:rFonts w:eastAsia="MS Mincho"/>
          <w:sz w:val="20"/>
          <w:szCs w:val="22"/>
          <w:lang w:val="en-GB" w:eastAsia="ja-JP"/>
        </w:rPr>
        <w:t>P</w:t>
      </w:r>
      <w:r w:rsidRPr="00C96521">
        <w:rPr>
          <w:rFonts w:eastAsia="MS Mincho"/>
          <w:sz w:val="20"/>
          <w:szCs w:val="22"/>
          <w:lang w:val="en-GB" w:eastAsia="ja-JP"/>
        </w:rPr>
        <w:t>artridge (</w:t>
      </w:r>
      <w:r w:rsidRPr="00C96521">
        <w:rPr>
          <w:rFonts w:eastAsia="MS Mincho"/>
          <w:i/>
          <w:sz w:val="20"/>
          <w:szCs w:val="22"/>
          <w:lang w:val="en-GB" w:eastAsia="ja-JP"/>
        </w:rPr>
        <w:t>Perdix perdix</w:t>
      </w:r>
      <w:r w:rsidRPr="00C96521">
        <w:rPr>
          <w:rFonts w:eastAsia="MS Mincho"/>
          <w:sz w:val="20"/>
          <w:szCs w:val="22"/>
          <w:lang w:val="en-GB" w:eastAsia="ja-JP"/>
        </w:rPr>
        <w:t>) would have to feed on just six beet seeds treated with 0.9 mg of imidacloprid to have a 50</w:t>
      </w:r>
      <w:r w:rsidR="00F33271">
        <w:rPr>
          <w:rFonts w:eastAsia="MS Mincho"/>
          <w:sz w:val="20"/>
          <w:szCs w:val="22"/>
          <w:lang w:val="en-GB" w:eastAsia="ja-JP"/>
        </w:rPr>
        <w:t xml:space="preserve"> per cent</w:t>
      </w:r>
      <w:r w:rsidRPr="00C96521">
        <w:rPr>
          <w:rFonts w:eastAsia="MS Mincho"/>
          <w:sz w:val="20"/>
          <w:szCs w:val="22"/>
          <w:lang w:val="en-GB" w:eastAsia="ja-JP"/>
        </w:rPr>
        <w:t xml:space="preserve"> chance of being killed by the dose (Gibbons </w:t>
      </w:r>
      <w:r w:rsidRPr="00C96521">
        <w:rPr>
          <w:rFonts w:eastAsia="MS Mincho"/>
          <w:i/>
          <w:sz w:val="20"/>
          <w:szCs w:val="22"/>
          <w:lang w:val="en-GB" w:eastAsia="ja-JP"/>
        </w:rPr>
        <w:t>et al</w:t>
      </w:r>
      <w:r w:rsidRPr="00C96521">
        <w:rPr>
          <w:rFonts w:eastAsia="MS Mincho"/>
          <w:sz w:val="20"/>
          <w:szCs w:val="22"/>
          <w:lang w:val="en-GB" w:eastAsia="ja-JP"/>
        </w:rPr>
        <w:t xml:space="preserve"> 2015). </w:t>
      </w:r>
    </w:p>
    <w:p w14:paraId="1DE6F2B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FFAFE99" w14:textId="3EAB4CDF"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Niger, many of the records of </w:t>
      </w:r>
      <w:r w:rsidR="00F33271">
        <w:rPr>
          <w:rFonts w:eastAsia="MS Mincho"/>
          <w:sz w:val="20"/>
          <w:szCs w:val="22"/>
          <w:lang w:val="en-GB" w:eastAsia="ja-JP"/>
        </w:rPr>
        <w:t>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 xml:space="preserve">oves are from groups of dead birds. It is possible that some of these birds were accidentally poisoned by agricultural chemicals such as anti-parasite chemicals for livestock or by herbicides (Joost Brouwer </w:t>
      </w:r>
      <w:r w:rsidRPr="00C96521">
        <w:rPr>
          <w:rFonts w:eastAsia="MS Mincho"/>
          <w:i/>
          <w:sz w:val="20"/>
          <w:szCs w:val="22"/>
          <w:lang w:val="en-GB" w:eastAsia="ja-JP"/>
        </w:rPr>
        <w:t>pers comm</w:t>
      </w:r>
      <w:r w:rsidRPr="00C96521">
        <w:rPr>
          <w:rFonts w:eastAsia="MS Mincho"/>
          <w:sz w:val="20"/>
          <w:szCs w:val="22"/>
          <w:lang w:val="en-GB" w:eastAsia="ja-JP"/>
        </w:rPr>
        <w:t xml:space="preserve">). Irrigated farmland in the northern part of the Senegal River Valley is subject to high pesticide and fertilizer use, and coincides with large </w:t>
      </w:r>
      <w:r w:rsidR="00F33271">
        <w:rPr>
          <w:rFonts w:eastAsia="MS Mincho"/>
          <w:sz w:val="20"/>
          <w:szCs w:val="22"/>
          <w:lang w:val="en-GB" w:eastAsia="ja-JP"/>
        </w:rPr>
        <w:t>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 xml:space="preserve">ove roosts in acacia vegetation (Malang Sarr </w:t>
      </w:r>
      <w:r w:rsidRPr="00C96521">
        <w:rPr>
          <w:rFonts w:eastAsia="MS Mincho"/>
          <w:i/>
          <w:sz w:val="20"/>
          <w:szCs w:val="22"/>
          <w:lang w:val="en-GB" w:eastAsia="ja-JP"/>
        </w:rPr>
        <w:t>pers comm</w:t>
      </w:r>
      <w:r w:rsidRPr="00C96521">
        <w:rPr>
          <w:rFonts w:eastAsia="MS Mincho"/>
          <w:sz w:val="20"/>
          <w:szCs w:val="22"/>
          <w:lang w:val="en-GB" w:eastAsia="ja-JP"/>
        </w:rPr>
        <w:t xml:space="preserve">). Granular pesticides that are toxic to avifauna are still used in parts of Africa, including the Sahel (Wim Mullié </w:t>
      </w:r>
      <w:r w:rsidRPr="00C96521">
        <w:rPr>
          <w:rFonts w:eastAsia="MS Mincho"/>
          <w:i/>
          <w:sz w:val="20"/>
          <w:szCs w:val="22"/>
          <w:lang w:val="en-GB" w:eastAsia="ja-JP"/>
        </w:rPr>
        <w:t>pers comm</w:t>
      </w:r>
      <w:r w:rsidRPr="00C96521">
        <w:rPr>
          <w:rFonts w:eastAsia="MS Mincho"/>
          <w:sz w:val="20"/>
          <w:szCs w:val="22"/>
          <w:lang w:val="en-GB" w:eastAsia="ja-JP"/>
        </w:rPr>
        <w:t xml:space="preserve">). Birds that feed on grain or grit may accidentally ingest these granules which could lead to cases of poisoning. In the case of ingestion of toxic chemicals, the cause may not be obvious to those discovering the cases of mortality (Wim Mullié </w:t>
      </w:r>
      <w:r w:rsidRPr="00C96521">
        <w:rPr>
          <w:rFonts w:eastAsia="MS Mincho"/>
          <w:i/>
          <w:sz w:val="20"/>
          <w:szCs w:val="22"/>
          <w:lang w:val="en-GB" w:eastAsia="ja-JP"/>
        </w:rPr>
        <w:t>pers comm</w:t>
      </w:r>
      <w:r w:rsidRPr="00C96521">
        <w:rPr>
          <w:rFonts w:eastAsia="MS Mincho"/>
          <w:sz w:val="20"/>
          <w:szCs w:val="22"/>
          <w:lang w:val="en-GB" w:eastAsia="ja-JP"/>
        </w:rPr>
        <w:t xml:space="preserve">). For </w:t>
      </w:r>
      <w:r w:rsidR="00F33271">
        <w:rPr>
          <w:rFonts w:eastAsia="MS Mincho"/>
          <w:sz w:val="20"/>
          <w:szCs w:val="22"/>
          <w:lang w:val="en-GB" w:eastAsia="ja-JP"/>
        </w:rPr>
        <w:t>a T</w:t>
      </w:r>
      <w:r w:rsidRPr="00C96521">
        <w:rPr>
          <w:rFonts w:eastAsia="MS Mincho"/>
          <w:sz w:val="20"/>
          <w:szCs w:val="22"/>
          <w:lang w:val="en-GB" w:eastAsia="ja-JP"/>
        </w:rPr>
        <w:t>urtle</w:t>
      </w:r>
      <w:r w:rsidR="00F33271">
        <w:rPr>
          <w:rFonts w:eastAsia="MS Mincho"/>
          <w:sz w:val="20"/>
          <w:szCs w:val="22"/>
          <w:lang w:val="en-GB" w:eastAsia="ja-JP"/>
        </w:rPr>
        <w:t xml:space="preserve"> D</w:t>
      </w:r>
      <w:r w:rsidRPr="00C96521">
        <w:rPr>
          <w:rFonts w:eastAsia="MS Mincho"/>
          <w:sz w:val="20"/>
          <w:szCs w:val="22"/>
          <w:lang w:val="en-GB" w:eastAsia="ja-JP"/>
        </w:rPr>
        <w:t>ove to be affected by sprayed chemicals used to control Quelea (</w:t>
      </w:r>
      <w:r w:rsidRPr="00C96521">
        <w:rPr>
          <w:rFonts w:eastAsia="MS Mincho"/>
          <w:i/>
          <w:sz w:val="20"/>
          <w:szCs w:val="22"/>
          <w:lang w:val="en-GB" w:eastAsia="ja-JP"/>
        </w:rPr>
        <w:t>Quelea quelea</w:t>
      </w:r>
      <w:r w:rsidRPr="00C96521">
        <w:rPr>
          <w:rFonts w:eastAsia="MS Mincho"/>
          <w:sz w:val="20"/>
          <w:szCs w:val="22"/>
          <w:lang w:val="en-GB" w:eastAsia="ja-JP"/>
        </w:rPr>
        <w:t xml:space="preserve">), it would probably have to fly through a cloud of pesticide in order to accumulate a high enough dose, or for the entire roost to be sprayed. Spraying such chemicals involves expensive equipment so this activity is likely to be quite limited. Intake of veterinary drugs and subsequent poisoning is likely to be similarly limited (Wim Mullié </w:t>
      </w:r>
      <w:r w:rsidRPr="00C96521">
        <w:rPr>
          <w:rFonts w:eastAsia="MS Mincho"/>
          <w:i/>
          <w:sz w:val="20"/>
          <w:szCs w:val="22"/>
          <w:lang w:val="en-GB" w:eastAsia="ja-JP"/>
        </w:rPr>
        <w:t>pers comm</w:t>
      </w:r>
      <w:r w:rsidRPr="00C96521">
        <w:rPr>
          <w:rFonts w:eastAsia="MS Mincho"/>
          <w:sz w:val="20"/>
          <w:szCs w:val="22"/>
          <w:lang w:val="en-GB" w:eastAsia="ja-JP"/>
        </w:rPr>
        <w:t xml:space="preserve">). </w:t>
      </w:r>
    </w:p>
    <w:p w14:paraId="1B06076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157C440" w14:textId="64ACCCBA"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For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00F33271">
        <w:rPr>
          <w:rFonts w:eastAsia="MS Mincho"/>
          <w:sz w:val="20"/>
          <w:szCs w:val="22"/>
          <w:lang w:val="en-GB" w:eastAsia="ja-JP"/>
        </w:rPr>
        <w:t>s</w:t>
      </w:r>
      <w:r w:rsidR="00F33271" w:rsidRPr="00C96521">
        <w:rPr>
          <w:rFonts w:eastAsia="MS Mincho"/>
          <w:sz w:val="20"/>
          <w:szCs w:val="22"/>
          <w:lang w:val="en-GB" w:eastAsia="ja-JP"/>
        </w:rPr>
        <w:t xml:space="preserve"> </w:t>
      </w:r>
      <w:r w:rsidRPr="00C96521">
        <w:rPr>
          <w:rFonts w:eastAsia="MS Mincho"/>
          <w:sz w:val="20"/>
          <w:szCs w:val="22"/>
          <w:lang w:val="en-GB" w:eastAsia="ja-JP"/>
        </w:rPr>
        <w:t>breeding in the steppe zone of European Russia, dominated by intensive arable land (cereals, sunflower, sugar beet etc</w:t>
      </w:r>
      <w:r w:rsidR="00F33271">
        <w:rPr>
          <w:rFonts w:eastAsia="MS Mincho"/>
          <w:sz w:val="20"/>
          <w:szCs w:val="22"/>
          <w:lang w:val="en-GB" w:eastAsia="ja-JP"/>
        </w:rPr>
        <w:t>.</w:t>
      </w:r>
      <w:r w:rsidRPr="00C96521">
        <w:rPr>
          <w:rFonts w:eastAsia="MS Mincho"/>
          <w:sz w:val="20"/>
          <w:szCs w:val="22"/>
          <w:lang w:val="en-GB" w:eastAsia="ja-JP"/>
        </w:rPr>
        <w:t xml:space="preserve">), a significant increase in farming intensity took place in the 2010s. The main threats for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00F33271">
        <w:rPr>
          <w:rFonts w:eastAsia="MS Mincho"/>
          <w:sz w:val="20"/>
          <w:szCs w:val="22"/>
          <w:lang w:val="en-GB" w:eastAsia="ja-JP"/>
        </w:rPr>
        <w:t>s</w:t>
      </w:r>
      <w:r w:rsidR="00F33271" w:rsidRPr="00C96521">
        <w:rPr>
          <w:rFonts w:eastAsia="MS Mincho"/>
          <w:sz w:val="20"/>
          <w:szCs w:val="22"/>
          <w:lang w:val="en-GB" w:eastAsia="ja-JP"/>
        </w:rPr>
        <w:t xml:space="preserve"> </w:t>
      </w:r>
      <w:r w:rsidRPr="00C96521">
        <w:rPr>
          <w:rFonts w:eastAsia="MS Mincho"/>
          <w:sz w:val="20"/>
          <w:szCs w:val="22"/>
          <w:lang w:val="en-GB" w:eastAsia="ja-JP"/>
        </w:rPr>
        <w:t xml:space="preserve">are increased use of pesticides and poisoning by seeds treated with fungicides and pesticides. Spraying of pesticides from light aircraft takes place in some areas and poses a threat to the species as air-sprayed pesticides are disseminated by wind and can settle in shelter belts, the main nesting habitat of the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 xml:space="preserve">ove </w:t>
      </w:r>
      <w:r w:rsidRPr="00C96521">
        <w:rPr>
          <w:rFonts w:eastAsia="MS Mincho"/>
          <w:sz w:val="20"/>
          <w:szCs w:val="22"/>
          <w:lang w:val="en-GB" w:eastAsia="ja-JP"/>
        </w:rPr>
        <w:t xml:space="preserve">in this area. </w:t>
      </w:r>
    </w:p>
    <w:p w14:paraId="2F10BB6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FF2CE7D" w14:textId="5C9A4608"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the UK, increased use of herbicides and pesticides has reduced weed abundance and diversity within agricultural areas and it is likely that weed seed availability has been greatly reduced compared to the middle of the 20</w:t>
      </w:r>
      <w:r w:rsidRPr="00C96521">
        <w:rPr>
          <w:rFonts w:eastAsia="MS Mincho"/>
          <w:sz w:val="20"/>
          <w:szCs w:val="22"/>
          <w:vertAlign w:val="superscript"/>
          <w:lang w:val="en-GB" w:eastAsia="ja-JP"/>
        </w:rPr>
        <w:t>th</w:t>
      </w:r>
      <w:r w:rsidRPr="00C96521">
        <w:rPr>
          <w:rFonts w:eastAsia="MS Mincho"/>
          <w:sz w:val="20"/>
          <w:szCs w:val="22"/>
          <w:lang w:val="en-GB" w:eastAsia="ja-JP"/>
        </w:rPr>
        <w:t xml:space="preserve"> century (Browne and Aebischer 2003a). A shift in the species’ diet from predominantly weed seeds to cultivated crop seeds may, in part, reflect the loss of weeds from the agricultural landscape. However, an increase in the use of agricultural chemicals coincided with a number of other widespread changes to the farmed environment, including changes in sowing dates and tillage methods and an increase in inorganic fertili</w:t>
      </w:r>
      <w:r w:rsidR="00F33271">
        <w:rPr>
          <w:rFonts w:eastAsia="MS Mincho"/>
          <w:sz w:val="20"/>
          <w:szCs w:val="22"/>
          <w:lang w:val="en-GB" w:eastAsia="ja-JP"/>
        </w:rPr>
        <w:t>z</w:t>
      </w:r>
      <w:r w:rsidRPr="00C96521">
        <w:rPr>
          <w:rFonts w:eastAsia="MS Mincho"/>
          <w:sz w:val="20"/>
          <w:szCs w:val="22"/>
          <w:lang w:val="en-GB" w:eastAsia="ja-JP"/>
        </w:rPr>
        <w:t xml:space="preserve">er use. It is therefore difficult to disentangle the individual effects that </w:t>
      </w:r>
      <w:r w:rsidRPr="00C96521">
        <w:rPr>
          <w:rFonts w:eastAsia="MS Mincho"/>
          <w:sz w:val="20"/>
          <w:szCs w:val="22"/>
          <w:lang w:val="en-GB" w:eastAsia="ja-JP"/>
        </w:rPr>
        <w:lastRenderedPageBreak/>
        <w:t>these changes may have had. In Romania, reducing the use of insecticides and herbicides, and/or ensuring that they are applied outside the breeding season, are likely to be important conservation actions for the species (Petrovici 2015). The loss of ruderal plants owing to the use of herbicides, particularly early in the breeding season may also have affected the species in parts of Spain (Hidalgo de Trucios and Rocha 2005, Hidalgo de Trucios 2007).</w:t>
      </w:r>
    </w:p>
    <w:p w14:paraId="10E86A5A" w14:textId="77777777" w:rsidR="00C96521" w:rsidRPr="00C96521" w:rsidRDefault="00C96521" w:rsidP="00C96521">
      <w:pPr>
        <w:widowControl/>
        <w:rPr>
          <w:rFonts w:ascii="TimesNewRoman" w:eastAsia="MS Mincho" w:hAnsi="TimesNewRoman" w:cs="TimesNewRoman"/>
          <w:sz w:val="20"/>
          <w:szCs w:val="22"/>
          <w:lang w:val="en-GB" w:eastAsia="ja-JP"/>
        </w:rPr>
      </w:pPr>
    </w:p>
    <w:p w14:paraId="3F44C979" w14:textId="54EE4722"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As with many granivorous bird species the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 xml:space="preserve">ove </w:t>
      </w:r>
      <w:r w:rsidRPr="00C96521">
        <w:rPr>
          <w:rFonts w:eastAsia="MS Mincho"/>
          <w:sz w:val="20"/>
          <w:szCs w:val="22"/>
          <w:lang w:val="en-GB" w:eastAsia="ja-JP"/>
        </w:rPr>
        <w:t>may be exposed to the risk of ingesting spent lead pellets. In the USA, high ingestion rates have been reported for the Mourning Dove (</w:t>
      </w:r>
      <w:r w:rsidRPr="00C96521">
        <w:rPr>
          <w:rFonts w:eastAsia="MS Mincho"/>
          <w:i/>
          <w:sz w:val="20"/>
          <w:szCs w:val="22"/>
          <w:lang w:val="en-GB" w:eastAsia="ja-JP"/>
        </w:rPr>
        <w:t>Zenaida macroura</w:t>
      </w:r>
      <w:r w:rsidRPr="00C96521">
        <w:rPr>
          <w:rFonts w:eastAsia="MS Mincho"/>
          <w:sz w:val="20"/>
          <w:szCs w:val="22"/>
          <w:lang w:val="en-GB" w:eastAsia="ja-JP"/>
        </w:rPr>
        <w:t xml:space="preserve">) in areas where hunting activity is very intense (Shulz </w:t>
      </w:r>
      <w:r w:rsidRPr="00C96521">
        <w:rPr>
          <w:rFonts w:eastAsia="MS Mincho"/>
          <w:i/>
          <w:sz w:val="20"/>
          <w:szCs w:val="22"/>
          <w:lang w:val="en-GB" w:eastAsia="ja-JP"/>
        </w:rPr>
        <w:t>et al</w:t>
      </w:r>
      <w:r w:rsidRPr="00C96521">
        <w:rPr>
          <w:rFonts w:eastAsia="MS Mincho"/>
          <w:sz w:val="20"/>
          <w:szCs w:val="22"/>
          <w:lang w:val="en-GB" w:eastAsia="ja-JP"/>
        </w:rPr>
        <w:t xml:space="preserve"> 2006), and there are cases of ingestion by </w:t>
      </w:r>
      <w:r w:rsidR="00F33271">
        <w:rPr>
          <w:rFonts w:eastAsia="MS Mincho"/>
          <w:sz w:val="20"/>
          <w:szCs w:val="22"/>
          <w:lang w:val="en-GB" w:eastAsia="ja-JP"/>
        </w:rPr>
        <w:t>W</w:t>
      </w:r>
      <w:r w:rsidRPr="00C96521">
        <w:rPr>
          <w:rFonts w:eastAsia="MS Mincho"/>
          <w:sz w:val="20"/>
          <w:szCs w:val="22"/>
          <w:lang w:val="en-GB" w:eastAsia="ja-JP"/>
        </w:rPr>
        <w:t xml:space="preserve">ood </w:t>
      </w:r>
      <w:r w:rsidR="00F33271">
        <w:rPr>
          <w:rFonts w:eastAsia="MS Mincho"/>
          <w:sz w:val="20"/>
          <w:szCs w:val="22"/>
          <w:lang w:val="en-GB" w:eastAsia="ja-JP"/>
        </w:rPr>
        <w:t>P</w:t>
      </w:r>
      <w:r w:rsidRPr="00C96521">
        <w:rPr>
          <w:rFonts w:eastAsia="MS Mincho"/>
          <w:sz w:val="20"/>
          <w:szCs w:val="22"/>
          <w:lang w:val="en-GB" w:eastAsia="ja-JP"/>
        </w:rPr>
        <w:t>igeon (</w:t>
      </w:r>
      <w:r w:rsidRPr="00C96521">
        <w:rPr>
          <w:rFonts w:eastAsia="MS Mincho"/>
          <w:i/>
          <w:sz w:val="20"/>
          <w:szCs w:val="22"/>
          <w:lang w:val="en-GB" w:eastAsia="ja-JP"/>
        </w:rPr>
        <w:t>Columba palumbus</w:t>
      </w:r>
      <w:r w:rsidRPr="00C96521">
        <w:rPr>
          <w:rFonts w:eastAsia="MS Mincho"/>
          <w:sz w:val="20"/>
          <w:szCs w:val="22"/>
          <w:lang w:val="en-GB" w:eastAsia="ja-JP"/>
        </w:rPr>
        <w:t xml:space="preserve">) and </w:t>
      </w:r>
      <w:r w:rsidR="00F33271">
        <w:rPr>
          <w:rFonts w:eastAsia="MS Mincho"/>
          <w:sz w:val="20"/>
          <w:szCs w:val="22"/>
          <w:lang w:val="en-GB" w:eastAsia="ja-JP"/>
        </w:rPr>
        <w:t>R</w:t>
      </w:r>
      <w:r w:rsidRPr="00C96521">
        <w:rPr>
          <w:rFonts w:eastAsia="MS Mincho"/>
          <w:sz w:val="20"/>
          <w:szCs w:val="22"/>
          <w:lang w:val="en-GB" w:eastAsia="ja-JP"/>
        </w:rPr>
        <w:t xml:space="preserve">ock </w:t>
      </w:r>
      <w:r w:rsidR="00F33271">
        <w:rPr>
          <w:rFonts w:eastAsia="MS Mincho"/>
          <w:sz w:val="20"/>
          <w:szCs w:val="22"/>
          <w:lang w:val="en-GB" w:eastAsia="ja-JP"/>
        </w:rPr>
        <w:t>P</w:t>
      </w:r>
      <w:r w:rsidRPr="00C96521">
        <w:rPr>
          <w:rFonts w:eastAsia="MS Mincho"/>
          <w:sz w:val="20"/>
          <w:szCs w:val="22"/>
          <w:lang w:val="en-GB" w:eastAsia="ja-JP"/>
        </w:rPr>
        <w:t>igeon (</w:t>
      </w:r>
      <w:r w:rsidRPr="00C96521">
        <w:rPr>
          <w:rFonts w:eastAsia="MS Mincho"/>
          <w:i/>
          <w:sz w:val="20"/>
          <w:szCs w:val="22"/>
          <w:lang w:val="en-GB" w:eastAsia="ja-JP"/>
        </w:rPr>
        <w:t>C. livia</w:t>
      </w:r>
      <w:r w:rsidRPr="00C96521">
        <w:rPr>
          <w:rFonts w:eastAsia="MS Mincho"/>
          <w:sz w:val="20"/>
          <w:szCs w:val="22"/>
          <w:lang w:val="en-GB" w:eastAsia="ja-JP"/>
        </w:rPr>
        <w:t xml:space="preserve">) (Fisher </w:t>
      </w:r>
      <w:r w:rsidRPr="00C96521">
        <w:rPr>
          <w:rFonts w:eastAsia="MS Mincho"/>
          <w:i/>
          <w:sz w:val="20"/>
          <w:szCs w:val="22"/>
          <w:lang w:val="en-GB" w:eastAsia="ja-JP"/>
        </w:rPr>
        <w:t>et al</w:t>
      </w:r>
      <w:r w:rsidRPr="00C96521">
        <w:rPr>
          <w:rFonts w:eastAsia="MS Mincho"/>
          <w:sz w:val="20"/>
          <w:szCs w:val="22"/>
          <w:lang w:val="en-GB" w:eastAsia="ja-JP"/>
        </w:rPr>
        <w:t xml:space="preserve"> 2006). However, no reports of mortality owing to lead ingestion have been made and the rate of lead ingestion could be low as fields where the species feeds are ploughed annually. </w:t>
      </w:r>
      <w:r w:rsidR="00F33271">
        <w:rPr>
          <w:rFonts w:eastAsia="MS Mincho"/>
          <w:sz w:val="20"/>
          <w:szCs w:val="22"/>
          <w:lang w:val="en-GB" w:eastAsia="ja-JP"/>
        </w:rPr>
        <w:t xml:space="preserve"> </w:t>
      </w:r>
    </w:p>
    <w:p w14:paraId="4CF20B6F" w14:textId="77777777" w:rsidR="00C96521" w:rsidRPr="00C96521" w:rsidRDefault="00C96521" w:rsidP="00C96521">
      <w:pPr>
        <w:widowControl/>
        <w:rPr>
          <w:rFonts w:ascii="TimesNewRoman" w:eastAsia="MS Mincho" w:hAnsi="TimesNewRoman" w:cs="TimesNewRoman"/>
          <w:sz w:val="20"/>
          <w:szCs w:val="22"/>
          <w:lang w:val="en-GB" w:eastAsia="ja-JP"/>
        </w:rPr>
      </w:pPr>
    </w:p>
    <w:p w14:paraId="7CAD916A"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30" w:name="_Toc478646915"/>
      <w:r w:rsidRPr="00C96521">
        <w:rPr>
          <w:rFonts w:ascii="Cambria" w:eastAsia="MS Gothic" w:hAnsi="Cambria"/>
          <w:b/>
          <w:bCs/>
          <w:color w:val="4F81BD"/>
          <w:sz w:val="20"/>
          <w:szCs w:val="22"/>
          <w:lang w:val="en-GB" w:eastAsia="ja-JP"/>
        </w:rPr>
        <w:t>Drought and climate change</w:t>
      </w:r>
      <w:bookmarkEnd w:id="30"/>
    </w:p>
    <w:p w14:paraId="29B08586" w14:textId="77777777" w:rsidR="00C96521" w:rsidRPr="00C96521" w:rsidRDefault="00C96521" w:rsidP="00C96521">
      <w:pPr>
        <w:widowControl/>
        <w:rPr>
          <w:rFonts w:ascii="TimesNewRoman,Bold" w:eastAsia="MS Mincho" w:hAnsi="TimesNewRoman,Bold" w:cs="TimesNewRoman,Bold"/>
          <w:b/>
          <w:bCs/>
          <w:sz w:val="24"/>
          <w:lang w:val="en-GB" w:eastAsia="ja-JP"/>
        </w:rPr>
      </w:pPr>
    </w:p>
    <w:p w14:paraId="73FF1C73" w14:textId="240E500A"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Climate conditions (particularly drought) in wintering areas as well as across critical staging posts in Central Sahara can lead to an abnormally high mortality rate. In the 1970s and 1980s, the Sahelian regions of western Africa, which make up the principal wintering areas for western European populations of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Pr="00C96521">
        <w:rPr>
          <w:rFonts w:eastAsia="MS Mincho" w:cs="Arial"/>
          <w:sz w:val="20"/>
          <w:szCs w:val="22"/>
          <w:lang w:val="en-GB" w:eastAsia="ja-JP"/>
        </w:rPr>
        <w:t xml:space="preserve">, were hit by long periods of drought, annual rainfall only very infrequently going above the annual average and very often remaining well below (Jarry 1994). In the north of the Sahel, the rainy season is shortest (May/Jul-Aug/Oct), so in general, food and water will disappear there first (Joost Brouwer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However, in the past, changes in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 xml:space="preserve">ove </w:t>
      </w:r>
      <w:r w:rsidRPr="00C96521">
        <w:rPr>
          <w:rFonts w:eastAsia="MS Mincho" w:cs="Arial"/>
          <w:sz w:val="20"/>
          <w:szCs w:val="22"/>
          <w:lang w:val="en-GB" w:eastAsia="ja-JP"/>
        </w:rPr>
        <w:t xml:space="preserve">abundance in the UK did not show any strong correlation with severe drought years in the Sahel wintering grounds (Marchant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1990). Moreover, several species which are known to be affected by drought in the Sahel (</w:t>
      </w:r>
      <w:r w:rsidR="00F33271">
        <w:rPr>
          <w:rFonts w:eastAsia="MS Mincho" w:cs="Arial"/>
          <w:sz w:val="20"/>
          <w:szCs w:val="22"/>
          <w:lang w:val="en-GB" w:eastAsia="ja-JP"/>
        </w:rPr>
        <w:t>W</w:t>
      </w:r>
      <w:r w:rsidRPr="00C96521">
        <w:rPr>
          <w:rFonts w:eastAsia="MS Mincho" w:cs="Arial"/>
          <w:sz w:val="20"/>
          <w:szCs w:val="22"/>
          <w:lang w:val="en-GB" w:eastAsia="ja-JP"/>
        </w:rPr>
        <w:t xml:space="preserve">hitethroat </w:t>
      </w:r>
      <w:r w:rsidRPr="00C96521">
        <w:rPr>
          <w:rFonts w:eastAsia="MS Mincho" w:cs="Arial"/>
          <w:i/>
          <w:sz w:val="20"/>
          <w:szCs w:val="22"/>
          <w:lang w:val="en-GB" w:eastAsia="ja-JP"/>
        </w:rPr>
        <w:t>Sylvia communis</w:t>
      </w:r>
      <w:r w:rsidRPr="00C96521">
        <w:rPr>
          <w:rFonts w:eastAsia="MS Mincho" w:cs="Arial"/>
          <w:sz w:val="20"/>
          <w:szCs w:val="22"/>
          <w:lang w:val="en-GB" w:eastAsia="ja-JP"/>
        </w:rPr>
        <w:t xml:space="preserve"> and </w:t>
      </w:r>
      <w:r w:rsidR="00F33271">
        <w:rPr>
          <w:rFonts w:eastAsia="MS Mincho" w:cs="Arial"/>
          <w:sz w:val="20"/>
          <w:szCs w:val="22"/>
          <w:lang w:val="en-GB" w:eastAsia="ja-JP"/>
        </w:rPr>
        <w:t>S</w:t>
      </w:r>
      <w:r w:rsidR="00F33271" w:rsidRPr="00C96521">
        <w:rPr>
          <w:rFonts w:eastAsia="MS Mincho" w:cs="Arial"/>
          <w:sz w:val="20"/>
          <w:szCs w:val="22"/>
          <w:lang w:val="en-GB" w:eastAsia="ja-JP"/>
        </w:rPr>
        <w:t xml:space="preserve">edge </w:t>
      </w:r>
      <w:r w:rsidR="00F33271">
        <w:rPr>
          <w:rFonts w:eastAsia="MS Mincho" w:cs="Arial"/>
          <w:sz w:val="20"/>
          <w:szCs w:val="22"/>
          <w:lang w:val="en-GB" w:eastAsia="ja-JP"/>
        </w:rPr>
        <w:t>W</w:t>
      </w:r>
      <w:r w:rsidR="00F33271" w:rsidRPr="00C96521">
        <w:rPr>
          <w:rFonts w:eastAsia="MS Mincho" w:cs="Arial"/>
          <w:sz w:val="20"/>
          <w:szCs w:val="22"/>
          <w:lang w:val="en-GB" w:eastAsia="ja-JP"/>
        </w:rPr>
        <w:t xml:space="preserve">arbler </w:t>
      </w:r>
      <w:r w:rsidRPr="00C96521">
        <w:rPr>
          <w:rFonts w:eastAsia="MS Mincho" w:cs="Arial"/>
          <w:i/>
          <w:sz w:val="20"/>
          <w:szCs w:val="22"/>
          <w:lang w:val="en-GB" w:eastAsia="ja-JP"/>
        </w:rPr>
        <w:t>Acrocephalus schoenobaenus</w:t>
      </w:r>
      <w:r w:rsidRPr="00C96521">
        <w:rPr>
          <w:rFonts w:eastAsia="MS Mincho" w:cs="Arial"/>
          <w:sz w:val="20"/>
          <w:szCs w:val="22"/>
          <w:lang w:val="en-GB" w:eastAsia="ja-JP"/>
        </w:rPr>
        <w:t xml:space="preserve">) showed strong population increases during the 1990s in response to increasingly favourable rainfall conditions in the Sahel. High annual survival of birds in a population in France matched years with high cereal production in the Sahel and cereal production is often negatively linked to droughts (Eraud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2009). Similarly, rainfall in the arid Sahel region of West Africa was shown to have a significant impact on the population trend of UK breeding turtle-doves, with arid zone rainfall associated with a positive population change in the species. However, </w:t>
      </w:r>
      <w:r w:rsidRPr="00C96521">
        <w:rPr>
          <w:rFonts w:eastAsia="MS Mincho"/>
          <w:sz w:val="20"/>
          <w:szCs w:val="22"/>
          <w:lang w:val="en-GB" w:eastAsia="ja-JP"/>
        </w:rPr>
        <w:t>the percent of deviance explained by rainfall in the model examining inter-annual percentage change in abundance index was low, at 4</w:t>
      </w:r>
      <w:r w:rsidR="00F33271">
        <w:rPr>
          <w:rFonts w:eastAsia="MS Mincho"/>
          <w:sz w:val="20"/>
          <w:szCs w:val="22"/>
          <w:lang w:val="en-GB" w:eastAsia="ja-JP"/>
        </w:rPr>
        <w:t xml:space="preserve"> per cent</w:t>
      </w:r>
      <w:r w:rsidR="00F33271" w:rsidRPr="00C96521">
        <w:rPr>
          <w:rFonts w:eastAsia="MS Mincho" w:cs="Arial"/>
          <w:sz w:val="20"/>
          <w:szCs w:val="22"/>
          <w:lang w:val="en-GB" w:eastAsia="ja-JP"/>
        </w:rPr>
        <w:t xml:space="preserve"> </w:t>
      </w:r>
      <w:r w:rsidRPr="00C96521">
        <w:rPr>
          <w:rFonts w:eastAsia="MS Mincho" w:cs="Arial"/>
          <w:sz w:val="20"/>
          <w:szCs w:val="22"/>
          <w:lang w:val="en-GB" w:eastAsia="ja-JP"/>
        </w:rPr>
        <w:t xml:space="preserve">(Ockenden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2014). </w:t>
      </w:r>
      <w:r w:rsidR="00F33271">
        <w:rPr>
          <w:rFonts w:eastAsia="MS Mincho" w:cs="Arial"/>
          <w:sz w:val="20"/>
          <w:szCs w:val="22"/>
          <w:lang w:val="en-GB" w:eastAsia="ja-JP"/>
        </w:rPr>
        <w:t xml:space="preserve">  </w:t>
      </w:r>
    </w:p>
    <w:p w14:paraId="1CF35F84"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FA4089F" w14:textId="7DA3D9F7"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sz w:val="20"/>
          <w:szCs w:val="22"/>
          <w:lang w:val="en-GB" w:eastAsia="ja-JP"/>
        </w:rPr>
        <w:t xml:space="preserve">While the overall effects of climate change are poorly understood, recent data from a satellite-tracked bird showed that weather events, such as sandstorms, might have carry-over effects that affect productivity, such as birds being delayed in their return to the breeding grounds (RSPB 2016). In Niger, the end of the rainy season falls during the turtle-dove’s southward migration to the wintering grounds (Kusserow and Brouwer 2011). However, by March-April the weather conditions are hotter and drier, with migratory species, including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00F33271">
        <w:rPr>
          <w:rFonts w:eastAsia="MS Mincho"/>
          <w:sz w:val="20"/>
          <w:szCs w:val="22"/>
          <w:lang w:val="en-GB" w:eastAsia="ja-JP"/>
        </w:rPr>
        <w:t>s</w:t>
      </w:r>
      <w:r w:rsidRPr="00C96521">
        <w:rPr>
          <w:rFonts w:eastAsia="MS Mincho" w:cs="Arial"/>
          <w:sz w:val="20"/>
          <w:szCs w:val="22"/>
          <w:lang w:val="en-GB" w:eastAsia="ja-JP"/>
        </w:rPr>
        <w:t xml:space="preserve">, recorded visiting gardens in search of water (Kusserow and Brouwer 2011). The depletion of ancient underground water aquifers (particularly in Libya) due to over-abstraction have led to habitat decline in Saharan oases that act as critical staging posts along migratory routes. </w:t>
      </w:r>
    </w:p>
    <w:p w14:paraId="12EB820C"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FE8C85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Local weather conditions may also affect the species. In Greece, </w:t>
      </w:r>
      <w:r w:rsidRPr="00C96521">
        <w:rPr>
          <w:rFonts w:eastAsia="MS Mincho"/>
          <w:sz w:val="20"/>
          <w:szCs w:val="22"/>
          <w:lang w:val="en-GB" w:eastAsia="ja-JP"/>
        </w:rPr>
        <w:t xml:space="preserve">very low breeding densities were recorded during 2015, due to bad weather conditions during May and June (high rainfall) compared to 2016 (Dimitris Bakaloudis </w:t>
      </w:r>
      <w:r w:rsidRPr="00C96521">
        <w:rPr>
          <w:rFonts w:eastAsia="MS Mincho"/>
          <w:i/>
          <w:sz w:val="20"/>
          <w:szCs w:val="22"/>
          <w:lang w:val="en-GB" w:eastAsia="ja-JP"/>
        </w:rPr>
        <w:t>pers comm</w:t>
      </w:r>
      <w:r w:rsidRPr="00C96521">
        <w:rPr>
          <w:rFonts w:eastAsia="MS Mincho"/>
          <w:sz w:val="20"/>
          <w:szCs w:val="22"/>
          <w:lang w:val="en-GB" w:eastAsia="ja-JP"/>
        </w:rPr>
        <w:t>). In Cyprus, several thousand birds were found dead on the Paphos/Akamas coast following two days of severe storms in 1976 (Flint and Stewart 1992)</w:t>
      </w:r>
    </w:p>
    <w:p w14:paraId="505BBF53"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AC7B2AF"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lang w:val="en-GB" w:eastAsia="ja-JP"/>
        </w:rPr>
      </w:pPr>
      <w:bookmarkStart w:id="31" w:name="_Toc478646916"/>
      <w:r w:rsidRPr="00C96521">
        <w:rPr>
          <w:rFonts w:ascii="Cambria" w:eastAsia="MS Gothic" w:hAnsi="Cambria"/>
          <w:b/>
          <w:bCs/>
          <w:color w:val="4F81BD"/>
          <w:sz w:val="20"/>
          <w:szCs w:val="22"/>
          <w:lang w:val="en-GB" w:eastAsia="ja-JP"/>
        </w:rPr>
        <w:t>Competition with collared dove</w:t>
      </w:r>
      <w:bookmarkEnd w:id="31"/>
    </w:p>
    <w:p w14:paraId="0A1ED41F" w14:textId="77777777" w:rsidR="00C96521" w:rsidRPr="00C96521" w:rsidRDefault="00C96521" w:rsidP="00C96521">
      <w:pPr>
        <w:widowControl/>
        <w:rPr>
          <w:rFonts w:ascii="TimesNewRoman,Bold" w:eastAsia="MS Mincho" w:hAnsi="TimesNewRoman,Bold" w:cs="TimesNewRoman,Bold"/>
          <w:b/>
          <w:bCs/>
          <w:sz w:val="20"/>
          <w:szCs w:val="22"/>
          <w:lang w:val="en-GB" w:eastAsia="ja-JP"/>
        </w:rPr>
      </w:pPr>
    </w:p>
    <w:p w14:paraId="5BBC5624" w14:textId="793EF44D"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cs="Arial"/>
          <w:sz w:val="20"/>
          <w:szCs w:val="22"/>
          <w:lang w:val="en-GB" w:eastAsia="ja-JP"/>
        </w:rPr>
        <w:t xml:space="preserve">The </w:t>
      </w:r>
      <w:r w:rsidR="00F33271">
        <w:rPr>
          <w:rFonts w:eastAsia="MS Mincho" w:cs="Arial"/>
          <w:sz w:val="20"/>
          <w:szCs w:val="22"/>
          <w:lang w:val="en-GB" w:eastAsia="ja-JP"/>
        </w:rPr>
        <w:t>C</w:t>
      </w:r>
      <w:r w:rsidR="00F33271"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00F33271" w:rsidRPr="00C96521">
        <w:rPr>
          <w:rFonts w:eastAsia="MS Mincho" w:cs="Arial"/>
          <w:sz w:val="20"/>
          <w:szCs w:val="22"/>
          <w:lang w:val="en-GB" w:eastAsia="ja-JP"/>
        </w:rPr>
        <w:t xml:space="preserve">ove </w:t>
      </w:r>
      <w:r w:rsidRPr="00C96521">
        <w:rPr>
          <w:rFonts w:eastAsia="MS Mincho" w:cs="Arial"/>
          <w:sz w:val="20"/>
          <w:szCs w:val="22"/>
          <w:lang w:val="en-GB" w:eastAsia="ja-JP"/>
        </w:rPr>
        <w:t>(</w:t>
      </w:r>
      <w:r w:rsidRPr="00C96521">
        <w:rPr>
          <w:rFonts w:eastAsia="MS Mincho" w:cs="Arial"/>
          <w:i/>
          <w:sz w:val="20"/>
          <w:szCs w:val="22"/>
          <w:lang w:val="en-GB" w:eastAsia="ja-JP"/>
        </w:rPr>
        <w:t>Streptopelia decaocto</w:t>
      </w:r>
      <w:r w:rsidRPr="00C96521">
        <w:rPr>
          <w:rFonts w:eastAsia="MS Mincho" w:cs="Arial"/>
          <w:sz w:val="20"/>
          <w:szCs w:val="22"/>
          <w:lang w:val="en-GB" w:eastAsia="ja-JP"/>
        </w:rPr>
        <w:t xml:space="preserve">) has expanded throughout the Western Palearctic over the past few decades (Rocha and Hidalgo de Trucios 2000, 2002b). This species is mainly found in the vicinity of urban areas, especially in parks, avenues and other wooded areas. Its presence is usually linked to human activities, and it is often common around agriculture infrastructure (barns, farms, </w:t>
      </w:r>
      <w:r w:rsidRPr="00C96521">
        <w:rPr>
          <w:rFonts w:eastAsia="MS Mincho" w:cs="Arial"/>
          <w:sz w:val="20"/>
          <w:szCs w:val="22"/>
          <w:lang w:val="en-GB" w:eastAsia="ja-JP"/>
        </w:rPr>
        <w:lastRenderedPageBreak/>
        <w:t xml:space="preserve">livestock silos) where food is available. In central Spain (notably Extremadura) and in several parts of France where both species of dove occur, </w:t>
      </w:r>
      <w:r w:rsidR="00F33271">
        <w:rPr>
          <w:rFonts w:eastAsia="MS Mincho" w:cs="Arial"/>
          <w:sz w:val="20"/>
          <w:szCs w:val="22"/>
          <w:lang w:val="en-GB" w:eastAsia="ja-JP"/>
        </w:rPr>
        <w:t>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 xml:space="preserve">oves appear to compete, in some places, with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Dove</w:t>
      </w:r>
      <w:r w:rsidRPr="00C96521">
        <w:rPr>
          <w:rFonts w:eastAsia="MS Mincho" w:cs="Arial"/>
          <w:sz w:val="20"/>
          <w:szCs w:val="22"/>
          <w:lang w:val="en-GB" w:eastAsia="ja-JP"/>
        </w:rPr>
        <w:t xml:space="preserve">s. Overlap between </w:t>
      </w:r>
      <w:r w:rsidR="00F33271">
        <w:rPr>
          <w:rFonts w:eastAsia="MS Mincho" w:cs="Arial"/>
          <w:sz w:val="20"/>
          <w:szCs w:val="22"/>
          <w:lang w:val="en-GB" w:eastAsia="ja-JP"/>
        </w:rPr>
        <w:t>the 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 xml:space="preserve">ove and </w:t>
      </w:r>
      <w:r w:rsidR="00F33271">
        <w:rPr>
          <w:rFonts w:eastAsia="MS Mincho" w:cs="Arial"/>
          <w:sz w:val="20"/>
          <w:szCs w:val="22"/>
          <w:lang w:val="en-GB" w:eastAsia="ja-JP"/>
        </w:rPr>
        <w:t>T</w:t>
      </w:r>
      <w:r w:rsidRPr="00C96521">
        <w:rPr>
          <w:rFonts w:eastAsia="MS Mincho" w:cs="Arial"/>
          <w:sz w:val="20"/>
          <w:szCs w:val="22"/>
          <w:lang w:val="en-GB" w:eastAsia="ja-JP"/>
        </w:rPr>
        <w:t>urtle</w:t>
      </w:r>
      <w:r w:rsidR="00F33271">
        <w:rPr>
          <w:rFonts w:eastAsia="MS Mincho" w:cs="Arial"/>
          <w:sz w:val="20"/>
          <w:szCs w:val="22"/>
          <w:lang w:val="en-GB" w:eastAsia="ja-JP"/>
        </w:rPr>
        <w:t xml:space="preserve"> D</w:t>
      </w:r>
      <w:r w:rsidRPr="00C96521">
        <w:rPr>
          <w:rFonts w:eastAsia="MS Mincho" w:cs="Arial"/>
          <w:sz w:val="20"/>
          <w:szCs w:val="22"/>
          <w:lang w:val="en-GB" w:eastAsia="ja-JP"/>
        </w:rPr>
        <w:t>ove has been found in meadow (</w:t>
      </w:r>
      <w:r w:rsidRPr="00C96521">
        <w:rPr>
          <w:rFonts w:eastAsia="MS Mincho" w:cs="Arial"/>
          <w:i/>
          <w:sz w:val="20"/>
          <w:szCs w:val="22"/>
          <w:lang w:val="en-GB" w:eastAsia="ja-JP"/>
        </w:rPr>
        <w:t>dehesa</w:t>
      </w:r>
      <w:r w:rsidRPr="00C96521">
        <w:rPr>
          <w:rFonts w:eastAsia="MS Mincho" w:cs="Arial"/>
          <w:sz w:val="20"/>
          <w:szCs w:val="22"/>
          <w:lang w:val="en-GB" w:eastAsia="ja-JP"/>
        </w:rPr>
        <w:t xml:space="preserve">) habitats used by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00F33271">
        <w:rPr>
          <w:rFonts w:eastAsia="MS Mincho"/>
          <w:sz w:val="20"/>
          <w:szCs w:val="22"/>
          <w:lang w:val="en-GB" w:eastAsia="ja-JP"/>
        </w:rPr>
        <w:t>s</w:t>
      </w:r>
      <w:r w:rsidRPr="00C96521">
        <w:rPr>
          <w:rFonts w:eastAsia="MS Mincho" w:cs="Arial"/>
          <w:sz w:val="20"/>
          <w:szCs w:val="22"/>
          <w:lang w:val="en-GB" w:eastAsia="ja-JP"/>
        </w:rPr>
        <w:t xml:space="preserve"> in central, southern and western parts of the Iberian </w:t>
      </w:r>
      <w:r w:rsidR="00F33271">
        <w:rPr>
          <w:rFonts w:eastAsia="MS Mincho" w:cs="Arial"/>
          <w:sz w:val="20"/>
          <w:szCs w:val="22"/>
          <w:lang w:val="en-GB" w:eastAsia="ja-JP"/>
        </w:rPr>
        <w:t>P</w:t>
      </w:r>
      <w:r w:rsidRPr="00C96521">
        <w:rPr>
          <w:rFonts w:eastAsia="MS Mincho" w:cs="Arial"/>
          <w:sz w:val="20"/>
          <w:szCs w:val="22"/>
          <w:lang w:val="en-GB" w:eastAsia="ja-JP"/>
        </w:rPr>
        <w:t xml:space="preserve">eninsula (Rocha and Hidalgo de Trucios 1998, 2000, 2001b, 2002b, 2004a and 2004b). When comparing the presence/absence in places where both species could exist, Rocha and Hidalgo (2000) observed an exclusion relationship between the two. Furthermore, the analysis of densities of both species in the same places showed that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Pr="00C96521">
        <w:rPr>
          <w:rFonts w:eastAsia="MS Mincho" w:cs="Arial"/>
          <w:sz w:val="20"/>
          <w:szCs w:val="22"/>
          <w:lang w:val="en-GB" w:eastAsia="ja-JP"/>
        </w:rPr>
        <w:t xml:space="preserve"> densities decreased at the same time as </w:t>
      </w:r>
      <w:r w:rsidR="00F33271">
        <w:rPr>
          <w:rFonts w:eastAsia="MS Mincho" w:cs="Arial"/>
          <w:sz w:val="20"/>
          <w:szCs w:val="22"/>
          <w:lang w:val="en-GB" w:eastAsia="ja-JP"/>
        </w:rPr>
        <w:t>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 xml:space="preserve">ove densities increased. The same is true for Portugal (Dias 2016). The </w:t>
      </w:r>
      <w:r w:rsidR="00F33271">
        <w:rPr>
          <w:rFonts w:eastAsia="MS Mincho" w:cs="Arial"/>
          <w:sz w:val="20"/>
          <w:szCs w:val="22"/>
          <w:lang w:val="en-GB" w:eastAsia="ja-JP"/>
        </w:rPr>
        <w:t>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ove benefits from advantages such as its sedentary and territorial characters, larger size and aggressiveness (Fletcher 1979) and a high reproductive success - several clutches per year, with 66</w:t>
      </w:r>
      <w:r w:rsidR="00F33271">
        <w:rPr>
          <w:rFonts w:eastAsia="MS Mincho" w:cs="Arial"/>
          <w:sz w:val="20"/>
          <w:szCs w:val="22"/>
          <w:lang w:val="en-GB" w:eastAsia="ja-JP"/>
        </w:rPr>
        <w:t xml:space="preserve"> per cent</w:t>
      </w:r>
      <w:r w:rsidRPr="00C96521">
        <w:rPr>
          <w:rFonts w:eastAsia="MS Mincho" w:cs="Arial"/>
          <w:sz w:val="20"/>
          <w:szCs w:val="22"/>
          <w:lang w:val="en-GB" w:eastAsia="ja-JP"/>
        </w:rPr>
        <w:t xml:space="preserve"> success, versus fewer clutches and 35</w:t>
      </w:r>
      <w:r w:rsidR="00F33271">
        <w:rPr>
          <w:rFonts w:eastAsia="MS Mincho" w:cs="Arial"/>
          <w:sz w:val="20"/>
          <w:szCs w:val="22"/>
          <w:lang w:val="en-GB" w:eastAsia="ja-JP"/>
        </w:rPr>
        <w:t xml:space="preserve"> per cent</w:t>
      </w:r>
      <w:r w:rsidRPr="00C96521">
        <w:rPr>
          <w:rFonts w:eastAsia="MS Mincho" w:cs="Arial"/>
          <w:sz w:val="20"/>
          <w:szCs w:val="22"/>
          <w:lang w:val="en-GB" w:eastAsia="ja-JP"/>
        </w:rPr>
        <w:t xml:space="preserve"> success for the </w:t>
      </w:r>
      <w:r w:rsidR="00F33271">
        <w:rPr>
          <w:rFonts w:eastAsia="MS Mincho" w:cs="Arial"/>
          <w:sz w:val="20"/>
          <w:szCs w:val="22"/>
          <w:lang w:val="en-GB" w:eastAsia="ja-JP"/>
        </w:rPr>
        <w:t>T</w:t>
      </w:r>
      <w:r w:rsidRPr="00C96521">
        <w:rPr>
          <w:rFonts w:eastAsia="MS Mincho" w:cs="Arial"/>
          <w:sz w:val="20"/>
          <w:szCs w:val="22"/>
          <w:lang w:val="en-GB" w:eastAsia="ja-JP"/>
        </w:rPr>
        <w:t>urtle</w:t>
      </w:r>
      <w:r w:rsidR="00F33271">
        <w:rPr>
          <w:rFonts w:eastAsia="MS Mincho" w:cs="Arial"/>
          <w:sz w:val="20"/>
          <w:szCs w:val="22"/>
          <w:lang w:val="en-GB" w:eastAsia="ja-JP"/>
        </w:rPr>
        <w:t xml:space="preserve"> D</w:t>
      </w:r>
      <w:r w:rsidRPr="00C96521">
        <w:rPr>
          <w:rFonts w:eastAsia="MS Mincho" w:cs="Arial"/>
          <w:sz w:val="20"/>
          <w:szCs w:val="22"/>
          <w:lang w:val="en-GB" w:eastAsia="ja-JP"/>
        </w:rPr>
        <w:t xml:space="preserve">ove (Browne and Aebischer 2004). However, correlation does not necessarily mean causation and in eastern Europe, where </w:t>
      </w:r>
      <w:r w:rsidR="00F33271">
        <w:rPr>
          <w:rFonts w:eastAsia="MS Mincho" w:cs="Arial"/>
          <w:sz w:val="20"/>
          <w:szCs w:val="22"/>
          <w:lang w:val="en-GB" w:eastAsia="ja-JP"/>
        </w:rPr>
        <w:t>the 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 xml:space="preserve">ove has been present for longer than it has been in western Europe,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Pr="00C96521">
        <w:rPr>
          <w:rFonts w:eastAsia="MS Mincho" w:cs="Arial"/>
          <w:sz w:val="20"/>
          <w:szCs w:val="22"/>
          <w:lang w:val="en-GB" w:eastAsia="ja-JP"/>
        </w:rPr>
        <w:t xml:space="preserve"> populations have not decreased to such an extent. In Hungary, the </w:t>
      </w:r>
      <w:r w:rsidR="00F33271">
        <w:rPr>
          <w:rFonts w:eastAsia="MS Mincho" w:cs="Arial"/>
          <w:sz w:val="20"/>
          <w:szCs w:val="22"/>
          <w:lang w:val="en-GB" w:eastAsia="ja-JP"/>
        </w:rPr>
        <w:t>C</w:t>
      </w:r>
      <w:r w:rsidRPr="00C96521">
        <w:rPr>
          <w:rFonts w:eastAsia="MS Mincho" w:cs="Arial"/>
          <w:sz w:val="20"/>
          <w:szCs w:val="22"/>
          <w:lang w:val="en-GB" w:eastAsia="ja-JP"/>
        </w:rPr>
        <w:t xml:space="preserve">ollared </w:t>
      </w:r>
      <w:r w:rsidR="00F33271">
        <w:rPr>
          <w:rFonts w:eastAsia="MS Mincho" w:cs="Arial"/>
          <w:sz w:val="20"/>
          <w:szCs w:val="22"/>
          <w:lang w:val="en-GB" w:eastAsia="ja-JP"/>
        </w:rPr>
        <w:t>D</w:t>
      </w:r>
      <w:r w:rsidRPr="00C96521">
        <w:rPr>
          <w:rFonts w:eastAsia="MS Mincho" w:cs="Arial"/>
          <w:sz w:val="20"/>
          <w:szCs w:val="22"/>
          <w:lang w:val="en-GB" w:eastAsia="ja-JP"/>
        </w:rPr>
        <w:t xml:space="preserve">ove nests near human settlements while the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ove</w:t>
      </w:r>
      <w:r w:rsidRPr="00C96521">
        <w:rPr>
          <w:rFonts w:eastAsia="MS Mincho" w:cs="Arial"/>
          <w:sz w:val="20"/>
          <w:szCs w:val="22"/>
          <w:lang w:val="en-GB" w:eastAsia="ja-JP"/>
        </w:rPr>
        <w:t xml:space="preserve"> uses forest edge, woodland and shrub away from human habitation (Hadarics and Zalai 2008), but in Romania, competition</w:t>
      </w:r>
      <w:r w:rsidRPr="00C96521">
        <w:rPr>
          <w:rFonts w:eastAsia="MS Mincho"/>
          <w:sz w:val="20"/>
          <w:szCs w:val="22"/>
          <w:lang w:val="en-GB" w:eastAsia="ja-JP"/>
        </w:rPr>
        <w:t xml:space="preserve"> with </w:t>
      </w:r>
      <w:r w:rsidR="00F33271">
        <w:rPr>
          <w:rFonts w:eastAsia="MS Mincho"/>
          <w:sz w:val="20"/>
          <w:szCs w:val="22"/>
          <w:lang w:val="en-GB" w:eastAsia="ja-JP"/>
        </w:rPr>
        <w:t>C</w:t>
      </w:r>
      <w:r w:rsidRPr="00C96521">
        <w:rPr>
          <w:rFonts w:eastAsia="MS Mincho"/>
          <w:sz w:val="20"/>
          <w:szCs w:val="22"/>
          <w:lang w:val="en-GB" w:eastAsia="ja-JP"/>
        </w:rPr>
        <w:t xml:space="preserve">ollared </w:t>
      </w:r>
      <w:r w:rsidR="00F33271">
        <w:rPr>
          <w:rFonts w:eastAsia="MS Mincho"/>
          <w:sz w:val="20"/>
          <w:szCs w:val="22"/>
          <w:lang w:val="en-GB" w:eastAsia="ja-JP"/>
        </w:rPr>
        <w:t>D</w:t>
      </w:r>
      <w:r w:rsidRPr="00C96521">
        <w:rPr>
          <w:rFonts w:eastAsia="MS Mincho"/>
          <w:sz w:val="20"/>
          <w:szCs w:val="22"/>
          <w:lang w:val="en-GB" w:eastAsia="ja-JP"/>
        </w:rPr>
        <w:t xml:space="preserve">ove has caused </w:t>
      </w:r>
      <w:r w:rsidR="00F33271">
        <w:rPr>
          <w:rFonts w:eastAsia="MS Mincho"/>
          <w:sz w:val="20"/>
          <w:szCs w:val="22"/>
          <w:lang w:val="en-GB" w:eastAsia="ja-JP"/>
        </w:rPr>
        <w:t>the 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 xml:space="preserve">ove </w:t>
      </w:r>
      <w:r w:rsidRPr="00C96521">
        <w:rPr>
          <w:rFonts w:eastAsia="MS Mincho"/>
          <w:sz w:val="20"/>
          <w:szCs w:val="22"/>
          <w:lang w:val="en-GB" w:eastAsia="ja-JP"/>
        </w:rPr>
        <w:t xml:space="preserve"> to be lost from parks and cities at least in Transylvania and Banat (Munteanu 2009). </w:t>
      </w:r>
    </w:p>
    <w:p w14:paraId="63419BB6"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66FF7FE3" w14:textId="73E7DAB2"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sz w:val="20"/>
          <w:szCs w:val="22"/>
          <w:lang w:val="en-GB" w:eastAsia="ja-JP"/>
        </w:rPr>
        <w:t xml:space="preserve">It is possible that the role of potential competition between </w:t>
      </w:r>
      <w:r w:rsidR="00F33271">
        <w:rPr>
          <w:rFonts w:eastAsia="MS Mincho"/>
          <w:sz w:val="20"/>
          <w:szCs w:val="22"/>
          <w:lang w:val="en-GB" w:eastAsia="ja-JP"/>
        </w:rPr>
        <w:t>T</w:t>
      </w:r>
      <w:r w:rsidR="00F33271" w:rsidRPr="00C96521">
        <w:rPr>
          <w:rFonts w:eastAsia="MS Mincho"/>
          <w:sz w:val="20"/>
          <w:szCs w:val="22"/>
          <w:lang w:val="en-GB" w:eastAsia="ja-JP"/>
        </w:rPr>
        <w:t>urtle</w:t>
      </w:r>
      <w:r w:rsidR="00F33271">
        <w:rPr>
          <w:rFonts w:eastAsia="MS Mincho"/>
          <w:sz w:val="20"/>
          <w:szCs w:val="22"/>
          <w:lang w:val="en-GB" w:eastAsia="ja-JP"/>
        </w:rPr>
        <w:t xml:space="preserve"> D</w:t>
      </w:r>
      <w:r w:rsidR="00F33271" w:rsidRPr="00C96521">
        <w:rPr>
          <w:rFonts w:eastAsia="MS Mincho"/>
          <w:sz w:val="20"/>
          <w:szCs w:val="22"/>
          <w:lang w:val="en-GB" w:eastAsia="ja-JP"/>
        </w:rPr>
        <w:t xml:space="preserve">ove </w:t>
      </w:r>
      <w:r w:rsidRPr="00C96521">
        <w:rPr>
          <w:rFonts w:eastAsia="MS Mincho"/>
          <w:sz w:val="20"/>
          <w:szCs w:val="22"/>
          <w:lang w:val="en-GB" w:eastAsia="ja-JP"/>
        </w:rPr>
        <w:t xml:space="preserve">and </w:t>
      </w:r>
      <w:r w:rsidR="00F33271">
        <w:rPr>
          <w:rFonts w:eastAsia="MS Mincho"/>
          <w:sz w:val="20"/>
          <w:szCs w:val="22"/>
          <w:lang w:val="en-GB" w:eastAsia="ja-JP"/>
        </w:rPr>
        <w:t>C</w:t>
      </w:r>
      <w:r w:rsidRPr="00C96521">
        <w:rPr>
          <w:rFonts w:eastAsia="MS Mincho"/>
          <w:sz w:val="20"/>
          <w:szCs w:val="22"/>
          <w:lang w:val="en-GB" w:eastAsia="ja-JP"/>
        </w:rPr>
        <w:t>ollared</w:t>
      </w:r>
      <w:r w:rsidR="00F33271" w:rsidRPr="00F33271">
        <w:rPr>
          <w:rFonts w:eastAsia="MS Mincho"/>
          <w:sz w:val="20"/>
          <w:szCs w:val="22"/>
          <w:lang w:val="en-GB" w:eastAsia="ja-JP"/>
        </w:rPr>
        <w:t xml:space="preserve"> </w:t>
      </w:r>
      <w:r w:rsidR="00F33271">
        <w:rPr>
          <w:rFonts w:eastAsia="MS Mincho"/>
          <w:sz w:val="20"/>
          <w:szCs w:val="22"/>
          <w:lang w:val="en-GB" w:eastAsia="ja-JP"/>
        </w:rPr>
        <w:t>D</w:t>
      </w:r>
      <w:r w:rsidR="00F33271" w:rsidRPr="00C96521">
        <w:rPr>
          <w:rFonts w:eastAsia="MS Mincho"/>
          <w:sz w:val="20"/>
          <w:szCs w:val="22"/>
          <w:lang w:val="en-GB" w:eastAsia="ja-JP"/>
        </w:rPr>
        <w:t xml:space="preserve">ove </w:t>
      </w:r>
      <w:r w:rsidRPr="00C96521">
        <w:rPr>
          <w:rFonts w:eastAsia="MS Mincho"/>
          <w:sz w:val="20"/>
          <w:szCs w:val="22"/>
          <w:lang w:val="en-GB" w:eastAsia="ja-JP"/>
        </w:rPr>
        <w:t xml:space="preserve">varies from one country to another. Unpublished data from the UK </w:t>
      </w:r>
      <w:r w:rsidRPr="00C96521">
        <w:rPr>
          <w:rFonts w:eastAsia="MS Mincho" w:cs="Arial"/>
          <w:sz w:val="20"/>
          <w:szCs w:val="22"/>
          <w:lang w:val="en-GB" w:eastAsia="ja-JP"/>
        </w:rPr>
        <w:t xml:space="preserve">(Dunn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2016c </w:t>
      </w:r>
      <w:r w:rsidRPr="00C96521">
        <w:rPr>
          <w:rFonts w:eastAsia="MS Mincho" w:cs="Arial"/>
          <w:i/>
          <w:sz w:val="20"/>
          <w:szCs w:val="22"/>
          <w:lang w:val="en-GB" w:eastAsia="ja-JP"/>
        </w:rPr>
        <w:t>under review</w:t>
      </w:r>
      <w:r w:rsidRPr="00C96521">
        <w:rPr>
          <w:rFonts w:eastAsia="MS Mincho" w:cs="Arial"/>
          <w:sz w:val="20"/>
          <w:szCs w:val="22"/>
          <w:lang w:val="en-GB" w:eastAsia="ja-JP"/>
        </w:rPr>
        <w:t xml:space="preserve">) show significant dietary overlap between all four UK farmland columbid species, and while the lowest overlap was between </w:t>
      </w:r>
      <w:r w:rsidR="00A922B2">
        <w:rPr>
          <w:rFonts w:eastAsia="MS Mincho" w:cs="Arial"/>
          <w:sz w:val="20"/>
          <w:szCs w:val="22"/>
          <w:lang w:val="en-GB" w:eastAsia="ja-JP"/>
        </w:rPr>
        <w:t>T</w:t>
      </w:r>
      <w:r w:rsidRPr="00C96521">
        <w:rPr>
          <w:rFonts w:eastAsia="MS Mincho" w:cs="Arial"/>
          <w:sz w:val="20"/>
          <w:szCs w:val="22"/>
          <w:lang w:val="en-GB" w:eastAsia="ja-JP"/>
        </w:rPr>
        <w:t xml:space="preserve">urtle and </w:t>
      </w:r>
      <w:r w:rsidR="00A922B2">
        <w:rPr>
          <w:rFonts w:eastAsia="MS Mincho" w:cs="Arial"/>
          <w:sz w:val="20"/>
          <w:szCs w:val="22"/>
          <w:lang w:val="en-GB" w:eastAsia="ja-JP"/>
        </w:rPr>
        <w:t>C</w:t>
      </w:r>
      <w:r w:rsidRPr="00C96521">
        <w:rPr>
          <w:rFonts w:eastAsia="MS Mincho" w:cs="Arial"/>
          <w:sz w:val="20"/>
          <w:szCs w:val="22"/>
          <w:lang w:val="en-GB" w:eastAsia="ja-JP"/>
        </w:rPr>
        <w:t xml:space="preserve">ollared </w:t>
      </w:r>
      <w:r w:rsidR="00A922B2">
        <w:rPr>
          <w:rFonts w:eastAsia="MS Mincho" w:cs="Arial"/>
          <w:sz w:val="20"/>
          <w:szCs w:val="22"/>
          <w:lang w:val="en-GB" w:eastAsia="ja-JP"/>
        </w:rPr>
        <w:t>D</w:t>
      </w:r>
      <w:r w:rsidRPr="00C96521">
        <w:rPr>
          <w:rFonts w:eastAsia="MS Mincho" w:cs="Arial"/>
          <w:sz w:val="20"/>
          <w:szCs w:val="22"/>
          <w:lang w:val="en-GB" w:eastAsia="ja-JP"/>
        </w:rPr>
        <w:t>oves, it was still significant. There is the possibility of indirect competition between the species, but sufficient disparity between their ecology, food and habitat requirements limits effects, and anecdotal observations indicate little, if any, direct competition in the form of aggressive behaviours, nest site limitations etc</w:t>
      </w:r>
      <w:r w:rsidR="00A922B2">
        <w:rPr>
          <w:rFonts w:eastAsia="MS Mincho" w:cs="Arial"/>
          <w:sz w:val="20"/>
          <w:szCs w:val="22"/>
          <w:lang w:val="en-GB" w:eastAsia="ja-JP"/>
        </w:rPr>
        <w:t>.</w:t>
      </w:r>
      <w:r w:rsidRPr="00C96521">
        <w:rPr>
          <w:rFonts w:eastAsia="MS Mincho" w:cs="Arial"/>
          <w:sz w:val="20"/>
          <w:szCs w:val="22"/>
          <w:lang w:val="en-GB" w:eastAsia="ja-JP"/>
        </w:rPr>
        <w:t xml:space="preserve"> (Tony Morris </w:t>
      </w:r>
      <w:r w:rsidRPr="00C96521">
        <w:rPr>
          <w:rFonts w:eastAsia="MS Mincho" w:cs="Arial"/>
          <w:i/>
          <w:sz w:val="20"/>
          <w:szCs w:val="22"/>
          <w:lang w:val="en-GB" w:eastAsia="ja-JP"/>
        </w:rPr>
        <w:t>pers comm</w:t>
      </w:r>
      <w:r w:rsidRPr="00C96521">
        <w:rPr>
          <w:rFonts w:eastAsia="MS Mincho" w:cs="Arial"/>
          <w:sz w:val="20"/>
          <w:szCs w:val="22"/>
          <w:lang w:val="en-GB" w:eastAsia="ja-JP"/>
        </w:rPr>
        <w:t xml:space="preserve">). </w:t>
      </w:r>
    </w:p>
    <w:p w14:paraId="72DA2172"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35420787" w14:textId="6EF1359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Morocco, a recent expansion of </w:t>
      </w:r>
      <w:r w:rsidR="00A922B2">
        <w:rPr>
          <w:rFonts w:eastAsia="MS Mincho"/>
          <w:sz w:val="20"/>
          <w:szCs w:val="22"/>
          <w:lang w:val="en-GB" w:eastAsia="ja-JP"/>
        </w:rPr>
        <w:t>the L</w:t>
      </w:r>
      <w:r w:rsidRPr="00C96521">
        <w:rPr>
          <w:rFonts w:eastAsia="MS Mincho"/>
          <w:sz w:val="20"/>
          <w:szCs w:val="22"/>
          <w:lang w:val="en-GB" w:eastAsia="ja-JP"/>
        </w:rPr>
        <w:t xml:space="preserve">aughing </w:t>
      </w:r>
      <w:r w:rsidR="00A922B2">
        <w:rPr>
          <w:rFonts w:eastAsia="MS Mincho"/>
          <w:sz w:val="20"/>
          <w:szCs w:val="22"/>
          <w:lang w:val="en-GB" w:eastAsia="ja-JP"/>
        </w:rPr>
        <w:t>D</w:t>
      </w:r>
      <w:r w:rsidRPr="00C96521">
        <w:rPr>
          <w:rFonts w:eastAsia="MS Mincho"/>
          <w:sz w:val="20"/>
          <w:szCs w:val="22"/>
          <w:lang w:val="en-GB" w:eastAsia="ja-JP"/>
        </w:rPr>
        <w:t>ove (</w:t>
      </w:r>
      <w:r w:rsidRPr="00C96521">
        <w:rPr>
          <w:rFonts w:eastAsia="MS Mincho"/>
          <w:i/>
          <w:sz w:val="20"/>
          <w:szCs w:val="22"/>
          <w:lang w:val="en-GB" w:eastAsia="ja-JP"/>
        </w:rPr>
        <w:t>Streptopelia senegalensis</w:t>
      </w:r>
      <w:r w:rsidRPr="00C96521">
        <w:rPr>
          <w:rFonts w:eastAsia="MS Mincho"/>
          <w:sz w:val="20"/>
          <w:szCs w:val="22"/>
          <w:lang w:val="en-GB" w:eastAsia="ja-JP"/>
        </w:rPr>
        <w:t xml:space="preserve">) means that the range of </w:t>
      </w:r>
      <w:r w:rsidR="00A922B2">
        <w:rPr>
          <w:rFonts w:eastAsia="MS Mincho"/>
          <w:sz w:val="20"/>
          <w:szCs w:val="22"/>
          <w:lang w:val="en-GB" w:eastAsia="ja-JP"/>
        </w:rPr>
        <w:t>the T</w:t>
      </w:r>
      <w:r w:rsidR="00A922B2" w:rsidRPr="00C96521">
        <w:rPr>
          <w:rFonts w:eastAsia="MS Mincho"/>
          <w:sz w:val="20"/>
          <w:szCs w:val="22"/>
          <w:lang w:val="en-GB" w:eastAsia="ja-JP"/>
        </w:rPr>
        <w:t>urtle</w:t>
      </w:r>
      <w:r w:rsidR="00A922B2">
        <w:rPr>
          <w:rFonts w:eastAsia="MS Mincho"/>
          <w:sz w:val="20"/>
          <w:szCs w:val="22"/>
          <w:lang w:val="en-GB" w:eastAsia="ja-JP"/>
        </w:rPr>
        <w:t xml:space="preserve"> D</w:t>
      </w:r>
      <w:r w:rsidR="00A922B2" w:rsidRPr="00C96521">
        <w:rPr>
          <w:rFonts w:eastAsia="MS Mincho"/>
          <w:sz w:val="20"/>
          <w:szCs w:val="22"/>
          <w:lang w:val="en-GB" w:eastAsia="ja-JP"/>
        </w:rPr>
        <w:t xml:space="preserve">ove </w:t>
      </w:r>
      <w:r w:rsidRPr="00C96521">
        <w:rPr>
          <w:rFonts w:eastAsia="MS Mincho"/>
          <w:sz w:val="20"/>
          <w:szCs w:val="22"/>
          <w:lang w:val="en-GB" w:eastAsia="ja-JP"/>
        </w:rPr>
        <w:t xml:space="preserve">and </w:t>
      </w:r>
      <w:r w:rsidR="00A922B2">
        <w:rPr>
          <w:rFonts w:eastAsia="MS Mincho"/>
          <w:sz w:val="20"/>
          <w:szCs w:val="22"/>
          <w:lang w:val="en-GB" w:eastAsia="ja-JP"/>
        </w:rPr>
        <w:t>L</w:t>
      </w:r>
      <w:r w:rsidRPr="00C96521">
        <w:rPr>
          <w:rFonts w:eastAsia="MS Mincho"/>
          <w:sz w:val="20"/>
          <w:szCs w:val="22"/>
          <w:lang w:val="en-GB" w:eastAsia="ja-JP"/>
        </w:rPr>
        <w:t xml:space="preserve">aughing </w:t>
      </w:r>
      <w:r w:rsidR="00A922B2">
        <w:rPr>
          <w:rFonts w:eastAsia="MS Mincho"/>
          <w:sz w:val="20"/>
          <w:szCs w:val="22"/>
          <w:lang w:val="en-GB" w:eastAsia="ja-JP"/>
        </w:rPr>
        <w:t>D</w:t>
      </w:r>
      <w:r w:rsidRPr="00C96521">
        <w:rPr>
          <w:rFonts w:eastAsia="MS Mincho"/>
          <w:sz w:val="20"/>
          <w:szCs w:val="22"/>
          <w:lang w:val="en-GB" w:eastAsia="ja-JP"/>
        </w:rPr>
        <w:t xml:space="preserve">ove now overlap. While both species have slightly different nesting preferences, further work is needed to understand the extent of competition (Hanane 2015). Wood </w:t>
      </w:r>
      <w:r w:rsidR="00A922B2">
        <w:rPr>
          <w:rFonts w:eastAsia="MS Mincho"/>
          <w:sz w:val="20"/>
          <w:szCs w:val="22"/>
          <w:lang w:val="en-GB" w:eastAsia="ja-JP"/>
        </w:rPr>
        <w:t>P</w:t>
      </w:r>
      <w:r w:rsidRPr="00C96521">
        <w:rPr>
          <w:rFonts w:eastAsia="MS Mincho"/>
          <w:sz w:val="20"/>
          <w:szCs w:val="22"/>
          <w:lang w:val="en-GB" w:eastAsia="ja-JP"/>
        </w:rPr>
        <w:t>igeon</w:t>
      </w:r>
      <w:r w:rsidR="00A922B2">
        <w:rPr>
          <w:rFonts w:eastAsia="MS Mincho"/>
          <w:sz w:val="20"/>
          <w:szCs w:val="22"/>
          <w:lang w:val="en-GB" w:eastAsia="ja-JP"/>
        </w:rPr>
        <w:t>s</w:t>
      </w:r>
      <w:r w:rsidRPr="00C96521">
        <w:rPr>
          <w:rFonts w:eastAsia="MS Mincho"/>
          <w:sz w:val="20"/>
          <w:szCs w:val="22"/>
          <w:lang w:val="en-GB" w:eastAsia="ja-JP"/>
        </w:rPr>
        <w:t xml:space="preserve"> and </w:t>
      </w:r>
      <w:r w:rsidR="00A922B2">
        <w:rPr>
          <w:rFonts w:eastAsia="MS Mincho"/>
          <w:sz w:val="20"/>
          <w:szCs w:val="22"/>
          <w:lang w:val="en-GB" w:eastAsia="ja-JP"/>
        </w:rPr>
        <w:t>T</w:t>
      </w:r>
      <w:r w:rsidR="00A922B2" w:rsidRPr="00C96521">
        <w:rPr>
          <w:rFonts w:eastAsia="MS Mincho"/>
          <w:sz w:val="20"/>
          <w:szCs w:val="22"/>
          <w:lang w:val="en-GB" w:eastAsia="ja-JP"/>
        </w:rPr>
        <w:t>urtle</w:t>
      </w:r>
      <w:r w:rsidR="00A922B2">
        <w:rPr>
          <w:rFonts w:eastAsia="MS Mincho"/>
          <w:sz w:val="20"/>
          <w:szCs w:val="22"/>
          <w:lang w:val="en-GB" w:eastAsia="ja-JP"/>
        </w:rPr>
        <w:t xml:space="preserve"> D</w:t>
      </w:r>
      <w:r w:rsidR="00A922B2" w:rsidRPr="00C96521">
        <w:rPr>
          <w:rFonts w:eastAsia="MS Mincho"/>
          <w:sz w:val="20"/>
          <w:szCs w:val="22"/>
          <w:lang w:val="en-GB" w:eastAsia="ja-JP"/>
        </w:rPr>
        <w:t>ove</w:t>
      </w:r>
      <w:r w:rsidR="00A922B2">
        <w:rPr>
          <w:rFonts w:eastAsia="MS Mincho"/>
          <w:sz w:val="20"/>
          <w:szCs w:val="22"/>
          <w:lang w:val="en-GB" w:eastAsia="ja-JP"/>
        </w:rPr>
        <w:t>s</w:t>
      </w:r>
      <w:r w:rsidRPr="00C96521">
        <w:rPr>
          <w:rFonts w:eastAsia="MS Mincho"/>
          <w:sz w:val="20"/>
          <w:szCs w:val="22"/>
          <w:lang w:val="en-GB" w:eastAsia="ja-JP"/>
        </w:rPr>
        <w:t xml:space="preserve"> have also been shown to have different nesting preferences in </w:t>
      </w:r>
      <w:r w:rsidRPr="00C96521">
        <w:rPr>
          <w:rFonts w:eastAsia="MS Mincho"/>
          <w:i/>
          <w:sz w:val="20"/>
          <w:szCs w:val="22"/>
          <w:lang w:val="en-GB" w:eastAsia="ja-JP"/>
        </w:rPr>
        <w:t>Tetraclinis articulata</w:t>
      </w:r>
      <w:r w:rsidRPr="00C96521">
        <w:rPr>
          <w:rFonts w:eastAsia="MS Mincho"/>
          <w:sz w:val="20"/>
          <w:szCs w:val="22"/>
          <w:lang w:val="en-GB" w:eastAsia="ja-JP"/>
        </w:rPr>
        <w:t xml:space="preserve"> woodland in Morocco, with </w:t>
      </w:r>
      <w:r w:rsidR="00A922B2">
        <w:rPr>
          <w:rFonts w:eastAsia="MS Mincho"/>
          <w:sz w:val="20"/>
          <w:szCs w:val="22"/>
          <w:lang w:val="en-GB" w:eastAsia="ja-JP"/>
        </w:rPr>
        <w:t>W</w:t>
      </w:r>
      <w:r w:rsidRPr="00C96521">
        <w:rPr>
          <w:rFonts w:eastAsia="MS Mincho"/>
          <w:sz w:val="20"/>
          <w:szCs w:val="22"/>
          <w:lang w:val="en-GB" w:eastAsia="ja-JP"/>
        </w:rPr>
        <w:t xml:space="preserve">ood </w:t>
      </w:r>
      <w:r w:rsidR="00A922B2">
        <w:rPr>
          <w:rFonts w:eastAsia="MS Mincho"/>
          <w:sz w:val="20"/>
          <w:szCs w:val="22"/>
          <w:lang w:val="en-GB" w:eastAsia="ja-JP"/>
        </w:rPr>
        <w:t>P</w:t>
      </w:r>
      <w:r w:rsidRPr="00C96521">
        <w:rPr>
          <w:rFonts w:eastAsia="MS Mincho"/>
          <w:sz w:val="20"/>
          <w:szCs w:val="22"/>
          <w:lang w:val="en-GB" w:eastAsia="ja-JP"/>
        </w:rPr>
        <w:t>igeon</w:t>
      </w:r>
      <w:r w:rsidR="00A922B2">
        <w:rPr>
          <w:rFonts w:eastAsia="MS Mincho"/>
          <w:sz w:val="20"/>
          <w:szCs w:val="22"/>
          <w:lang w:val="en-GB" w:eastAsia="ja-JP"/>
        </w:rPr>
        <w:t>s</w:t>
      </w:r>
      <w:r w:rsidRPr="00C96521">
        <w:rPr>
          <w:rFonts w:eastAsia="MS Mincho"/>
          <w:sz w:val="20"/>
          <w:szCs w:val="22"/>
          <w:lang w:val="en-GB" w:eastAsia="ja-JP"/>
        </w:rPr>
        <w:t xml:space="preserve"> selecting taller and larger diameter trees for nesting, compared to </w:t>
      </w:r>
      <w:r w:rsidR="00A922B2">
        <w:rPr>
          <w:rFonts w:eastAsia="MS Mincho"/>
          <w:sz w:val="20"/>
          <w:szCs w:val="22"/>
          <w:lang w:val="en-GB" w:eastAsia="ja-JP"/>
        </w:rPr>
        <w:t>T</w:t>
      </w:r>
      <w:r w:rsidRPr="00C96521">
        <w:rPr>
          <w:rFonts w:eastAsia="MS Mincho"/>
          <w:sz w:val="20"/>
          <w:szCs w:val="22"/>
          <w:lang w:val="en-GB" w:eastAsia="ja-JP"/>
        </w:rPr>
        <w:t>urtle</w:t>
      </w:r>
      <w:r w:rsidR="00A922B2">
        <w:rPr>
          <w:rFonts w:eastAsia="MS Mincho"/>
          <w:sz w:val="20"/>
          <w:szCs w:val="22"/>
          <w:lang w:val="en-GB" w:eastAsia="ja-JP"/>
        </w:rPr>
        <w:t xml:space="preserve"> D</w:t>
      </w:r>
      <w:r w:rsidRPr="00C96521">
        <w:rPr>
          <w:rFonts w:eastAsia="MS Mincho"/>
          <w:sz w:val="20"/>
          <w:szCs w:val="22"/>
          <w:lang w:val="en-GB" w:eastAsia="ja-JP"/>
        </w:rPr>
        <w:t>ove (Hanane and Yassin 2017).</w:t>
      </w:r>
    </w:p>
    <w:p w14:paraId="41279C49"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27A378FC" w14:textId="77777777" w:rsidR="00C96521" w:rsidRPr="00C96521" w:rsidRDefault="00C96521" w:rsidP="00C96521">
      <w:pPr>
        <w:keepNext/>
        <w:keepLines/>
        <w:widowControl/>
        <w:autoSpaceDE/>
        <w:autoSpaceDN/>
        <w:adjustRightInd/>
        <w:spacing w:before="200" w:line="276" w:lineRule="auto"/>
        <w:outlineLvl w:val="2"/>
        <w:rPr>
          <w:rFonts w:ascii="Cambria" w:eastAsia="MS Gothic" w:hAnsi="Cambria"/>
          <w:b/>
          <w:bCs/>
          <w:color w:val="4F81BD"/>
          <w:sz w:val="20"/>
          <w:szCs w:val="22"/>
          <w:shd w:val="clear" w:color="auto" w:fill="FFFFFF"/>
          <w:lang w:val="en-GB" w:eastAsia="ja-JP"/>
        </w:rPr>
      </w:pPr>
      <w:bookmarkStart w:id="32" w:name="_Toc478646917"/>
      <w:r w:rsidRPr="00C96521">
        <w:rPr>
          <w:rFonts w:ascii="Cambria" w:eastAsia="MS Gothic" w:hAnsi="Cambria"/>
          <w:b/>
          <w:bCs/>
          <w:color w:val="4F81BD"/>
          <w:sz w:val="20"/>
          <w:szCs w:val="22"/>
          <w:shd w:val="clear" w:color="auto" w:fill="FFFFFF"/>
          <w:lang w:val="en-GB" w:eastAsia="ja-JP"/>
        </w:rPr>
        <w:t>Disease</w:t>
      </w:r>
      <w:bookmarkEnd w:id="32"/>
    </w:p>
    <w:p w14:paraId="45651491" w14:textId="77777777" w:rsidR="00C96521" w:rsidRPr="00C96521" w:rsidRDefault="00C96521" w:rsidP="00C96521">
      <w:pPr>
        <w:widowControl/>
        <w:autoSpaceDE/>
        <w:autoSpaceDN/>
        <w:adjustRightInd/>
        <w:spacing w:line="276" w:lineRule="auto"/>
        <w:rPr>
          <w:rFonts w:eastAsia="MS Mincho" w:cs="Arial"/>
          <w:sz w:val="20"/>
          <w:szCs w:val="22"/>
          <w:lang w:val="en-GB" w:eastAsia="ja-JP"/>
        </w:rPr>
      </w:pPr>
    </w:p>
    <w:p w14:paraId="51D2E148" w14:textId="21ADD3EC" w:rsidR="00C96521" w:rsidRPr="00C96521" w:rsidRDefault="00C96521" w:rsidP="00C96521">
      <w:pPr>
        <w:widowControl/>
        <w:autoSpaceDE/>
        <w:autoSpaceDN/>
        <w:adjustRightInd/>
        <w:spacing w:line="276" w:lineRule="auto"/>
        <w:rPr>
          <w:rFonts w:eastAsia="MS Mincho" w:cs="Arial"/>
          <w:sz w:val="20"/>
          <w:szCs w:val="22"/>
          <w:lang w:val="en-GB" w:eastAsia="ja-JP"/>
        </w:rPr>
      </w:pPr>
      <w:r w:rsidRPr="00C96521">
        <w:rPr>
          <w:rFonts w:eastAsia="MS Mincho" w:cs="Arial"/>
          <w:i/>
          <w:sz w:val="20"/>
          <w:szCs w:val="22"/>
          <w:lang w:val="en-GB" w:eastAsia="ja-JP"/>
        </w:rPr>
        <w:t>Trichomonas gallinae</w:t>
      </w:r>
      <w:r w:rsidRPr="00C96521">
        <w:rPr>
          <w:rFonts w:eastAsia="MS Mincho" w:cs="Arial"/>
          <w:sz w:val="20"/>
          <w:szCs w:val="22"/>
          <w:lang w:val="en-GB" w:eastAsia="ja-JP"/>
        </w:rPr>
        <w:t xml:space="preserve"> is a pathogen in wild birds, linked to recent declines in finch (Fringillidae) populations across Europe (Robinson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2010). Globally, the main hosts for this parasite are species of </w:t>
      </w:r>
      <w:r w:rsidRPr="00C96521">
        <w:rPr>
          <w:rFonts w:eastAsia="MS Mincho" w:cs="Arial"/>
          <w:i/>
          <w:sz w:val="20"/>
          <w:szCs w:val="22"/>
          <w:lang w:val="en-GB" w:eastAsia="ja-JP"/>
        </w:rPr>
        <w:t>Columbidae</w:t>
      </w:r>
      <w:r w:rsidRPr="00C96521">
        <w:rPr>
          <w:rFonts w:eastAsia="MS Mincho" w:cs="Arial"/>
          <w:sz w:val="20"/>
          <w:szCs w:val="22"/>
          <w:lang w:val="en-GB" w:eastAsia="ja-JP"/>
        </w:rPr>
        <w:t xml:space="preserve"> (doves and pigeons). Recent work has shown that almost all wild </w:t>
      </w:r>
      <w:r w:rsidR="00A922B2">
        <w:rPr>
          <w:rFonts w:eastAsia="MS Mincho"/>
          <w:sz w:val="20"/>
          <w:szCs w:val="22"/>
          <w:lang w:val="en-GB" w:eastAsia="ja-JP"/>
        </w:rPr>
        <w:t>T</w:t>
      </w:r>
      <w:r w:rsidR="00A922B2" w:rsidRPr="00C96521">
        <w:rPr>
          <w:rFonts w:eastAsia="MS Mincho"/>
          <w:sz w:val="20"/>
          <w:szCs w:val="22"/>
          <w:lang w:val="en-GB" w:eastAsia="ja-JP"/>
        </w:rPr>
        <w:t>urtle</w:t>
      </w:r>
      <w:r w:rsidR="00A922B2">
        <w:rPr>
          <w:rFonts w:eastAsia="MS Mincho"/>
          <w:sz w:val="20"/>
          <w:szCs w:val="22"/>
          <w:lang w:val="en-GB" w:eastAsia="ja-JP"/>
        </w:rPr>
        <w:t xml:space="preserve"> D</w:t>
      </w:r>
      <w:r w:rsidR="00A922B2" w:rsidRPr="00C96521">
        <w:rPr>
          <w:rFonts w:eastAsia="MS Mincho"/>
          <w:sz w:val="20"/>
          <w:szCs w:val="22"/>
          <w:lang w:val="en-GB" w:eastAsia="ja-JP"/>
        </w:rPr>
        <w:t>ove</w:t>
      </w:r>
      <w:r w:rsidR="00A922B2">
        <w:rPr>
          <w:rFonts w:eastAsia="MS Mincho"/>
          <w:sz w:val="20"/>
          <w:szCs w:val="22"/>
          <w:lang w:val="en-GB" w:eastAsia="ja-JP"/>
        </w:rPr>
        <w:t>s</w:t>
      </w:r>
      <w:r w:rsidR="00A922B2" w:rsidRPr="00C96521">
        <w:rPr>
          <w:rFonts w:eastAsia="MS Mincho"/>
          <w:sz w:val="20"/>
          <w:szCs w:val="22"/>
          <w:lang w:val="en-GB" w:eastAsia="ja-JP"/>
        </w:rPr>
        <w:t xml:space="preserve"> </w:t>
      </w:r>
      <w:r w:rsidRPr="00C96521">
        <w:rPr>
          <w:rFonts w:eastAsia="MS Mincho" w:cs="Arial"/>
          <w:sz w:val="20"/>
          <w:szCs w:val="22"/>
          <w:lang w:val="en-GB" w:eastAsia="ja-JP"/>
        </w:rPr>
        <w:t xml:space="preserve">sampled (France, the UK, Burkina Faso and Senegal) were infected, whether showing clinical signs or not, and that lesions can cause mortality in both adults and nestlings through subsequent starvation and/or suffocation (Lennon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2013, Stockdale </w:t>
      </w:r>
      <w:r w:rsidRPr="00C96521">
        <w:rPr>
          <w:rFonts w:eastAsia="MS Mincho" w:cs="Arial"/>
          <w:i/>
          <w:sz w:val="20"/>
          <w:szCs w:val="22"/>
          <w:lang w:val="en-GB" w:eastAsia="ja-JP"/>
        </w:rPr>
        <w:t xml:space="preserve">et al </w:t>
      </w:r>
      <w:r w:rsidRPr="00C96521">
        <w:rPr>
          <w:rFonts w:eastAsia="MS Mincho" w:cs="Arial"/>
          <w:sz w:val="20"/>
          <w:szCs w:val="22"/>
          <w:lang w:val="en-GB" w:eastAsia="ja-JP"/>
        </w:rPr>
        <w:t xml:space="preserve">2015, Dunn </w:t>
      </w:r>
      <w:r w:rsidRPr="00C96521">
        <w:rPr>
          <w:rFonts w:eastAsia="MS Mincho" w:cs="Arial"/>
          <w:i/>
          <w:sz w:val="20"/>
          <w:szCs w:val="22"/>
          <w:lang w:val="en-GB" w:eastAsia="ja-JP"/>
        </w:rPr>
        <w:t>et al</w:t>
      </w:r>
      <w:r w:rsidRPr="00C96521">
        <w:rPr>
          <w:rFonts w:eastAsia="MS Mincho" w:cs="Arial"/>
          <w:sz w:val="20"/>
          <w:szCs w:val="22"/>
          <w:lang w:val="en-GB" w:eastAsia="ja-JP"/>
        </w:rPr>
        <w:t xml:space="preserve"> 2016b). In the UK, a single strain of </w:t>
      </w:r>
      <w:r w:rsidRPr="00C96521">
        <w:rPr>
          <w:rFonts w:eastAsia="MS Mincho" w:cs="Arial"/>
          <w:i/>
          <w:sz w:val="20"/>
          <w:szCs w:val="22"/>
          <w:lang w:val="en-GB" w:eastAsia="ja-JP"/>
        </w:rPr>
        <w:t>T. gallinae</w:t>
      </w:r>
      <w:r w:rsidRPr="00C96521">
        <w:rPr>
          <w:rFonts w:eastAsia="MS Mincho" w:cs="Arial"/>
          <w:sz w:val="20"/>
          <w:szCs w:val="22"/>
          <w:lang w:val="en-GB" w:eastAsia="ja-JP"/>
        </w:rPr>
        <w:t xml:space="preserve"> has accounted for all known mortality in </w:t>
      </w:r>
      <w:r w:rsidR="00A922B2">
        <w:rPr>
          <w:rFonts w:eastAsia="MS Mincho"/>
          <w:sz w:val="20"/>
          <w:szCs w:val="22"/>
          <w:lang w:val="en-GB" w:eastAsia="ja-JP"/>
        </w:rPr>
        <w:t>T</w:t>
      </w:r>
      <w:r w:rsidR="00A922B2" w:rsidRPr="00C96521">
        <w:rPr>
          <w:rFonts w:eastAsia="MS Mincho"/>
          <w:sz w:val="20"/>
          <w:szCs w:val="22"/>
          <w:lang w:val="en-GB" w:eastAsia="ja-JP"/>
        </w:rPr>
        <w:t>urtle</w:t>
      </w:r>
      <w:r w:rsidR="00A922B2">
        <w:rPr>
          <w:rFonts w:eastAsia="MS Mincho"/>
          <w:sz w:val="20"/>
          <w:szCs w:val="22"/>
          <w:lang w:val="en-GB" w:eastAsia="ja-JP"/>
        </w:rPr>
        <w:t xml:space="preserve"> D</w:t>
      </w:r>
      <w:r w:rsidR="00A922B2" w:rsidRPr="00C96521">
        <w:rPr>
          <w:rFonts w:eastAsia="MS Mincho"/>
          <w:sz w:val="20"/>
          <w:szCs w:val="22"/>
          <w:lang w:val="en-GB" w:eastAsia="ja-JP"/>
        </w:rPr>
        <w:t>ove</w:t>
      </w:r>
      <w:r w:rsidR="00A922B2">
        <w:rPr>
          <w:rFonts w:eastAsia="MS Mincho"/>
          <w:sz w:val="20"/>
          <w:szCs w:val="22"/>
          <w:lang w:val="en-GB" w:eastAsia="ja-JP"/>
        </w:rPr>
        <w:t>s</w:t>
      </w:r>
      <w:r w:rsidRPr="00C96521">
        <w:rPr>
          <w:rFonts w:eastAsia="MS Mincho" w:cs="Arial"/>
          <w:sz w:val="20"/>
          <w:szCs w:val="22"/>
          <w:lang w:val="en-GB" w:eastAsia="ja-JP"/>
        </w:rPr>
        <w:t xml:space="preserve">. This strain is the same as that found in </w:t>
      </w:r>
      <w:r w:rsidR="00A922B2">
        <w:rPr>
          <w:rFonts w:eastAsia="MS Mincho" w:cs="Arial"/>
          <w:sz w:val="20"/>
          <w:szCs w:val="22"/>
          <w:lang w:val="en-GB" w:eastAsia="ja-JP"/>
        </w:rPr>
        <w:t>G</w:t>
      </w:r>
      <w:r w:rsidRPr="00C96521">
        <w:rPr>
          <w:rFonts w:eastAsia="MS Mincho" w:cs="Arial"/>
          <w:sz w:val="20"/>
          <w:szCs w:val="22"/>
          <w:lang w:val="en-GB" w:eastAsia="ja-JP"/>
        </w:rPr>
        <w:t>reenfinches (</w:t>
      </w:r>
      <w:r w:rsidRPr="00C96521">
        <w:rPr>
          <w:rFonts w:eastAsia="MS Mincho" w:cs="Arial"/>
          <w:i/>
          <w:sz w:val="20"/>
          <w:szCs w:val="22"/>
          <w:lang w:val="en-GB" w:eastAsia="ja-JP"/>
        </w:rPr>
        <w:t>Chloris chloris</w:t>
      </w:r>
      <w:r w:rsidRPr="00C96521">
        <w:rPr>
          <w:rFonts w:eastAsia="MS Mincho" w:cs="Arial"/>
          <w:sz w:val="20"/>
          <w:szCs w:val="22"/>
          <w:lang w:val="en-GB" w:eastAsia="ja-JP"/>
        </w:rPr>
        <w:t xml:space="preserve">), and is known to have population-level effects. Wild birds are more likely to be infected where supplementary food is provided for game birds. There is also the possibility of cross-infection from collared doves at foraging sites. The implications (alone or in combination with other threats) for </w:t>
      </w:r>
      <w:r w:rsidR="00A922B2">
        <w:rPr>
          <w:rFonts w:eastAsia="MS Mincho"/>
          <w:sz w:val="20"/>
          <w:szCs w:val="22"/>
          <w:lang w:val="en-GB" w:eastAsia="ja-JP"/>
        </w:rPr>
        <w:t>T</w:t>
      </w:r>
      <w:r w:rsidR="00A922B2" w:rsidRPr="00C96521">
        <w:rPr>
          <w:rFonts w:eastAsia="MS Mincho"/>
          <w:sz w:val="20"/>
          <w:szCs w:val="22"/>
          <w:lang w:val="en-GB" w:eastAsia="ja-JP"/>
        </w:rPr>
        <w:t>urtle</w:t>
      </w:r>
      <w:r w:rsidR="00A922B2">
        <w:rPr>
          <w:rFonts w:eastAsia="MS Mincho"/>
          <w:sz w:val="20"/>
          <w:szCs w:val="22"/>
          <w:lang w:val="en-GB" w:eastAsia="ja-JP"/>
        </w:rPr>
        <w:t xml:space="preserve"> D</w:t>
      </w:r>
      <w:r w:rsidR="00A922B2" w:rsidRPr="00C96521">
        <w:rPr>
          <w:rFonts w:eastAsia="MS Mincho"/>
          <w:sz w:val="20"/>
          <w:szCs w:val="22"/>
          <w:lang w:val="en-GB" w:eastAsia="ja-JP"/>
        </w:rPr>
        <w:t xml:space="preserve">ove </w:t>
      </w:r>
      <w:r w:rsidRPr="00C96521">
        <w:rPr>
          <w:rFonts w:eastAsia="MS Mincho" w:cs="Arial"/>
          <w:sz w:val="20"/>
          <w:szCs w:val="22"/>
          <w:lang w:val="en-GB" w:eastAsia="ja-JP"/>
        </w:rPr>
        <w:t xml:space="preserve">populations are unclear. </w:t>
      </w:r>
    </w:p>
    <w:p w14:paraId="2219627F" w14:textId="77777777" w:rsidR="00C96521" w:rsidRPr="00C96521" w:rsidRDefault="00C96521" w:rsidP="00C96521">
      <w:pPr>
        <w:widowControl/>
        <w:autoSpaceDE/>
        <w:autoSpaceDN/>
        <w:adjustRightInd/>
        <w:spacing w:line="276" w:lineRule="auto"/>
        <w:rPr>
          <w:rFonts w:eastAsia="MS Mincho"/>
          <w:sz w:val="20"/>
          <w:szCs w:val="22"/>
          <w:lang w:val="en-GB" w:eastAsia="ja-JP"/>
        </w:rPr>
        <w:sectPr w:rsidR="00C96521" w:rsidRPr="00C96521" w:rsidSect="00C96521">
          <w:pgSz w:w="11920" w:h="16840"/>
          <w:pgMar w:top="1276" w:right="1300" w:bottom="920" w:left="1300" w:header="730" w:footer="738" w:gutter="0"/>
          <w:cols w:space="720"/>
          <w:docGrid w:linePitch="299"/>
        </w:sectPr>
      </w:pPr>
    </w:p>
    <w:p w14:paraId="42E465B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F1F3DE7"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33" w:name="_Toc478646918"/>
      <w:r w:rsidRPr="00C96521">
        <w:rPr>
          <w:rFonts w:ascii="Cambria" w:eastAsia="MS Gothic" w:hAnsi="Cambria"/>
          <w:b/>
          <w:bCs/>
          <w:color w:val="4F81BD"/>
          <w:sz w:val="26"/>
          <w:szCs w:val="26"/>
          <w:lang w:val="en-GB" w:eastAsia="ja-JP"/>
        </w:rPr>
        <w:t>Problem tree</w:t>
      </w:r>
      <w:bookmarkEnd w:id="33"/>
    </w:p>
    <w:p w14:paraId="7C969CA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903EB43" w14:textId="77777777" w:rsidR="00C96521" w:rsidRPr="00C96521" w:rsidRDefault="00C96521" w:rsidP="00C96521">
      <w:pPr>
        <w:widowControl/>
        <w:autoSpaceDE/>
        <w:autoSpaceDN/>
        <w:adjustRightInd/>
        <w:spacing w:line="276" w:lineRule="auto"/>
        <w:rPr>
          <w:rFonts w:eastAsia="MS Mincho"/>
          <w:sz w:val="20"/>
          <w:szCs w:val="22"/>
          <w:lang w:val="en-GB" w:eastAsia="ja-JP"/>
        </w:rPr>
        <w:sectPr w:rsidR="00C96521" w:rsidRPr="00C96521" w:rsidSect="00C96521">
          <w:pgSz w:w="16840" w:h="11920" w:orient="landscape"/>
          <w:pgMar w:top="1300" w:right="920" w:bottom="1300" w:left="1276" w:header="730" w:footer="738" w:gutter="0"/>
          <w:cols w:space="720"/>
          <w:titlePg/>
          <w:docGrid w:linePitch="299"/>
        </w:sectPr>
      </w:pPr>
      <w:r w:rsidRPr="00C96521">
        <w:rPr>
          <w:rFonts w:eastAsia="MS Mincho"/>
          <w:sz w:val="20"/>
          <w:szCs w:val="22"/>
          <w:lang w:val="en-GB" w:eastAsia="ja-JP"/>
        </w:rPr>
        <w:object w:dxaOrig="7206" w:dyaOrig="5397" w14:anchorId="34925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1.25pt;height:381.75pt" o:ole="">
            <v:imagedata r:id="rId49" o:title=""/>
          </v:shape>
          <o:OLEObject Type="Embed" ProgID="PowerPoint.Slide.12" ShapeID="_x0000_i1025" DrawAspect="Content" ObjectID="_1557742563" r:id="rId50"/>
        </w:object>
      </w:r>
    </w:p>
    <w:p w14:paraId="66653F48"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34" w:name="_Toc478646919"/>
      <w:r w:rsidRPr="00C96521">
        <w:rPr>
          <w:rFonts w:eastAsia="MS Gothic"/>
          <w:b/>
          <w:bCs/>
          <w:color w:val="365F91"/>
          <w:sz w:val="32"/>
          <w:szCs w:val="28"/>
          <w:lang w:val="en-GB" w:eastAsia="ja-JP"/>
        </w:rPr>
        <w:lastRenderedPageBreak/>
        <w:t>Annex 3: JUSTIFICATION OF CONSERVATION and/or MANAGEMENT OBJECTIVES</w:t>
      </w:r>
      <w:bookmarkEnd w:id="34"/>
    </w:p>
    <w:p w14:paraId="5539941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CF3BFAE" w14:textId="5A739360" w:rsidR="00C96521" w:rsidRPr="00C96521" w:rsidRDefault="00C96521" w:rsidP="00C96521">
      <w:pPr>
        <w:widowControl/>
        <w:autoSpaceDE/>
        <w:autoSpaceDN/>
        <w:adjustRightInd/>
        <w:spacing w:line="276" w:lineRule="auto"/>
        <w:rPr>
          <w:rFonts w:eastAsia="MS Mincho"/>
          <w:color w:val="FF0000"/>
          <w:sz w:val="20"/>
          <w:szCs w:val="22"/>
          <w:lang w:val="en-GB" w:eastAsia="ja-JP"/>
        </w:rPr>
      </w:pPr>
      <w:r w:rsidRPr="00C96521">
        <w:rPr>
          <w:rFonts w:eastAsia="MS Mincho"/>
          <w:color w:val="FF0000"/>
          <w:sz w:val="20"/>
          <w:szCs w:val="22"/>
          <w:lang w:val="en-GB" w:eastAsia="ja-JP"/>
        </w:rPr>
        <w:t>[Editors' note: work to develop appropriate ha</w:t>
      </w:r>
      <w:r w:rsidR="00CB5111">
        <w:rPr>
          <w:rFonts w:eastAsia="MS Mincho"/>
          <w:color w:val="FF0000"/>
          <w:sz w:val="20"/>
          <w:szCs w:val="22"/>
          <w:lang w:val="en-GB" w:eastAsia="ja-JP"/>
        </w:rPr>
        <w:t>bitat-based actions for Turtle D</w:t>
      </w:r>
      <w:r w:rsidRPr="00C96521">
        <w:rPr>
          <w:rFonts w:eastAsia="MS Mincho"/>
          <w:color w:val="FF0000"/>
          <w:sz w:val="20"/>
          <w:szCs w:val="22"/>
          <w:lang w:val="en-GB" w:eastAsia="ja-JP"/>
        </w:rPr>
        <w:t>ove is ongoing during the consultation on this first draft]</w:t>
      </w:r>
    </w:p>
    <w:p w14:paraId="4E0D30F4" w14:textId="031CACE8"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35" w:name="_Toc478646920"/>
      <w:r w:rsidRPr="00C96521">
        <w:rPr>
          <w:rFonts w:ascii="Cambria" w:eastAsia="MS Gothic" w:hAnsi="Cambria"/>
          <w:b/>
          <w:bCs/>
          <w:color w:val="4F81BD"/>
          <w:sz w:val="26"/>
          <w:szCs w:val="26"/>
          <w:lang w:val="en-GB" w:eastAsia="ja-JP"/>
        </w:rPr>
        <w:t>Habitat Creation and Management for Turtle</w:t>
      </w:r>
      <w:r w:rsidR="00085172">
        <w:rPr>
          <w:rFonts w:ascii="Cambria" w:eastAsia="MS Gothic" w:hAnsi="Cambria"/>
          <w:b/>
          <w:bCs/>
          <w:color w:val="4F81BD"/>
          <w:sz w:val="26"/>
          <w:szCs w:val="26"/>
          <w:lang w:val="en-GB" w:eastAsia="ja-JP"/>
        </w:rPr>
        <w:t xml:space="preserve"> D</w:t>
      </w:r>
      <w:r w:rsidRPr="00C96521">
        <w:rPr>
          <w:rFonts w:ascii="Cambria" w:eastAsia="MS Gothic" w:hAnsi="Cambria"/>
          <w:b/>
          <w:bCs/>
          <w:color w:val="4F81BD"/>
          <w:sz w:val="26"/>
          <w:szCs w:val="26"/>
          <w:lang w:val="en-GB" w:eastAsia="ja-JP"/>
        </w:rPr>
        <w:t>oves on the European Breeding Grounds: case studies of option research, development and deployment from the UK</w:t>
      </w:r>
      <w:bookmarkEnd w:id="35"/>
    </w:p>
    <w:p w14:paraId="6B1BEA1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8EF5775"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Tony Morris, RSPB</w:t>
      </w:r>
    </w:p>
    <w:p w14:paraId="00FAEFDC" w14:textId="77777777" w:rsidR="00C96521" w:rsidRPr="00C96521" w:rsidRDefault="00C96521" w:rsidP="00C96521">
      <w:pPr>
        <w:widowControl/>
        <w:autoSpaceDE/>
        <w:autoSpaceDN/>
        <w:adjustRightInd/>
        <w:rPr>
          <w:rFonts w:eastAsia="MS Mincho" w:cs="Arial"/>
          <w:sz w:val="20"/>
          <w:szCs w:val="20"/>
          <w:lang w:val="en-GB" w:eastAsia="ja-JP"/>
        </w:rPr>
      </w:pPr>
      <w:r w:rsidRPr="00C96521">
        <w:rPr>
          <w:rFonts w:eastAsia="MS Mincho" w:cs="Arial"/>
          <w:sz w:val="20"/>
          <w:szCs w:val="20"/>
          <w:lang w:val="en-GB" w:eastAsia="ja-JP"/>
        </w:rPr>
        <w:t xml:space="preserve"> </w:t>
      </w:r>
    </w:p>
    <w:p w14:paraId="35D081EC" w14:textId="03676F3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Studies in the UK have shown that European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ove</w:t>
      </w:r>
      <w:r w:rsidR="00085172">
        <w:rPr>
          <w:rFonts w:eastAsia="MS Mincho"/>
          <w:sz w:val="20"/>
          <w:szCs w:val="22"/>
          <w:lang w:val="en-GB" w:eastAsia="ja-JP"/>
        </w:rPr>
        <w:t>s</w:t>
      </w:r>
      <w:r w:rsidR="00085172" w:rsidRPr="00C96521">
        <w:rPr>
          <w:rFonts w:eastAsia="MS Mincho"/>
          <w:sz w:val="20"/>
          <w:szCs w:val="22"/>
          <w:lang w:val="en-GB" w:eastAsia="ja-JP"/>
        </w:rPr>
        <w:t xml:space="preserve"> </w:t>
      </w:r>
      <w:r w:rsidRPr="00C96521">
        <w:rPr>
          <w:rFonts w:eastAsia="MS Mincho"/>
          <w:sz w:val="20"/>
          <w:szCs w:val="22"/>
          <w:lang w:val="en-GB" w:eastAsia="ja-JP"/>
        </w:rPr>
        <w:t xml:space="preserve">have shorter breeding seasons (by 12 days) and only produce one-third to a half of the number of clutches and young per pair than they did in the 1960s (Browne and Aebischer 2003b; 2004). This is almost certainly linked to a shortage of food, particularly during the first part of the breeding season, before the seeds from arable crops become available (Browne and Aebischer 2003a). It is also likely to be the reason that birds have been recorded travelling long distances to find food and for the number of recent records of use of garden bird feeding stations (Browne and Aebischer 2003b, RSPB </w:t>
      </w:r>
      <w:r w:rsidRPr="00C96521">
        <w:rPr>
          <w:rFonts w:eastAsia="MS Mincho"/>
          <w:i/>
          <w:sz w:val="20"/>
          <w:szCs w:val="22"/>
          <w:lang w:val="en-GB" w:eastAsia="ja-JP"/>
        </w:rPr>
        <w:t>unpublished data</w:t>
      </w:r>
      <w:r w:rsidRPr="00C96521">
        <w:rPr>
          <w:rFonts w:eastAsia="MS Mincho"/>
          <w:sz w:val="20"/>
          <w:szCs w:val="22"/>
          <w:lang w:val="en-GB" w:eastAsia="ja-JP"/>
        </w:rPr>
        <w:t>). This has led to a truncation of the breeding season, with an earlier departure date in autumn, so that pairs now average 1.5-2.1 clutches per season, as opposed to 3 in the 1960s. This has significantly reduced the number of chicks fledged per pair per breeding season, from 2.1 in the 1960s to 1.3 in the late 1990s (Browne and Aebischer 2004). This change alone largely accounts for the observed decline in the UK breeding population, and therefore the underlying cause is primarily changes in farming practices, especially those which have reduced the abundance and diversity of arable flora, such as the increased use of agro-chemicals and the switch from spring to autumn-sowing of crops.</w:t>
      </w:r>
    </w:p>
    <w:p w14:paraId="1B14FAA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EE0954A" w14:textId="76AA409D"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English case studies on Agri-environment Option research, development, and deployment (via Agri-environment Schemes) illustrate some of the management techniques that may provide suitable nesting and foraging habitat. Since 2015, a package of Agri-environment Options for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ove</w:t>
      </w:r>
      <w:r w:rsidR="00085172">
        <w:rPr>
          <w:rFonts w:eastAsia="MS Mincho"/>
          <w:sz w:val="20"/>
          <w:szCs w:val="22"/>
          <w:lang w:val="en-GB" w:eastAsia="ja-JP"/>
        </w:rPr>
        <w:t>s</w:t>
      </w:r>
      <w:r w:rsidR="00085172" w:rsidRPr="00C96521">
        <w:rPr>
          <w:rFonts w:eastAsia="MS Mincho"/>
          <w:sz w:val="20"/>
          <w:szCs w:val="22"/>
          <w:lang w:val="en-GB" w:eastAsia="ja-JP"/>
        </w:rPr>
        <w:t xml:space="preserve"> </w:t>
      </w:r>
      <w:r w:rsidRPr="00C96521">
        <w:rPr>
          <w:rFonts w:eastAsia="MS Mincho"/>
          <w:sz w:val="20"/>
          <w:szCs w:val="22"/>
          <w:lang w:val="en-GB" w:eastAsia="ja-JP"/>
        </w:rPr>
        <w:t xml:space="preserve">has been available in the </w:t>
      </w:r>
      <w:r w:rsidRPr="00C96521">
        <w:rPr>
          <w:rFonts w:eastAsia="MS Mincho"/>
          <w:i/>
          <w:sz w:val="20"/>
          <w:szCs w:val="22"/>
          <w:lang w:val="en-GB" w:eastAsia="ja-JP"/>
        </w:rPr>
        <w:t>Higher Tier</w:t>
      </w:r>
      <w:r w:rsidRPr="00C96521">
        <w:rPr>
          <w:rFonts w:eastAsia="MS Mincho"/>
          <w:sz w:val="20"/>
          <w:szCs w:val="22"/>
          <w:lang w:val="en-GB" w:eastAsia="ja-JP"/>
        </w:rPr>
        <w:t xml:space="preserve"> of the Countryside Stewardship Scheme to qualifying landowners/managers in England. Some of these require further development to </w:t>
      </w:r>
      <w:r w:rsidR="00085172" w:rsidRPr="00C96521">
        <w:rPr>
          <w:rFonts w:eastAsia="MS Mincho"/>
          <w:sz w:val="20"/>
          <w:szCs w:val="22"/>
          <w:lang w:val="en-GB" w:eastAsia="ja-JP"/>
        </w:rPr>
        <w:t>optimi</w:t>
      </w:r>
      <w:r w:rsidR="00085172">
        <w:rPr>
          <w:rFonts w:eastAsia="MS Mincho"/>
          <w:sz w:val="20"/>
          <w:szCs w:val="22"/>
          <w:lang w:val="en-GB" w:eastAsia="ja-JP"/>
        </w:rPr>
        <w:t>z</w:t>
      </w:r>
      <w:r w:rsidR="00085172" w:rsidRPr="00C96521">
        <w:rPr>
          <w:rFonts w:eastAsia="MS Mincho"/>
          <w:sz w:val="20"/>
          <w:szCs w:val="22"/>
          <w:lang w:val="en-GB" w:eastAsia="ja-JP"/>
        </w:rPr>
        <w:t xml:space="preserve">e </w:t>
      </w:r>
      <w:r w:rsidRPr="00C96521">
        <w:rPr>
          <w:rFonts w:eastAsia="MS Mincho"/>
          <w:sz w:val="20"/>
          <w:szCs w:val="22"/>
          <w:lang w:val="en-GB" w:eastAsia="ja-JP"/>
        </w:rPr>
        <w:t>their potential, but nevertheless they provide case studies into some of the pitfalls of habitat creation. Other habitat types of potential value (e</w:t>
      </w:r>
      <w:r w:rsidR="00085172">
        <w:rPr>
          <w:rFonts w:eastAsia="MS Mincho"/>
          <w:sz w:val="20"/>
          <w:szCs w:val="22"/>
          <w:lang w:val="en-GB" w:eastAsia="ja-JP"/>
        </w:rPr>
        <w:t>.</w:t>
      </w:r>
      <w:r w:rsidRPr="00C96521">
        <w:rPr>
          <w:rFonts w:eastAsia="MS Mincho"/>
          <w:sz w:val="20"/>
          <w:szCs w:val="22"/>
          <w:lang w:val="en-GB" w:eastAsia="ja-JP"/>
        </w:rPr>
        <w:t>g</w:t>
      </w:r>
      <w:r w:rsidR="00085172">
        <w:rPr>
          <w:rFonts w:eastAsia="MS Mincho"/>
          <w:sz w:val="20"/>
          <w:szCs w:val="22"/>
          <w:lang w:val="en-GB" w:eastAsia="ja-JP"/>
        </w:rPr>
        <w:t>.</w:t>
      </w:r>
      <w:r w:rsidRPr="00C96521">
        <w:rPr>
          <w:rFonts w:eastAsia="MS Mincho"/>
          <w:sz w:val="20"/>
          <w:szCs w:val="22"/>
          <w:lang w:val="en-GB" w:eastAsia="ja-JP"/>
        </w:rPr>
        <w:t xml:space="preserve"> flower-rich low-input grasslands) require research and development before there is confidence in their value to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ove</w:t>
      </w:r>
      <w:r w:rsidR="00085172">
        <w:rPr>
          <w:rFonts w:eastAsia="MS Mincho"/>
          <w:sz w:val="20"/>
          <w:szCs w:val="22"/>
          <w:lang w:val="en-GB" w:eastAsia="ja-JP"/>
        </w:rPr>
        <w:t>s</w:t>
      </w:r>
      <w:r w:rsidRPr="00C96521">
        <w:rPr>
          <w:rFonts w:eastAsia="MS Mincho"/>
          <w:sz w:val="20"/>
          <w:szCs w:val="22"/>
          <w:lang w:val="en-GB" w:eastAsia="ja-JP"/>
        </w:rPr>
        <w:t xml:space="preserve">. In all cases, the techniques have only been trialled (and in some cases rolled out) in England, and further development is needed to determine what forms of habitat management are most appropriate to different areas of Europe. These may vary considerably, for example due to the factors limiting the population, local differences in vegetation, soil, climatic conditions and land management practices that determine suitability and practicality, and policy mechanisms that affect the ability to deploy measures. </w:t>
      </w:r>
    </w:p>
    <w:p w14:paraId="58CBE95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21C35D9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Nesting Habitat</w:t>
      </w:r>
    </w:p>
    <w:p w14:paraId="5EEA190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5D03EEC" w14:textId="7C7DACC9" w:rsidR="00C96521" w:rsidRPr="00C96521" w:rsidRDefault="00085172" w:rsidP="00C96521">
      <w:pPr>
        <w:widowControl/>
        <w:autoSpaceDE/>
        <w:autoSpaceDN/>
        <w:adjustRightInd/>
        <w:spacing w:line="276" w:lineRule="auto"/>
        <w:rPr>
          <w:rFonts w:eastAsia="MS Mincho"/>
          <w:sz w:val="20"/>
          <w:szCs w:val="22"/>
          <w:lang w:val="en-GB" w:eastAsia="ja-JP"/>
        </w:rPr>
      </w:pPr>
      <w:r>
        <w:rPr>
          <w:rFonts w:eastAsia="MS Mincho"/>
          <w:sz w:val="20"/>
          <w:szCs w:val="22"/>
          <w:lang w:val="en-GB" w:eastAsia="ja-JP"/>
        </w:rPr>
        <w:t>T</w:t>
      </w:r>
      <w:r w:rsidRPr="00C96521">
        <w:rPr>
          <w:rFonts w:eastAsia="MS Mincho"/>
          <w:sz w:val="20"/>
          <w:szCs w:val="22"/>
          <w:lang w:val="en-GB" w:eastAsia="ja-JP"/>
        </w:rPr>
        <w:t>urtle</w:t>
      </w:r>
      <w:r>
        <w:rPr>
          <w:rFonts w:eastAsia="MS Mincho"/>
          <w:sz w:val="20"/>
          <w:szCs w:val="22"/>
          <w:lang w:val="en-GB" w:eastAsia="ja-JP"/>
        </w:rPr>
        <w:t xml:space="preserve"> D</w:t>
      </w:r>
      <w:r w:rsidRPr="00C96521">
        <w:rPr>
          <w:rFonts w:eastAsia="MS Mincho"/>
          <w:sz w:val="20"/>
          <w:szCs w:val="22"/>
          <w:lang w:val="en-GB" w:eastAsia="ja-JP"/>
        </w:rPr>
        <w:t>ove</w:t>
      </w:r>
      <w:r>
        <w:rPr>
          <w:rFonts w:eastAsia="MS Mincho"/>
          <w:sz w:val="20"/>
          <w:szCs w:val="22"/>
          <w:lang w:val="en-GB" w:eastAsia="ja-JP"/>
        </w:rPr>
        <w:t xml:space="preserve">s </w:t>
      </w:r>
      <w:r w:rsidR="00C96521" w:rsidRPr="00C96521">
        <w:rPr>
          <w:rFonts w:eastAsia="MS Mincho"/>
          <w:sz w:val="20"/>
          <w:szCs w:val="22"/>
          <w:lang w:val="en-GB" w:eastAsia="ja-JP"/>
        </w:rPr>
        <w:t>select areas of scrub or hedgerows at least 4m wide and at least 3m tall, especially those containing standard trees for song posts and nest placement (Figure 16). Scrubby edges to banks, watercourses, reservoirs, gravel pits and ponds appear to be particularly selected, although it is unclear whether these wet-edge habitats are favoured solely because they provide good, overgrown nesting habitat (because they are difficult to access to cut and remove wooded vegetation), or because they also provide additional resources, most likely, drinking water (Dunn and Morris 2012).</w:t>
      </w:r>
    </w:p>
    <w:p w14:paraId="310AC1D8"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w:t>
      </w:r>
    </w:p>
    <w:p w14:paraId="04BB5AB5" w14:textId="4D8B194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the UK, many species of tree or shrub are used as nest sites, but there is some evidence of selection for thorny shrubs such as </w:t>
      </w:r>
      <w:r w:rsidRPr="00C96521">
        <w:rPr>
          <w:rFonts w:eastAsia="MS Mincho"/>
          <w:i/>
          <w:sz w:val="20"/>
          <w:szCs w:val="22"/>
          <w:lang w:val="en-GB" w:eastAsia="ja-JP"/>
        </w:rPr>
        <w:t>Crataegus</w:t>
      </w:r>
      <w:r w:rsidRPr="00C96521">
        <w:rPr>
          <w:rFonts w:eastAsia="MS Mincho"/>
          <w:sz w:val="20"/>
          <w:szCs w:val="22"/>
          <w:lang w:val="en-GB" w:eastAsia="ja-JP"/>
        </w:rPr>
        <w:t xml:space="preserve"> and </w:t>
      </w:r>
      <w:r w:rsidRPr="00C96521">
        <w:rPr>
          <w:rFonts w:eastAsia="MS Mincho"/>
          <w:i/>
          <w:sz w:val="20"/>
          <w:szCs w:val="22"/>
          <w:lang w:val="en-GB" w:eastAsia="ja-JP"/>
        </w:rPr>
        <w:t>Prunus</w:t>
      </w:r>
      <w:r w:rsidRPr="00C96521">
        <w:rPr>
          <w:rFonts w:eastAsia="MS Mincho"/>
          <w:sz w:val="20"/>
          <w:szCs w:val="22"/>
          <w:lang w:val="en-GB" w:eastAsia="ja-JP"/>
        </w:rPr>
        <w:t xml:space="preserve"> </w:t>
      </w:r>
      <w:r w:rsidRPr="00C96521">
        <w:rPr>
          <w:rFonts w:eastAsia="MS Mincho"/>
          <w:i/>
          <w:sz w:val="20"/>
          <w:szCs w:val="22"/>
          <w:lang w:val="en-GB" w:eastAsia="ja-JP"/>
        </w:rPr>
        <w:t>spp</w:t>
      </w:r>
      <w:r w:rsidRPr="00C96521">
        <w:rPr>
          <w:rFonts w:eastAsia="MS Mincho"/>
          <w:sz w:val="20"/>
          <w:szCs w:val="22"/>
          <w:lang w:val="en-GB" w:eastAsia="ja-JP"/>
        </w:rPr>
        <w:t xml:space="preserve">, often covered with climbers such as </w:t>
      </w:r>
      <w:r w:rsidRPr="00C96521">
        <w:rPr>
          <w:rFonts w:eastAsia="MS Mincho"/>
          <w:i/>
          <w:sz w:val="20"/>
          <w:szCs w:val="22"/>
          <w:lang w:val="en-GB" w:eastAsia="ja-JP"/>
        </w:rPr>
        <w:lastRenderedPageBreak/>
        <w:t>Rosaceae</w:t>
      </w:r>
      <w:r w:rsidRPr="00C96521">
        <w:rPr>
          <w:rFonts w:eastAsia="MS Mincho"/>
          <w:sz w:val="20"/>
          <w:szCs w:val="22"/>
          <w:lang w:val="en-GB" w:eastAsia="ja-JP"/>
        </w:rPr>
        <w:t xml:space="preserve">, </w:t>
      </w:r>
      <w:r w:rsidRPr="00C96521">
        <w:rPr>
          <w:rFonts w:eastAsia="MS Mincho"/>
          <w:i/>
          <w:sz w:val="20"/>
          <w:szCs w:val="22"/>
          <w:lang w:val="en-GB" w:eastAsia="ja-JP"/>
        </w:rPr>
        <w:t>Rubus</w:t>
      </w:r>
      <w:r w:rsidRPr="00C96521">
        <w:rPr>
          <w:rFonts w:eastAsia="MS Mincho"/>
          <w:sz w:val="20"/>
          <w:szCs w:val="22"/>
          <w:lang w:val="en-GB" w:eastAsia="ja-JP"/>
        </w:rPr>
        <w:t xml:space="preserve">, </w:t>
      </w:r>
      <w:r w:rsidRPr="00C96521">
        <w:rPr>
          <w:rFonts w:eastAsia="MS Mincho"/>
          <w:i/>
          <w:sz w:val="20"/>
          <w:szCs w:val="22"/>
          <w:lang w:val="en-GB" w:eastAsia="ja-JP"/>
        </w:rPr>
        <w:t>Hedera</w:t>
      </w:r>
      <w:r w:rsidRPr="00C96521">
        <w:rPr>
          <w:rFonts w:eastAsia="MS Mincho"/>
          <w:sz w:val="20"/>
          <w:szCs w:val="22"/>
          <w:lang w:val="en-GB" w:eastAsia="ja-JP"/>
        </w:rPr>
        <w:t xml:space="preserve"> and </w:t>
      </w:r>
      <w:r w:rsidRPr="00C96521">
        <w:rPr>
          <w:rFonts w:eastAsia="MS Mincho"/>
          <w:i/>
          <w:sz w:val="20"/>
          <w:szCs w:val="22"/>
          <w:lang w:val="en-GB" w:eastAsia="ja-JP"/>
        </w:rPr>
        <w:t>Caprifoliaceae</w:t>
      </w:r>
      <w:r w:rsidRPr="00C96521">
        <w:rPr>
          <w:rFonts w:eastAsia="MS Mincho"/>
          <w:sz w:val="20"/>
          <w:szCs w:val="22"/>
          <w:lang w:val="en-GB" w:eastAsia="ja-JP"/>
        </w:rPr>
        <w:t xml:space="preserve"> </w:t>
      </w:r>
      <w:r w:rsidRPr="00C96521">
        <w:rPr>
          <w:rFonts w:eastAsia="MS Mincho"/>
          <w:i/>
          <w:sz w:val="20"/>
          <w:szCs w:val="22"/>
          <w:lang w:val="en-GB" w:eastAsia="ja-JP"/>
        </w:rPr>
        <w:t>spp</w:t>
      </w:r>
      <w:r w:rsidRPr="00C96521">
        <w:rPr>
          <w:rFonts w:eastAsia="MS Mincho"/>
          <w:sz w:val="20"/>
          <w:szCs w:val="22"/>
          <w:lang w:val="en-GB" w:eastAsia="ja-JP"/>
        </w:rPr>
        <w:t xml:space="preserve">. RSPB research (2011-14) indicates a narrower range of nesting habitats than reported in previous studies such as Browne and Aebischer (2003a), which detailed use of a wider range of habitats, including coniferous trees, old orchards and shorter, frequently cut hedgerows. This narrowing of the range of nesting habitats may reflect a relaxation of density-dependent pressures as the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 xml:space="preserve">ove </w:t>
      </w:r>
      <w:r w:rsidRPr="00C96521">
        <w:rPr>
          <w:rFonts w:eastAsia="MS Mincho"/>
          <w:sz w:val="20"/>
          <w:szCs w:val="22"/>
          <w:lang w:val="en-GB" w:eastAsia="ja-JP"/>
        </w:rPr>
        <w:t>population declines, leading to the abandonment of more marginal habitats and greater selection of “preferred” habitats types that are no longer limited.</w:t>
      </w:r>
    </w:p>
    <w:p w14:paraId="2293801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FA4A308"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drawing>
          <wp:inline distT="0" distB="0" distL="0" distR="0" wp14:anchorId="2B0A89D7" wp14:editId="4E56D05A">
            <wp:extent cx="2813755" cy="2088000"/>
            <wp:effectExtent l="19050" t="0" r="5645" b="0"/>
            <wp:docPr id="8" name="Picture 3" descr="F7_3_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7_3_block.jpg"/>
                    <pic:cNvPicPr>
                      <a:picLocks noChangeAspect="1" noChangeArrowheads="1"/>
                    </pic:cNvPicPr>
                  </pic:nvPicPr>
                  <pic:blipFill>
                    <a:blip r:embed="rId51" cstate="print"/>
                    <a:srcRect t="18739" b="25000"/>
                    <a:stretch>
                      <a:fillRect/>
                    </a:stretch>
                  </pic:blipFill>
                  <pic:spPr bwMode="auto">
                    <a:xfrm>
                      <a:off x="0" y="0"/>
                      <a:ext cx="2813755" cy="2088000"/>
                    </a:xfrm>
                    <a:prstGeom prst="rect">
                      <a:avLst/>
                    </a:prstGeom>
                    <a:noFill/>
                    <a:ln w="9525">
                      <a:noFill/>
                      <a:miter lim="800000"/>
                      <a:headEnd/>
                      <a:tailEnd/>
                    </a:ln>
                  </pic:spPr>
                </pic:pic>
              </a:graphicData>
            </a:graphic>
          </wp:inline>
        </w:drawing>
      </w:r>
      <w:r w:rsidRPr="00C96521">
        <w:rPr>
          <w:rFonts w:eastAsia="MS Mincho"/>
          <w:noProof/>
          <w:sz w:val="20"/>
          <w:szCs w:val="22"/>
        </w:rPr>
        <w:drawing>
          <wp:inline distT="0" distB="0" distL="0" distR="0" wp14:anchorId="7383DEF7" wp14:editId="250D9481">
            <wp:extent cx="2847613" cy="2088000"/>
            <wp:effectExtent l="19050" t="0" r="0" b="0"/>
            <wp:docPr id="10" name="Picture 2" descr="TD scru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D scrub1"/>
                    <pic:cNvPicPr>
                      <a:picLocks noChangeAspect="1" noChangeArrowheads="1"/>
                    </pic:cNvPicPr>
                  </pic:nvPicPr>
                  <pic:blipFill>
                    <a:blip r:embed="rId52" cstate="print"/>
                    <a:srcRect/>
                    <a:stretch>
                      <a:fillRect/>
                    </a:stretch>
                  </pic:blipFill>
                  <pic:spPr bwMode="auto">
                    <a:xfrm>
                      <a:off x="0" y="0"/>
                      <a:ext cx="2847613" cy="2088000"/>
                    </a:xfrm>
                    <a:prstGeom prst="rect">
                      <a:avLst/>
                    </a:prstGeom>
                    <a:noFill/>
                    <a:ln w="9525">
                      <a:noFill/>
                      <a:miter lim="800000"/>
                      <a:headEnd/>
                      <a:tailEnd/>
                    </a:ln>
                  </pic:spPr>
                </pic:pic>
              </a:graphicData>
            </a:graphic>
          </wp:inline>
        </w:drawing>
      </w:r>
    </w:p>
    <w:p w14:paraId="3A0F2CBE"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Figure 16. A typical hedgerow and patch of scrub used by turtle-doves for song-posts and nesting.</w:t>
      </w:r>
    </w:p>
    <w:p w14:paraId="73344FC2"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38E4C468" w14:textId="7E2062B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Nesting habitat alone is thought unlikely to be limiting the population, as nesting areas previously utili</w:t>
      </w:r>
      <w:r w:rsidR="00085172">
        <w:rPr>
          <w:rFonts w:eastAsia="MS Mincho"/>
          <w:sz w:val="20"/>
          <w:szCs w:val="22"/>
          <w:lang w:val="en-GB" w:eastAsia="ja-JP"/>
        </w:rPr>
        <w:t>z</w:t>
      </w:r>
      <w:r w:rsidRPr="00C96521">
        <w:rPr>
          <w:rFonts w:eastAsia="MS Mincho"/>
          <w:sz w:val="20"/>
          <w:szCs w:val="22"/>
          <w:lang w:val="en-GB" w:eastAsia="ja-JP"/>
        </w:rPr>
        <w:t xml:space="preserve">ed by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ove</w:t>
      </w:r>
      <w:r w:rsidR="00085172">
        <w:rPr>
          <w:rFonts w:eastAsia="MS Mincho"/>
          <w:sz w:val="20"/>
          <w:szCs w:val="22"/>
          <w:lang w:val="en-GB" w:eastAsia="ja-JP"/>
        </w:rPr>
        <w:t>s</w:t>
      </w:r>
      <w:r w:rsidR="00085172" w:rsidRPr="00C96521">
        <w:rPr>
          <w:rFonts w:eastAsia="MS Mincho"/>
          <w:sz w:val="20"/>
          <w:szCs w:val="22"/>
          <w:lang w:val="en-GB" w:eastAsia="ja-JP"/>
        </w:rPr>
        <w:t xml:space="preserve"> </w:t>
      </w:r>
      <w:r w:rsidRPr="00C96521">
        <w:rPr>
          <w:rFonts w:eastAsia="MS Mincho"/>
          <w:sz w:val="20"/>
          <w:szCs w:val="22"/>
          <w:lang w:val="en-GB" w:eastAsia="ja-JP"/>
        </w:rPr>
        <w:t>where habitat has not altered are no longer used due to a reduced density of breeding birds (Dunn and Morris 2012). However, lack of suitable nesting habitat may be important at a local scale, and a combination of nesting and foraging habitat together in close proximity is known to be important for recently fledged young.</w:t>
      </w:r>
    </w:p>
    <w:p w14:paraId="3B4F983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78FF017" w14:textId="3AF611C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Table 5 summari</w:t>
      </w:r>
      <w:r w:rsidR="00085172">
        <w:rPr>
          <w:rFonts w:eastAsia="MS Mincho"/>
          <w:sz w:val="20"/>
          <w:szCs w:val="22"/>
          <w:lang w:val="en-GB" w:eastAsia="ja-JP"/>
        </w:rPr>
        <w:t>z</w:t>
      </w:r>
      <w:r w:rsidRPr="00C96521">
        <w:rPr>
          <w:rFonts w:eastAsia="MS Mincho"/>
          <w:sz w:val="20"/>
          <w:szCs w:val="22"/>
          <w:lang w:val="en-GB" w:eastAsia="ja-JP"/>
        </w:rPr>
        <w:t xml:space="preserve">es the nesting habitat requirements of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Doves</w:t>
      </w:r>
      <w:r w:rsidRPr="00C96521">
        <w:rPr>
          <w:rFonts w:eastAsia="MS Mincho"/>
          <w:sz w:val="20"/>
          <w:szCs w:val="22"/>
          <w:lang w:val="en-GB" w:eastAsia="ja-JP"/>
        </w:rPr>
        <w:t xml:space="preserve">and how these can be met by the Countryside Stewardship Agri-environment Options tailored for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Doves</w:t>
      </w:r>
      <w:r w:rsidRPr="00C96521">
        <w:rPr>
          <w:rFonts w:eastAsia="MS Mincho"/>
          <w:sz w:val="20"/>
          <w:szCs w:val="22"/>
          <w:lang w:val="en-GB" w:eastAsia="ja-JP"/>
        </w:rPr>
        <w:t xml:space="preserve">. Depending on the character of the hedgerows, landowners are advised to consider allowing hedges to reach and then maintain a minimum height of 3m and a minimum width of 4m for at least some of the hedgerows where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ove</w:t>
      </w:r>
      <w:r w:rsidR="00085172">
        <w:rPr>
          <w:rFonts w:eastAsia="MS Mincho"/>
          <w:sz w:val="20"/>
          <w:szCs w:val="22"/>
          <w:lang w:val="en-GB" w:eastAsia="ja-JP"/>
        </w:rPr>
        <w:t>s</w:t>
      </w:r>
      <w:r w:rsidR="00085172" w:rsidRPr="00C96521">
        <w:rPr>
          <w:rFonts w:eastAsia="MS Mincho"/>
          <w:sz w:val="20"/>
          <w:szCs w:val="22"/>
          <w:lang w:val="en-GB" w:eastAsia="ja-JP"/>
        </w:rPr>
        <w:t xml:space="preserve"> </w:t>
      </w:r>
      <w:r w:rsidRPr="00C96521">
        <w:rPr>
          <w:rFonts w:eastAsia="MS Mincho"/>
          <w:sz w:val="20"/>
          <w:szCs w:val="22"/>
          <w:lang w:val="en-GB" w:eastAsia="ja-JP"/>
        </w:rPr>
        <w:t xml:space="preserve">are likely to breed as part of option </w:t>
      </w:r>
      <w:r w:rsidRPr="00C96521">
        <w:rPr>
          <w:rFonts w:eastAsia="MS Mincho"/>
          <w:i/>
          <w:sz w:val="20"/>
          <w:szCs w:val="22"/>
          <w:lang w:val="en-GB" w:eastAsia="ja-JP"/>
        </w:rPr>
        <w:t xml:space="preserve">BE3 Management of Hedgerows. </w:t>
      </w:r>
      <w:r w:rsidRPr="00C96521">
        <w:rPr>
          <w:rFonts w:eastAsia="MS Mincho"/>
          <w:sz w:val="20"/>
          <w:szCs w:val="22"/>
          <w:lang w:val="en-GB" w:eastAsia="ja-JP"/>
        </w:rPr>
        <w:t>As scrub typically matures in 15 years, it is recommended to cut one-fifteenth of the scrub every year or one fifth every third year when using Countryside Stewardship options WD7 and WD8, to restore and maintain a varied age structure, including mature areas suitable for nesting.</w:t>
      </w:r>
    </w:p>
    <w:p w14:paraId="67FA885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14D06F7"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Table 5. Nesting habitat requirements of turtle-doves and how these can be met by Countryside Stewardship Agri-environment Options.</w:t>
      </w:r>
    </w:p>
    <w:p w14:paraId="5310DC4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9"/>
        <w:gridCol w:w="1701"/>
        <w:gridCol w:w="3147"/>
      </w:tblGrid>
      <w:tr w:rsidR="00C96521" w:rsidRPr="00C96521" w14:paraId="61B3A50E" w14:textId="77777777" w:rsidTr="00C96521">
        <w:trPr>
          <w:trHeight w:val="866"/>
        </w:trPr>
        <w:tc>
          <w:tcPr>
            <w:tcW w:w="4219" w:type="dxa"/>
          </w:tcPr>
          <w:p w14:paraId="48DFE351"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Resource requirement</w:t>
            </w:r>
          </w:p>
        </w:tc>
        <w:tc>
          <w:tcPr>
            <w:tcW w:w="1701" w:type="dxa"/>
          </w:tcPr>
          <w:p w14:paraId="50206B7F"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Minimum quantity</w:t>
            </w:r>
            <w:r w:rsidRPr="00C96521">
              <w:rPr>
                <w:rFonts w:eastAsia="MS Mincho"/>
                <w:sz w:val="20"/>
                <w:szCs w:val="22"/>
                <w:lang w:val="en-GB" w:eastAsia="ja-JP"/>
              </w:rPr>
              <w:t xml:space="preserve"> </w:t>
            </w:r>
            <w:r w:rsidRPr="00C96521">
              <w:rPr>
                <w:rFonts w:eastAsia="MS Mincho"/>
                <w:i/>
                <w:sz w:val="20"/>
                <w:szCs w:val="22"/>
                <w:lang w:val="en-GB" w:eastAsia="ja-JP"/>
              </w:rPr>
              <w:t>(per 100 ha of farmed land)</w:t>
            </w:r>
          </w:p>
        </w:tc>
        <w:tc>
          <w:tcPr>
            <w:tcW w:w="3147" w:type="dxa"/>
          </w:tcPr>
          <w:p w14:paraId="06C8D583"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Relevant Countryside Stewardship Options</w:t>
            </w:r>
          </w:p>
        </w:tc>
      </w:tr>
      <w:tr w:rsidR="00C96521" w:rsidRPr="00C96521" w14:paraId="4237D902" w14:textId="77777777" w:rsidTr="00C96521">
        <w:trPr>
          <w:trHeight w:val="1408"/>
        </w:trPr>
        <w:tc>
          <w:tcPr>
            <w:tcW w:w="4219" w:type="dxa"/>
          </w:tcPr>
          <w:p w14:paraId="43CFF934"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Wide hedgerows or areas of scrub, at least 3m tall, especially those with thorny shrubs and climbers.</w:t>
            </w:r>
          </w:p>
          <w:p w14:paraId="1C98280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444F3E8"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A pond or other source of accessible water on the holding or nearby also benefits turtle-doves.</w:t>
            </w:r>
          </w:p>
        </w:tc>
        <w:tc>
          <w:tcPr>
            <w:tcW w:w="1701" w:type="dxa"/>
          </w:tcPr>
          <w:p w14:paraId="344DD0D1" w14:textId="43800B7D"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500m–2</w:t>
            </w:r>
            <w:r w:rsidR="00085172">
              <w:rPr>
                <w:rFonts w:eastAsia="MS Mincho"/>
                <w:sz w:val="20"/>
                <w:szCs w:val="22"/>
                <w:lang w:val="en-GB" w:eastAsia="ja-JP"/>
              </w:rPr>
              <w:t>,</w:t>
            </w:r>
            <w:r w:rsidRPr="00C96521">
              <w:rPr>
                <w:rFonts w:eastAsia="MS Mincho"/>
                <w:sz w:val="20"/>
                <w:szCs w:val="22"/>
                <w:lang w:val="en-GB" w:eastAsia="ja-JP"/>
              </w:rPr>
              <w:t xml:space="preserve">000m </w:t>
            </w:r>
          </w:p>
        </w:tc>
        <w:tc>
          <w:tcPr>
            <w:tcW w:w="3147" w:type="dxa"/>
          </w:tcPr>
          <w:p w14:paraId="2850AAFC"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BE3 Management of Hedgerows.</w:t>
            </w:r>
          </w:p>
          <w:p w14:paraId="39BC3CD8"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WD7 Management of Successional Areas and Scrub.</w:t>
            </w:r>
          </w:p>
          <w:p w14:paraId="05770643"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WD8 Creation of Successional Areas and Scrub.</w:t>
            </w:r>
          </w:p>
        </w:tc>
      </w:tr>
    </w:tbl>
    <w:p w14:paraId="738D030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3BB2E6B" w14:textId="6EEF01D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An evaluation of 20 Higher-tier Agri-environment Agreements with a pilot version of a package of measures for turtle-dove, which included both nesting and foraging habitats on the same site, showed that 58</w:t>
      </w:r>
      <w:r w:rsidR="00085172">
        <w:rPr>
          <w:rFonts w:eastAsia="MS Mincho"/>
          <w:sz w:val="20"/>
          <w:szCs w:val="22"/>
          <w:lang w:val="en-GB" w:eastAsia="ja-JP"/>
        </w:rPr>
        <w:t xml:space="preserve"> per cent</w:t>
      </w:r>
      <w:r w:rsidR="00085172" w:rsidRPr="00C96521">
        <w:rPr>
          <w:rFonts w:eastAsia="MS Mincho"/>
          <w:sz w:val="20"/>
          <w:szCs w:val="22"/>
          <w:lang w:val="en-GB" w:eastAsia="ja-JP"/>
        </w:rPr>
        <w:t xml:space="preserve"> </w:t>
      </w:r>
      <w:r w:rsidRPr="00C96521">
        <w:rPr>
          <w:rFonts w:eastAsia="MS Mincho"/>
          <w:sz w:val="20"/>
          <w:szCs w:val="22"/>
          <w:lang w:val="en-GB" w:eastAsia="ja-JP"/>
        </w:rPr>
        <w:t xml:space="preserve">of evaluated sections of tall hedges and scrub potentially provided suitable nesting </w:t>
      </w:r>
      <w:r w:rsidRPr="00C96521">
        <w:rPr>
          <w:rFonts w:eastAsia="MS Mincho"/>
          <w:sz w:val="20"/>
          <w:szCs w:val="22"/>
          <w:lang w:val="en-GB" w:eastAsia="ja-JP"/>
        </w:rPr>
        <w:lastRenderedPageBreak/>
        <w:t>sites nesting habitat for turtle-doves: sections were at least 3</w:t>
      </w:r>
      <w:r w:rsidR="00085172">
        <w:rPr>
          <w:rFonts w:eastAsia="MS Mincho"/>
          <w:sz w:val="20"/>
          <w:szCs w:val="22"/>
          <w:lang w:val="en-GB" w:eastAsia="ja-JP"/>
        </w:rPr>
        <w:t xml:space="preserve"> </w:t>
      </w:r>
      <w:r w:rsidRPr="00C96521">
        <w:rPr>
          <w:rFonts w:eastAsia="MS Mincho"/>
          <w:sz w:val="20"/>
          <w:szCs w:val="22"/>
          <w:lang w:val="en-GB" w:eastAsia="ja-JP"/>
        </w:rPr>
        <w:t>m</w:t>
      </w:r>
      <w:r w:rsidR="00085172">
        <w:rPr>
          <w:rFonts w:eastAsia="MS Mincho"/>
          <w:sz w:val="20"/>
          <w:szCs w:val="22"/>
          <w:lang w:val="en-GB" w:eastAsia="ja-JP"/>
        </w:rPr>
        <w:t>etres</w:t>
      </w:r>
      <w:r w:rsidRPr="00C96521">
        <w:rPr>
          <w:rFonts w:eastAsia="MS Mincho"/>
          <w:sz w:val="20"/>
          <w:szCs w:val="22"/>
          <w:lang w:val="en-GB" w:eastAsia="ja-JP"/>
        </w:rPr>
        <w:t xml:space="preserve"> tall, at least 4</w:t>
      </w:r>
      <w:r w:rsidR="00085172">
        <w:rPr>
          <w:rFonts w:eastAsia="MS Mincho"/>
          <w:sz w:val="20"/>
          <w:szCs w:val="22"/>
          <w:lang w:val="en-GB" w:eastAsia="ja-JP"/>
        </w:rPr>
        <w:t xml:space="preserve"> </w:t>
      </w:r>
      <w:r w:rsidRPr="00C96521">
        <w:rPr>
          <w:rFonts w:eastAsia="MS Mincho"/>
          <w:sz w:val="20"/>
          <w:szCs w:val="22"/>
          <w:lang w:val="en-GB" w:eastAsia="ja-JP"/>
        </w:rPr>
        <w:t>m</w:t>
      </w:r>
      <w:r w:rsidR="00085172">
        <w:rPr>
          <w:rFonts w:eastAsia="MS Mincho"/>
          <w:sz w:val="20"/>
          <w:szCs w:val="22"/>
          <w:lang w:val="en-GB" w:eastAsia="ja-JP"/>
        </w:rPr>
        <w:t>etres</w:t>
      </w:r>
      <w:r w:rsidRPr="00C96521">
        <w:rPr>
          <w:rFonts w:eastAsia="MS Mincho"/>
          <w:sz w:val="20"/>
          <w:szCs w:val="22"/>
          <w:lang w:val="en-GB" w:eastAsia="ja-JP"/>
        </w:rPr>
        <w:t xml:space="preserve"> wide and had climbing plants present for nest concealment (Walker and Morris 2016).</w:t>
      </w:r>
    </w:p>
    <w:p w14:paraId="3EF07BF0" w14:textId="5B2EFB3D" w:rsidR="00C96521" w:rsidRPr="00C96521" w:rsidRDefault="00C96521" w:rsidP="00C96521">
      <w:pPr>
        <w:widowControl/>
        <w:autoSpaceDE/>
        <w:autoSpaceDN/>
        <w:adjustRightInd/>
        <w:spacing w:line="276" w:lineRule="auto"/>
        <w:rPr>
          <w:rFonts w:eastAsia="MS Mincho"/>
          <w:sz w:val="20"/>
          <w:szCs w:val="22"/>
          <w:lang w:val="en-GB" w:eastAsia="ja-JP"/>
        </w:rPr>
      </w:pPr>
    </w:p>
    <w:p w14:paraId="2ACF8174"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Foraging Habitat</w:t>
      </w:r>
    </w:p>
    <w:p w14:paraId="75A5FBC1"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7BB8194A" w14:textId="468407E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w:t>
      </w:r>
      <w:r w:rsidR="00085172" w:rsidRPr="00C96521">
        <w:rPr>
          <w:rFonts w:eastAsia="MS Mincho"/>
          <w:sz w:val="20"/>
          <w:szCs w:val="22"/>
          <w:lang w:val="en-GB" w:eastAsia="ja-JP"/>
        </w:rPr>
        <w:t xml:space="preserve">ove </w:t>
      </w:r>
      <w:r w:rsidRPr="00C96521">
        <w:rPr>
          <w:rFonts w:eastAsia="MS Mincho"/>
          <w:sz w:val="20"/>
          <w:szCs w:val="22"/>
          <w:lang w:val="en-GB" w:eastAsia="ja-JP"/>
        </w:rPr>
        <w:t xml:space="preserve">is an obligate granivore (it only eats seeds, although very small amounts of green plant material and invertebrates such as snails have occasional been recorded in the diet). In the UK, </w:t>
      </w:r>
      <w:r w:rsidRPr="00C96521">
        <w:rPr>
          <w:rFonts w:eastAsia="MS Mincho"/>
          <w:i/>
          <w:sz w:val="20"/>
          <w:szCs w:val="22"/>
          <w:lang w:val="en-GB" w:eastAsia="ja-JP"/>
        </w:rPr>
        <w:t>Fumaria</w:t>
      </w:r>
      <w:r w:rsidRPr="00C96521">
        <w:rPr>
          <w:rFonts w:eastAsia="MS Mincho"/>
          <w:sz w:val="20"/>
          <w:szCs w:val="22"/>
          <w:lang w:val="en-GB" w:eastAsia="ja-JP"/>
        </w:rPr>
        <w:t xml:space="preserve"> </w:t>
      </w:r>
      <w:r w:rsidRPr="00C96521">
        <w:rPr>
          <w:rFonts w:eastAsia="MS Mincho"/>
          <w:i/>
          <w:sz w:val="20"/>
          <w:szCs w:val="22"/>
          <w:lang w:val="en-GB" w:eastAsia="ja-JP"/>
        </w:rPr>
        <w:t>sp</w:t>
      </w:r>
      <w:r w:rsidRPr="00C96521">
        <w:rPr>
          <w:rFonts w:eastAsia="MS Mincho"/>
          <w:sz w:val="20"/>
          <w:szCs w:val="22"/>
          <w:lang w:val="en-GB" w:eastAsia="ja-JP"/>
        </w:rPr>
        <w:t xml:space="preserve"> historically formed the mainstay of its diet, with seeds of other plants associated with arable fields (such as </w:t>
      </w:r>
      <w:r w:rsidRPr="00C96521">
        <w:rPr>
          <w:rFonts w:eastAsia="MS Mincho"/>
          <w:i/>
          <w:sz w:val="20"/>
          <w:szCs w:val="22"/>
          <w:lang w:val="en-GB" w:eastAsia="ja-JP"/>
        </w:rPr>
        <w:t>Stellaria media</w:t>
      </w:r>
      <w:r w:rsidRPr="00C96521">
        <w:rPr>
          <w:rFonts w:eastAsia="MS Mincho"/>
          <w:sz w:val="20"/>
          <w:szCs w:val="22"/>
          <w:lang w:val="en-GB" w:eastAsia="ja-JP"/>
        </w:rPr>
        <w:t xml:space="preserve">, </w:t>
      </w:r>
      <w:r w:rsidRPr="00C96521">
        <w:rPr>
          <w:rFonts w:eastAsia="MS Mincho"/>
          <w:i/>
          <w:sz w:val="20"/>
          <w:szCs w:val="22"/>
          <w:lang w:val="en-GB" w:eastAsia="ja-JP"/>
        </w:rPr>
        <w:t>Anagallis arvensis</w:t>
      </w:r>
      <w:r w:rsidRPr="00C96521">
        <w:rPr>
          <w:rFonts w:eastAsia="MS Mincho"/>
          <w:sz w:val="20"/>
          <w:szCs w:val="22"/>
          <w:lang w:val="en-GB" w:eastAsia="ja-JP"/>
        </w:rPr>
        <w:t xml:space="preserve">, </w:t>
      </w:r>
      <w:r w:rsidRPr="00C96521">
        <w:rPr>
          <w:rFonts w:eastAsia="MS Mincho"/>
          <w:i/>
          <w:sz w:val="20"/>
          <w:szCs w:val="22"/>
          <w:lang w:val="en-GB" w:eastAsia="ja-JP"/>
        </w:rPr>
        <w:t>Geraniaceae</w:t>
      </w:r>
      <w:r w:rsidRPr="00C96521">
        <w:rPr>
          <w:rFonts w:eastAsia="MS Mincho"/>
          <w:sz w:val="20"/>
          <w:szCs w:val="22"/>
          <w:lang w:val="en-GB" w:eastAsia="ja-JP"/>
        </w:rPr>
        <w:t xml:space="preserve">, </w:t>
      </w:r>
      <w:r w:rsidRPr="00C96521">
        <w:rPr>
          <w:rFonts w:eastAsia="MS Mincho"/>
          <w:i/>
          <w:sz w:val="20"/>
          <w:szCs w:val="22"/>
          <w:lang w:val="en-GB" w:eastAsia="ja-JP"/>
        </w:rPr>
        <w:t>Amaranthaceae</w:t>
      </w:r>
      <w:r w:rsidRPr="00C96521">
        <w:rPr>
          <w:rFonts w:eastAsia="MS Mincho"/>
          <w:sz w:val="20"/>
          <w:szCs w:val="22"/>
          <w:lang w:val="en-GB" w:eastAsia="ja-JP"/>
        </w:rPr>
        <w:t xml:space="preserve"> and </w:t>
      </w:r>
      <w:r w:rsidRPr="00C96521">
        <w:rPr>
          <w:rFonts w:eastAsia="MS Mincho"/>
          <w:i/>
          <w:sz w:val="20"/>
          <w:szCs w:val="22"/>
          <w:lang w:val="en-GB" w:eastAsia="ja-JP"/>
        </w:rPr>
        <w:t>Poa</w:t>
      </w:r>
      <w:r w:rsidRPr="00C96521">
        <w:rPr>
          <w:rFonts w:eastAsia="MS Mincho"/>
          <w:sz w:val="20"/>
          <w:szCs w:val="22"/>
          <w:lang w:val="en-GB" w:eastAsia="ja-JP"/>
        </w:rPr>
        <w:t xml:space="preserve">) also being common. Before widespread agricultural intensification, seeds of </w:t>
      </w:r>
      <w:r w:rsidRPr="00C96521">
        <w:rPr>
          <w:rFonts w:eastAsia="MS Mincho"/>
          <w:i/>
          <w:sz w:val="20"/>
          <w:szCs w:val="22"/>
          <w:lang w:val="en-GB" w:eastAsia="ja-JP"/>
        </w:rPr>
        <w:t>Trifolium</w:t>
      </w:r>
      <w:r w:rsidRPr="00C96521">
        <w:rPr>
          <w:rFonts w:eastAsia="MS Mincho"/>
          <w:sz w:val="20"/>
          <w:szCs w:val="22"/>
          <w:lang w:val="en-GB" w:eastAsia="ja-JP"/>
        </w:rPr>
        <w:t xml:space="preserve"> </w:t>
      </w:r>
      <w:r w:rsidRPr="00C96521">
        <w:rPr>
          <w:rFonts w:eastAsia="MS Mincho"/>
          <w:i/>
          <w:sz w:val="20"/>
          <w:szCs w:val="22"/>
          <w:lang w:val="en-GB" w:eastAsia="ja-JP"/>
        </w:rPr>
        <w:t>spp</w:t>
      </w:r>
      <w:r w:rsidRPr="00C96521">
        <w:rPr>
          <w:rFonts w:eastAsia="MS Mincho"/>
          <w:sz w:val="20"/>
          <w:szCs w:val="22"/>
          <w:lang w:val="en-GB" w:eastAsia="ja-JP"/>
        </w:rPr>
        <w:t xml:space="preserve"> were also commonly taken from short-term rotational grass and legume leys. However, in recent decades, the seeds of arable crops (especially cereals and brassicas such as oil-seed rape </w:t>
      </w:r>
      <w:r w:rsidRPr="00C96521">
        <w:rPr>
          <w:rFonts w:eastAsia="MS Mincho"/>
          <w:i/>
          <w:sz w:val="20"/>
          <w:szCs w:val="22"/>
          <w:lang w:val="en-GB" w:eastAsia="ja-JP"/>
        </w:rPr>
        <w:t>Brassica napus</w:t>
      </w:r>
      <w:r w:rsidRPr="00C96521">
        <w:rPr>
          <w:rFonts w:eastAsia="MS Mincho"/>
          <w:sz w:val="20"/>
          <w:szCs w:val="22"/>
          <w:lang w:val="en-GB" w:eastAsia="ja-JP"/>
        </w:rPr>
        <w:t xml:space="preserve">) have become an especially important part of the diet later in the breeding season. A recent dietary study based on molecular techniques confirmed the importance of both natural and anthropogenic food sources (including, for the first time, seeds originating from garden/game bird feeders). Adult birds have been recorded travelling considerable distances, sometimes as far as 10km, from their breeding territories to exploit locally abundant food supplies, such as spilt grain and weed-rich fields. </w:t>
      </w:r>
    </w:p>
    <w:p w14:paraId="60AF279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A8EA180" w14:textId="7118F50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Turtle</w:t>
      </w:r>
      <w:r w:rsidR="00085172">
        <w:rPr>
          <w:rFonts w:eastAsia="MS Mincho"/>
          <w:sz w:val="20"/>
          <w:szCs w:val="22"/>
          <w:lang w:val="en-GB" w:eastAsia="ja-JP"/>
        </w:rPr>
        <w:t xml:space="preserve"> D</w:t>
      </w:r>
      <w:r w:rsidRPr="00C96521">
        <w:rPr>
          <w:rFonts w:eastAsia="MS Mincho"/>
          <w:sz w:val="20"/>
          <w:szCs w:val="22"/>
          <w:lang w:val="en-GB" w:eastAsia="ja-JP"/>
        </w:rPr>
        <w:t>oves obtain most of their food from the ground, and providing a sparse, patchy sward that enables the birds to detect and access the seeds is very important for this species. Typical characteristics of foraging locations show mean vegetation height &lt;20cm and mean bare soil forms 60</w:t>
      </w:r>
      <w:r w:rsidR="00085172">
        <w:rPr>
          <w:rFonts w:eastAsia="MS Mincho"/>
          <w:sz w:val="20"/>
          <w:szCs w:val="22"/>
          <w:lang w:val="en-GB" w:eastAsia="ja-JP"/>
        </w:rPr>
        <w:t xml:space="preserve"> per cent</w:t>
      </w:r>
      <w:r w:rsidRPr="00C96521">
        <w:rPr>
          <w:rFonts w:eastAsia="MS Mincho"/>
          <w:sz w:val="20"/>
          <w:szCs w:val="22"/>
          <w:lang w:val="en-GB" w:eastAsia="ja-JP"/>
        </w:rPr>
        <w:t xml:space="preserve"> of ground cover (Browne and Aebischer 2003a, Dunn </w:t>
      </w:r>
      <w:r w:rsidRPr="00C96521">
        <w:rPr>
          <w:rFonts w:eastAsia="MS Mincho"/>
          <w:i/>
          <w:sz w:val="20"/>
          <w:szCs w:val="22"/>
          <w:lang w:val="en-GB" w:eastAsia="ja-JP"/>
        </w:rPr>
        <w:t>et al</w:t>
      </w:r>
      <w:r w:rsidRPr="00C96521">
        <w:rPr>
          <w:rFonts w:eastAsia="MS Mincho"/>
          <w:sz w:val="20"/>
          <w:szCs w:val="22"/>
          <w:lang w:val="en-GB" w:eastAsia="ja-JP"/>
        </w:rPr>
        <w:t xml:space="preserve"> 2015). Territories are more likely to be lost from areas with less bare ground and fallow (Dunn and Morris 2012), traditionally habitats rich in accessible arable plant seed.</w:t>
      </w:r>
    </w:p>
    <w:p w14:paraId="0CD6769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A8FE5C2" w14:textId="0CB204D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Creation and management of marginal strips/plots of early-seeding plants that retain an open structure from mid-April into late summer provide good foraging habitat for </w:t>
      </w:r>
      <w:r w:rsidR="00085172">
        <w:rPr>
          <w:rFonts w:eastAsia="MS Mincho"/>
          <w:sz w:val="20"/>
          <w:szCs w:val="22"/>
          <w:lang w:val="en-GB" w:eastAsia="ja-JP"/>
        </w:rPr>
        <w:t>T</w:t>
      </w:r>
      <w:r w:rsidRPr="00C96521">
        <w:rPr>
          <w:rFonts w:eastAsia="MS Mincho"/>
          <w:sz w:val="20"/>
          <w:szCs w:val="22"/>
          <w:lang w:val="en-GB" w:eastAsia="ja-JP"/>
        </w:rPr>
        <w:t>urtle</w:t>
      </w:r>
      <w:r w:rsidR="00085172">
        <w:rPr>
          <w:rFonts w:eastAsia="MS Mincho"/>
          <w:sz w:val="20"/>
          <w:szCs w:val="22"/>
          <w:lang w:val="en-GB" w:eastAsia="ja-JP"/>
        </w:rPr>
        <w:t xml:space="preserve"> D</w:t>
      </w:r>
      <w:r w:rsidRPr="00C96521">
        <w:rPr>
          <w:rFonts w:eastAsia="MS Mincho"/>
          <w:sz w:val="20"/>
          <w:szCs w:val="22"/>
          <w:lang w:val="en-GB" w:eastAsia="ja-JP"/>
        </w:rPr>
        <w:t xml:space="preserve">oves. In Countryside Stewardship, these can be created in two main ways (Table 6). </w:t>
      </w:r>
    </w:p>
    <w:p w14:paraId="1D6DFCB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F85165B" w14:textId="1FC624CD"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Table 6. Summary of</w:t>
      </w:r>
      <w:r w:rsidRPr="00C96521">
        <w:rPr>
          <w:rFonts w:eastAsia="MS Mincho"/>
          <w:b/>
          <w:i/>
          <w:sz w:val="20"/>
          <w:szCs w:val="22"/>
          <w:lang w:val="en-GB" w:eastAsia="ja-JP"/>
        </w:rPr>
        <w:t xml:space="preserve"> </w:t>
      </w:r>
      <w:r w:rsidRPr="00C96521">
        <w:rPr>
          <w:rFonts w:eastAsia="MS Mincho"/>
          <w:i/>
          <w:sz w:val="20"/>
          <w:szCs w:val="22"/>
          <w:lang w:val="en-GB" w:eastAsia="ja-JP"/>
        </w:rPr>
        <w:t xml:space="preserve">the foraging habitat requirements of </w:t>
      </w:r>
      <w:r w:rsidR="00085172">
        <w:rPr>
          <w:rFonts w:eastAsia="MS Mincho"/>
          <w:i/>
          <w:sz w:val="20"/>
          <w:szCs w:val="22"/>
          <w:lang w:val="en-GB" w:eastAsia="ja-JP"/>
        </w:rPr>
        <w:t>T</w:t>
      </w:r>
      <w:r w:rsidRPr="00C96521">
        <w:rPr>
          <w:rFonts w:eastAsia="MS Mincho"/>
          <w:i/>
          <w:sz w:val="20"/>
          <w:szCs w:val="22"/>
          <w:lang w:val="en-GB" w:eastAsia="ja-JP"/>
        </w:rPr>
        <w:t>urtle</w:t>
      </w:r>
      <w:r w:rsidR="00085172">
        <w:rPr>
          <w:rFonts w:eastAsia="MS Mincho"/>
          <w:i/>
          <w:sz w:val="20"/>
          <w:szCs w:val="22"/>
          <w:lang w:val="en-GB" w:eastAsia="ja-JP"/>
        </w:rPr>
        <w:t xml:space="preserve"> D</w:t>
      </w:r>
      <w:r w:rsidRPr="00C96521">
        <w:rPr>
          <w:rFonts w:eastAsia="MS Mincho"/>
          <w:i/>
          <w:sz w:val="20"/>
          <w:szCs w:val="22"/>
          <w:lang w:val="en-GB" w:eastAsia="ja-JP"/>
        </w:rPr>
        <w:t xml:space="preserve">oves and how these can be met by Countryside Stewardship Agri-environment Options tailored for </w:t>
      </w:r>
      <w:r w:rsidR="00085172">
        <w:rPr>
          <w:rFonts w:eastAsia="MS Mincho"/>
          <w:i/>
          <w:sz w:val="20"/>
          <w:szCs w:val="22"/>
          <w:lang w:val="en-GB" w:eastAsia="ja-JP"/>
        </w:rPr>
        <w:t>T</w:t>
      </w:r>
      <w:r w:rsidRPr="00C96521">
        <w:rPr>
          <w:rFonts w:eastAsia="MS Mincho"/>
          <w:i/>
          <w:sz w:val="20"/>
          <w:szCs w:val="22"/>
          <w:lang w:val="en-GB" w:eastAsia="ja-JP"/>
        </w:rPr>
        <w:t>urtle</w:t>
      </w:r>
      <w:r w:rsidR="00085172">
        <w:rPr>
          <w:rFonts w:eastAsia="MS Mincho"/>
          <w:i/>
          <w:sz w:val="20"/>
          <w:szCs w:val="22"/>
          <w:lang w:val="en-GB" w:eastAsia="ja-JP"/>
        </w:rPr>
        <w:t xml:space="preserve"> D</w:t>
      </w:r>
      <w:r w:rsidRPr="00C96521">
        <w:rPr>
          <w:rFonts w:eastAsia="MS Mincho"/>
          <w:i/>
          <w:sz w:val="20"/>
          <w:szCs w:val="22"/>
          <w:lang w:val="en-GB" w:eastAsia="ja-JP"/>
        </w:rPr>
        <w:t>oves.</w:t>
      </w:r>
    </w:p>
    <w:p w14:paraId="4FB77008"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 </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843"/>
        <w:gridCol w:w="3572"/>
      </w:tblGrid>
      <w:tr w:rsidR="00C96521" w:rsidRPr="00C96521" w14:paraId="263831F8" w14:textId="77777777" w:rsidTr="00C96521">
        <w:trPr>
          <w:trHeight w:val="866"/>
        </w:trPr>
        <w:tc>
          <w:tcPr>
            <w:tcW w:w="3652" w:type="dxa"/>
          </w:tcPr>
          <w:p w14:paraId="4B51CDFA"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Resource requirement</w:t>
            </w:r>
          </w:p>
        </w:tc>
        <w:tc>
          <w:tcPr>
            <w:tcW w:w="1843" w:type="dxa"/>
          </w:tcPr>
          <w:p w14:paraId="1C57DF51"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Minimum quantity</w:t>
            </w:r>
            <w:r w:rsidRPr="00C96521">
              <w:rPr>
                <w:rFonts w:eastAsia="MS Mincho"/>
                <w:sz w:val="20"/>
                <w:szCs w:val="22"/>
                <w:lang w:val="en-GB" w:eastAsia="ja-JP"/>
              </w:rPr>
              <w:t xml:space="preserve"> </w:t>
            </w:r>
            <w:r w:rsidRPr="00C96521">
              <w:rPr>
                <w:rFonts w:eastAsia="MS Mincho"/>
                <w:i/>
                <w:sz w:val="20"/>
                <w:szCs w:val="22"/>
                <w:lang w:val="en-GB" w:eastAsia="ja-JP"/>
              </w:rPr>
              <w:t>(per 100 ha of farmed land)</w:t>
            </w:r>
          </w:p>
        </w:tc>
        <w:tc>
          <w:tcPr>
            <w:tcW w:w="3572" w:type="dxa"/>
          </w:tcPr>
          <w:p w14:paraId="721EE4B0"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Relevant Countryside Stewardship Options</w:t>
            </w:r>
          </w:p>
        </w:tc>
      </w:tr>
      <w:tr w:rsidR="00C96521" w:rsidRPr="00C96521" w14:paraId="661A8AFC" w14:textId="77777777" w:rsidTr="00C96521">
        <w:trPr>
          <w:trHeight w:val="1058"/>
        </w:trPr>
        <w:tc>
          <w:tcPr>
            <w:tcW w:w="3652" w:type="dxa"/>
          </w:tcPr>
          <w:p w14:paraId="54E1BEA6"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sz w:val="20"/>
                <w:szCs w:val="22"/>
                <w:lang w:val="en-GB" w:eastAsia="ja-JP"/>
              </w:rPr>
              <w:t>Marginal strips or plots with early-seeding plants that retain openness from mid-April to July, to allow birds to access the seeds, ideally situated within 300m of suitable nesting habitat.</w:t>
            </w:r>
          </w:p>
        </w:tc>
        <w:tc>
          <w:tcPr>
            <w:tcW w:w="1843" w:type="dxa"/>
          </w:tcPr>
          <w:p w14:paraId="735BD20C"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2-3 ha</w:t>
            </w:r>
          </w:p>
        </w:tc>
        <w:tc>
          <w:tcPr>
            <w:tcW w:w="3572" w:type="dxa"/>
          </w:tcPr>
          <w:p w14:paraId="24961E35"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Ideally, a combination of:</w:t>
            </w:r>
          </w:p>
          <w:p w14:paraId="2E1196DF"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AB1 Nectar Flower Mix with SP9 Threatened Species Supplement.</w:t>
            </w:r>
          </w:p>
          <w:p w14:paraId="73D5A4A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AB11 Cultivated Areas for Arable Plants.</w:t>
            </w:r>
          </w:p>
        </w:tc>
      </w:tr>
    </w:tbl>
    <w:p w14:paraId="2352CA2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A22F804"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Sown plant mixes</w:t>
      </w:r>
    </w:p>
    <w:p w14:paraId="6A9178D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9D66DBB" w14:textId="5534ED9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 tailored management option has been devised by an RSPB/Natural England project aimed at providing optimal foraging conditions for </w:t>
      </w:r>
      <w:r w:rsidR="00085172">
        <w:rPr>
          <w:rFonts w:eastAsia="MS Mincho"/>
          <w:sz w:val="20"/>
          <w:szCs w:val="22"/>
          <w:lang w:val="en-GB" w:eastAsia="ja-JP"/>
        </w:rPr>
        <w:t>T</w:t>
      </w:r>
      <w:r w:rsidRPr="00C96521">
        <w:rPr>
          <w:rFonts w:eastAsia="MS Mincho"/>
          <w:sz w:val="20"/>
          <w:szCs w:val="22"/>
          <w:lang w:val="en-GB" w:eastAsia="ja-JP"/>
        </w:rPr>
        <w:t>urtle</w:t>
      </w:r>
      <w:r w:rsidR="00085172">
        <w:rPr>
          <w:rFonts w:eastAsia="MS Mincho"/>
          <w:sz w:val="20"/>
          <w:szCs w:val="22"/>
          <w:lang w:val="en-GB" w:eastAsia="ja-JP"/>
        </w:rPr>
        <w:t xml:space="preserve"> D</w:t>
      </w:r>
      <w:r w:rsidRPr="00C96521">
        <w:rPr>
          <w:rFonts w:eastAsia="MS Mincho"/>
          <w:sz w:val="20"/>
          <w:szCs w:val="22"/>
          <w:lang w:val="en-GB" w:eastAsia="ja-JP"/>
        </w:rPr>
        <w:t xml:space="preserve">oves: early-seeding plants known to be important in the diet within a sparse sward that enables the birds to have access to the seeds on the ground. Two hectares of the plant mix was sown on each of eight sites (six of which ran concurrently) to test the suitability of seed production and access over two-year periods. The sown mix was based on plant species known to be present in turtle-dove diet historically, and was designed to deliver a phenology of different seeds across most the breeding season from May until September. The research trials found that the sown plots provided plentiful seed, but that ground became too overgrown by mid-summer (especially in the second year) to allow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Doves</w:t>
      </w:r>
      <w:r w:rsidRPr="00C96521">
        <w:rPr>
          <w:rFonts w:eastAsia="MS Mincho"/>
          <w:sz w:val="20"/>
          <w:szCs w:val="22"/>
          <w:lang w:val="en-GB" w:eastAsia="ja-JP"/>
        </w:rPr>
        <w:t xml:space="preserve">access (Dunn </w:t>
      </w:r>
      <w:r w:rsidRPr="00C96521">
        <w:rPr>
          <w:rFonts w:eastAsia="MS Mincho"/>
          <w:i/>
          <w:sz w:val="20"/>
          <w:szCs w:val="22"/>
          <w:lang w:val="en-GB" w:eastAsia="ja-JP"/>
        </w:rPr>
        <w:t>et al</w:t>
      </w:r>
      <w:r w:rsidRPr="00C96521">
        <w:rPr>
          <w:rFonts w:eastAsia="MS Mincho"/>
          <w:sz w:val="20"/>
          <w:szCs w:val="22"/>
          <w:lang w:val="en-GB" w:eastAsia="ja-JP"/>
        </w:rPr>
        <w:t xml:space="preserve"> 2015). Further management was included to keep the sown mix more open, and has been adopted in the Countryside Stewardship option.</w:t>
      </w:r>
    </w:p>
    <w:p w14:paraId="623C88A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47537A2F" w14:textId="5B7E0861"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Sown seed mixes for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Doves</w:t>
      </w:r>
      <w:r w:rsidRPr="00C96521">
        <w:rPr>
          <w:rFonts w:eastAsia="MS Mincho"/>
          <w:sz w:val="20"/>
          <w:szCs w:val="22"/>
          <w:lang w:val="en-GB" w:eastAsia="ja-JP"/>
        </w:rPr>
        <w:t xml:space="preserve">in Countryside Stewardship are delivered by a modified version of AB1 Nectar Flower Mix, with the additional costs associated with establishing and managing a modified seed mix specifically for turtle-doves met by the payment of a SP9 Threatened Species Supplement, an additional £120/ha per annum. To tailor this option for </w:t>
      </w:r>
      <w:r w:rsidR="00085172">
        <w:rPr>
          <w:rFonts w:eastAsia="MS Mincho"/>
          <w:sz w:val="20"/>
          <w:szCs w:val="22"/>
          <w:lang w:val="en-GB" w:eastAsia="ja-JP"/>
        </w:rPr>
        <w:t>T</w:t>
      </w:r>
      <w:r w:rsidR="00085172" w:rsidRPr="00C96521">
        <w:rPr>
          <w:rFonts w:eastAsia="MS Mincho"/>
          <w:sz w:val="20"/>
          <w:szCs w:val="22"/>
          <w:lang w:val="en-GB" w:eastAsia="ja-JP"/>
        </w:rPr>
        <w:t>urtle</w:t>
      </w:r>
      <w:r w:rsidR="00085172">
        <w:rPr>
          <w:rFonts w:eastAsia="MS Mincho"/>
          <w:sz w:val="20"/>
          <w:szCs w:val="22"/>
          <w:lang w:val="en-GB" w:eastAsia="ja-JP"/>
        </w:rPr>
        <w:t xml:space="preserve"> Doves</w:t>
      </w:r>
      <w:r w:rsidRPr="00C96521">
        <w:rPr>
          <w:rFonts w:eastAsia="MS Mincho"/>
          <w:sz w:val="20"/>
          <w:szCs w:val="22"/>
          <w:lang w:val="en-GB" w:eastAsia="ja-JP"/>
        </w:rPr>
        <w:t>, specific management must be applied to the AB1 Nectar Flower Mix:</w:t>
      </w:r>
    </w:p>
    <w:p w14:paraId="68833F2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E1AB275" w14:textId="0CF37AF9" w:rsidR="00C96521" w:rsidRPr="00C96521" w:rsidRDefault="00C96521" w:rsidP="00C96521">
      <w:pPr>
        <w:widowControl/>
        <w:numPr>
          <w:ilvl w:val="0"/>
          <w:numId w:val="44"/>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establish a seed mixture of 25</w:t>
      </w:r>
      <w:r w:rsidR="00085172">
        <w:rPr>
          <w:rFonts w:eastAsia="MS Mincho"/>
          <w:sz w:val="20"/>
          <w:szCs w:val="22"/>
          <w:lang w:val="en-GB" w:eastAsia="ja-JP"/>
        </w:rPr>
        <w:t xml:space="preserve"> per cent</w:t>
      </w:r>
      <w:r w:rsidRPr="00C96521">
        <w:rPr>
          <w:rFonts w:eastAsia="MS Mincho"/>
          <w:sz w:val="20"/>
          <w:szCs w:val="22"/>
          <w:lang w:val="en-GB" w:eastAsia="ja-JP"/>
        </w:rPr>
        <w:t xml:space="preserve"> (by weight) </w:t>
      </w:r>
      <w:r w:rsidRPr="00C96521">
        <w:rPr>
          <w:rFonts w:eastAsia="MS Mincho"/>
          <w:i/>
          <w:sz w:val="20"/>
          <w:szCs w:val="22"/>
          <w:lang w:val="en-GB" w:eastAsia="ja-JP"/>
        </w:rPr>
        <w:t>Vicia sativa</w:t>
      </w:r>
      <w:r w:rsidRPr="00C96521">
        <w:rPr>
          <w:rFonts w:eastAsia="MS Mincho"/>
          <w:sz w:val="20"/>
          <w:szCs w:val="22"/>
          <w:lang w:val="en-GB" w:eastAsia="ja-JP"/>
        </w:rPr>
        <w:t xml:space="preserve"> (variety “early English”), 20</w:t>
      </w:r>
      <w:r w:rsidR="00085172">
        <w:rPr>
          <w:rFonts w:eastAsia="MS Mincho"/>
          <w:sz w:val="20"/>
          <w:szCs w:val="22"/>
          <w:lang w:val="en-GB" w:eastAsia="ja-JP"/>
        </w:rPr>
        <w:t xml:space="preserve"> per cent</w:t>
      </w:r>
      <w:r w:rsidRPr="00C96521">
        <w:rPr>
          <w:rFonts w:eastAsia="MS Mincho"/>
          <w:sz w:val="20"/>
          <w:szCs w:val="22"/>
          <w:lang w:val="en-GB" w:eastAsia="ja-JP"/>
        </w:rPr>
        <w:t xml:space="preserve"> </w:t>
      </w:r>
      <w:r w:rsidRPr="00C96521">
        <w:rPr>
          <w:rFonts w:eastAsia="MS Mincho"/>
          <w:i/>
          <w:sz w:val="20"/>
          <w:szCs w:val="22"/>
          <w:lang w:val="en-GB" w:eastAsia="ja-JP"/>
        </w:rPr>
        <w:t>Lotus corniculatus</w:t>
      </w:r>
      <w:r w:rsidRPr="00C96521">
        <w:rPr>
          <w:rFonts w:eastAsia="MS Mincho"/>
          <w:sz w:val="20"/>
          <w:szCs w:val="22"/>
          <w:lang w:val="en-GB" w:eastAsia="ja-JP"/>
        </w:rPr>
        <w:t>, 20</w:t>
      </w:r>
      <w:r w:rsidR="00085172">
        <w:rPr>
          <w:rFonts w:eastAsia="MS Mincho"/>
          <w:sz w:val="20"/>
          <w:szCs w:val="22"/>
          <w:lang w:val="en-GB" w:eastAsia="ja-JP"/>
        </w:rPr>
        <w:t xml:space="preserve"> per cent</w:t>
      </w:r>
      <w:r w:rsidRPr="00C96521">
        <w:rPr>
          <w:rFonts w:eastAsia="MS Mincho"/>
          <w:sz w:val="20"/>
          <w:szCs w:val="22"/>
          <w:lang w:val="en-GB" w:eastAsia="ja-JP"/>
        </w:rPr>
        <w:t xml:space="preserve"> </w:t>
      </w:r>
      <w:r w:rsidRPr="00C96521">
        <w:rPr>
          <w:rFonts w:eastAsia="MS Mincho"/>
          <w:i/>
          <w:sz w:val="20"/>
          <w:szCs w:val="22"/>
          <w:lang w:val="en-GB" w:eastAsia="ja-JP"/>
        </w:rPr>
        <w:t>Trifolium repens</w:t>
      </w:r>
      <w:r w:rsidRPr="00C96521">
        <w:rPr>
          <w:rFonts w:eastAsia="MS Mincho"/>
          <w:sz w:val="20"/>
          <w:szCs w:val="22"/>
          <w:lang w:val="en-GB" w:eastAsia="ja-JP"/>
        </w:rPr>
        <w:t>, 20</w:t>
      </w:r>
      <w:r w:rsidR="00085172">
        <w:rPr>
          <w:rFonts w:eastAsia="MS Mincho"/>
          <w:sz w:val="20"/>
          <w:szCs w:val="22"/>
          <w:lang w:val="en-GB" w:eastAsia="ja-JP"/>
        </w:rPr>
        <w:t xml:space="preserve"> per cent</w:t>
      </w:r>
      <w:r w:rsidRPr="00C96521">
        <w:rPr>
          <w:rFonts w:eastAsia="MS Mincho"/>
          <w:sz w:val="20"/>
          <w:szCs w:val="22"/>
          <w:lang w:val="en-GB" w:eastAsia="ja-JP"/>
        </w:rPr>
        <w:t xml:space="preserve"> </w:t>
      </w:r>
      <w:r w:rsidRPr="00C96521">
        <w:rPr>
          <w:rFonts w:eastAsia="MS Mincho"/>
          <w:i/>
          <w:sz w:val="20"/>
          <w:szCs w:val="22"/>
          <w:lang w:val="en-GB" w:eastAsia="ja-JP"/>
        </w:rPr>
        <w:t>Medicago lupulina</w:t>
      </w:r>
      <w:r w:rsidRPr="00C96521">
        <w:rPr>
          <w:rFonts w:eastAsia="MS Mincho"/>
          <w:sz w:val="20"/>
          <w:szCs w:val="22"/>
          <w:lang w:val="en-GB" w:eastAsia="ja-JP"/>
        </w:rPr>
        <w:t>, 10</w:t>
      </w:r>
      <w:r w:rsidR="00085172">
        <w:rPr>
          <w:rFonts w:eastAsia="MS Mincho"/>
          <w:sz w:val="20"/>
          <w:szCs w:val="22"/>
          <w:lang w:val="en-GB" w:eastAsia="ja-JP"/>
        </w:rPr>
        <w:t xml:space="preserve"> per cent</w:t>
      </w:r>
      <w:r w:rsidRPr="00C96521">
        <w:rPr>
          <w:rFonts w:eastAsia="MS Mincho"/>
          <w:sz w:val="20"/>
          <w:szCs w:val="22"/>
          <w:lang w:val="en-GB" w:eastAsia="ja-JP"/>
        </w:rPr>
        <w:t xml:space="preserve"> </w:t>
      </w:r>
      <w:r w:rsidRPr="00C96521">
        <w:rPr>
          <w:rFonts w:eastAsia="MS Mincho"/>
          <w:i/>
          <w:sz w:val="20"/>
          <w:szCs w:val="22"/>
          <w:lang w:val="en-GB" w:eastAsia="ja-JP"/>
        </w:rPr>
        <w:t>Trifolium pratense</w:t>
      </w:r>
      <w:r w:rsidRPr="00C96521">
        <w:rPr>
          <w:rFonts w:eastAsia="MS Mincho"/>
          <w:sz w:val="20"/>
          <w:szCs w:val="22"/>
          <w:lang w:val="en-GB" w:eastAsia="ja-JP"/>
        </w:rPr>
        <w:t xml:space="preserve"> and 5</w:t>
      </w:r>
      <w:r w:rsidR="00085172">
        <w:rPr>
          <w:rFonts w:eastAsia="MS Mincho"/>
          <w:sz w:val="20"/>
          <w:szCs w:val="22"/>
          <w:lang w:val="en-GB" w:eastAsia="ja-JP"/>
        </w:rPr>
        <w:t xml:space="preserve"> per cent</w:t>
      </w:r>
      <w:r w:rsidRPr="00C96521">
        <w:rPr>
          <w:rFonts w:eastAsia="MS Mincho"/>
          <w:sz w:val="20"/>
          <w:szCs w:val="22"/>
          <w:lang w:val="en-GB" w:eastAsia="ja-JP"/>
        </w:rPr>
        <w:t xml:space="preserve"> </w:t>
      </w:r>
      <w:r w:rsidRPr="00C96521">
        <w:rPr>
          <w:rFonts w:eastAsia="MS Mincho"/>
          <w:i/>
          <w:sz w:val="20"/>
          <w:szCs w:val="22"/>
          <w:lang w:val="en-GB" w:eastAsia="ja-JP"/>
        </w:rPr>
        <w:t>Fumaria officinalis</w:t>
      </w:r>
      <w:r w:rsidRPr="00C96521">
        <w:rPr>
          <w:rFonts w:eastAsia="MS Mincho"/>
          <w:sz w:val="20"/>
          <w:szCs w:val="22"/>
          <w:lang w:val="en-GB" w:eastAsia="ja-JP"/>
        </w:rPr>
        <w:t xml:space="preserve"> at a seed rate of 10–15 kg/ha;</w:t>
      </w:r>
    </w:p>
    <w:p w14:paraId="313CEC93" w14:textId="4F85365E" w:rsidR="00C96521" w:rsidRPr="00C96521" w:rsidRDefault="00C96521" w:rsidP="00C96521">
      <w:pPr>
        <w:widowControl/>
        <w:numPr>
          <w:ilvl w:val="0"/>
          <w:numId w:val="44"/>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establish in blocks and/or strips between 1 August and 15 October;</w:t>
      </w:r>
    </w:p>
    <w:p w14:paraId="094C947A" w14:textId="4608A548" w:rsidR="00C96521" w:rsidRPr="00C96521" w:rsidRDefault="00C96521" w:rsidP="00C96521">
      <w:pPr>
        <w:widowControl/>
        <w:numPr>
          <w:ilvl w:val="0"/>
          <w:numId w:val="44"/>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rotationally cut 50</w:t>
      </w:r>
      <w:r w:rsidR="00085172">
        <w:rPr>
          <w:rFonts w:eastAsia="MS Mincho"/>
          <w:sz w:val="20"/>
          <w:szCs w:val="22"/>
          <w:lang w:val="en-GB" w:eastAsia="ja-JP"/>
        </w:rPr>
        <w:t xml:space="preserve"> per cent</w:t>
      </w:r>
      <w:r w:rsidRPr="00C96521">
        <w:rPr>
          <w:rFonts w:eastAsia="MS Mincho"/>
          <w:sz w:val="20"/>
          <w:szCs w:val="22"/>
          <w:lang w:val="en-GB" w:eastAsia="ja-JP"/>
        </w:rPr>
        <w:t xml:space="preserve"> of the plot area each year between 15 June and 7 July; do not cut the same area in successive years;</w:t>
      </w:r>
    </w:p>
    <w:p w14:paraId="59E8D453" w14:textId="2C812263" w:rsidR="00C96521" w:rsidRPr="00C96521" w:rsidRDefault="00C96521" w:rsidP="00C96521">
      <w:pPr>
        <w:widowControl/>
        <w:numPr>
          <w:ilvl w:val="0"/>
          <w:numId w:val="44"/>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cut the whole area between 1 September and 30 September, removing cuttings to avoid patches of dead material developing;</w:t>
      </w:r>
    </w:p>
    <w:p w14:paraId="54266358" w14:textId="77777777" w:rsidR="00C96521" w:rsidRPr="00C96521" w:rsidRDefault="00C96521" w:rsidP="00C96521">
      <w:pPr>
        <w:widowControl/>
        <w:numPr>
          <w:ilvl w:val="0"/>
          <w:numId w:val="44"/>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mixes may need to be re-sown every two years.</w:t>
      </w:r>
    </w:p>
    <w:p w14:paraId="5FBE161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A623225" w14:textId="6F85219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Experience from the RSPB/Natural England research project suggests that undertaking these additional management prescriptions are vital to achieve successful establishment and maintenance of suitable conditions for foraging birds during the lifetime of the Countryside Stewardship Agri-environment Agreement. Each plot has to maintain seed production through the season as well as maintain an open and accessible structure with a minimum of 30-50</w:t>
      </w:r>
      <w:r w:rsidR="004D5651">
        <w:rPr>
          <w:rFonts w:eastAsia="MS Mincho"/>
          <w:sz w:val="20"/>
          <w:szCs w:val="22"/>
          <w:lang w:val="en-GB" w:eastAsia="ja-JP"/>
        </w:rPr>
        <w:t xml:space="preserve"> per cent</w:t>
      </w:r>
      <w:r w:rsidR="004D5651" w:rsidRPr="00C96521">
        <w:rPr>
          <w:rFonts w:eastAsia="MS Mincho"/>
          <w:sz w:val="20"/>
          <w:szCs w:val="22"/>
          <w:lang w:val="en-GB" w:eastAsia="ja-JP"/>
        </w:rPr>
        <w:t xml:space="preserve"> </w:t>
      </w:r>
      <w:r w:rsidRPr="00C96521">
        <w:rPr>
          <w:rFonts w:eastAsia="MS Mincho"/>
          <w:sz w:val="20"/>
          <w:szCs w:val="22"/>
          <w:lang w:val="en-GB" w:eastAsia="ja-JP"/>
        </w:rPr>
        <w:t xml:space="preserve">bare ground (Figure 17), which can be a difficult balance to achieve. This is very different from the desired structure of a standard nectar mix plot for pollinating insects. Visiting the plots regularly through the season (and especially in early spring) to determine whether both seed and bare/sparsely vegetated ground are present is highly desirable. </w:t>
      </w:r>
    </w:p>
    <w:p w14:paraId="442A7B59"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2CCAF13B"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drawing>
          <wp:inline distT="0" distB="0" distL="0" distR="0" wp14:anchorId="1506EC90" wp14:editId="45ADFFAB">
            <wp:extent cx="5724525" cy="3800475"/>
            <wp:effectExtent l="19050" t="0" r="9525" b="0"/>
            <wp:docPr id="11" name="Picture 3" descr="TD mix 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D mix photo 1"/>
                    <pic:cNvPicPr>
                      <a:picLocks noChangeAspect="1" noChangeArrowheads="1"/>
                    </pic:cNvPicPr>
                  </pic:nvPicPr>
                  <pic:blipFill>
                    <a:blip r:embed="rId53" cstate="print"/>
                    <a:srcRect/>
                    <a:stretch>
                      <a:fillRect/>
                    </a:stretch>
                  </pic:blipFill>
                  <pic:spPr bwMode="auto">
                    <a:xfrm>
                      <a:off x="0" y="0"/>
                      <a:ext cx="5724525" cy="3800475"/>
                    </a:xfrm>
                    <a:prstGeom prst="rect">
                      <a:avLst/>
                    </a:prstGeom>
                    <a:noFill/>
                    <a:ln w="9525">
                      <a:noFill/>
                      <a:miter lim="800000"/>
                      <a:headEnd/>
                      <a:tailEnd/>
                    </a:ln>
                  </pic:spPr>
                </pic:pic>
              </a:graphicData>
            </a:graphic>
          </wp:inline>
        </w:drawing>
      </w:r>
    </w:p>
    <w:p w14:paraId="00952D7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5FEF211"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Figure 17. A well-managed AB1 Nectar Flower Mix with SP9 Threatened Species Supplement, delivering turtle-dove foraging habitat, with open structure and large amounts of bare ground.</w:t>
      </w:r>
    </w:p>
    <w:p w14:paraId="5099785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AAA012A" w14:textId="4ACA3FE9"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lastRenderedPageBreak/>
        <w:t xml:space="preserve">There are indications from the evaluation of 20 Agri-environment Agreements with a pilot version of the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package that this composition of seed mix may still not be optimal despite some amendments to the management, as 69</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evaluated plots were deemed to contain insufficient suitable seed or access for turtle-doves (Walker and Morris 2016). In part, this is likely to have been due to the tall, dense structure of modern leguminous cultivars (designed primarily to maximise forage delivery for livestock) coupled with the highly fertile nature of arable fields, which routinely received high input of inorganic nitrogen fertiliser when commercially cropped. The RSPB plans to investigate alternative sown seed mixes further, for example with lower sowing rates/reduced clover content / revised species components, but such evaluations will not take place before 2018 at the earliest. However, Walker and Morris (2016) did find a marginally significant tendency for turtle-dove abundance to increase with increasing area of AB1 Nectar Flower Mix with SP9 Threatened Species Supplement on the 20 turtle-dove package pilot sites.</w:t>
      </w:r>
    </w:p>
    <w:p w14:paraId="56FB692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5FD95D3" w14:textId="03357C4A"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Care needs to be taken when deploying plots of sown seed mixes on holdings where there is evidence of or a high likelihood that rare arable plants and/or a high quality (diverse) arable plant assemblage is present. In these situations, locating cultivated plots on the sensitive parts of the holding or on field margins (the first 12</w:t>
      </w:r>
      <w:r w:rsidR="004D5651">
        <w:rPr>
          <w:rFonts w:eastAsia="MS Mincho"/>
          <w:sz w:val="20"/>
          <w:szCs w:val="22"/>
          <w:lang w:val="en-GB" w:eastAsia="ja-JP"/>
        </w:rPr>
        <w:t xml:space="preserve"> </w:t>
      </w:r>
      <w:r w:rsidRPr="00C96521">
        <w:rPr>
          <w:rFonts w:eastAsia="MS Mincho"/>
          <w:sz w:val="20"/>
          <w:szCs w:val="22"/>
          <w:lang w:val="en-GB" w:eastAsia="ja-JP"/>
        </w:rPr>
        <w:t>m</w:t>
      </w:r>
      <w:r w:rsidR="004D5651">
        <w:rPr>
          <w:rFonts w:eastAsia="MS Mincho"/>
          <w:sz w:val="20"/>
          <w:szCs w:val="22"/>
          <w:lang w:val="en-GB" w:eastAsia="ja-JP"/>
        </w:rPr>
        <w:t>etres</w:t>
      </w:r>
      <w:r w:rsidRPr="00C96521">
        <w:rPr>
          <w:rFonts w:eastAsia="MS Mincho"/>
          <w:sz w:val="20"/>
          <w:szCs w:val="22"/>
          <w:lang w:val="en-GB" w:eastAsia="ja-JP"/>
        </w:rPr>
        <w:t xml:space="preserve"> from the field boundary), while employing sown plots elsewhere, may provide a better option. Furthermore, cultivated plots may provide a better option if there are already populations of </w:t>
      </w:r>
      <w:r w:rsidRPr="00C96521">
        <w:rPr>
          <w:rFonts w:eastAsia="MS Mincho"/>
          <w:i/>
          <w:sz w:val="20"/>
          <w:szCs w:val="22"/>
          <w:lang w:val="en-GB" w:eastAsia="ja-JP"/>
        </w:rPr>
        <w:t>Fumaria officinalis</w:t>
      </w:r>
      <w:r w:rsidRPr="00C96521">
        <w:rPr>
          <w:rFonts w:eastAsia="MS Mincho"/>
          <w:sz w:val="20"/>
          <w:szCs w:val="22"/>
          <w:lang w:val="en-GB" w:eastAsia="ja-JP"/>
        </w:rPr>
        <w:t xml:space="preserve"> or other species of small-seeded arable plants present on the holding. Plots should be located on level ground and not adjacent to watercourses, to minimise the risks of soil loss and run-off.</w:t>
      </w:r>
    </w:p>
    <w:p w14:paraId="6C6969E9" w14:textId="77777777" w:rsidR="00C96521" w:rsidRPr="00C96521" w:rsidRDefault="00C96521" w:rsidP="00C96521">
      <w:pPr>
        <w:widowControl/>
        <w:autoSpaceDE/>
        <w:autoSpaceDN/>
        <w:adjustRightInd/>
        <w:spacing w:line="276" w:lineRule="auto"/>
        <w:rPr>
          <w:rFonts w:eastAsia="MS Mincho"/>
          <w:b/>
          <w:i/>
          <w:sz w:val="20"/>
          <w:szCs w:val="22"/>
          <w:lang w:val="en-GB" w:eastAsia="ja-JP"/>
        </w:rPr>
      </w:pPr>
    </w:p>
    <w:p w14:paraId="2310FA92"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Cultivated areas</w:t>
      </w:r>
    </w:p>
    <w:p w14:paraId="5D696E4E"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0B99A2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No study has specifically evaluated the benefit of cultivated, uncropped areas in providing a source of naturally-regenerating seed for turtle-doves. However, the Brown and Aebischer (2003a) study of foraging locations from radio-tagged birds, plus anecdotal casual observations, suggest that if managed in the correct way and in the presence of an abundant and diverse seed bank (most likely on lighter sandy or chalky soils or in areas with a shorter, less-intensive history of crop production), cultivated, uncropped areas can provide abundant, accessible sources of seed from arable species known to be present in turtle-dove diet. </w:t>
      </w:r>
    </w:p>
    <w:p w14:paraId="5B5C832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71FF145" w14:textId="459658B5"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In England, Agri-environment Schemes have long contained management options that provide for the annual cultivation of uncropped areas for arable plant communities, or ground-nesting birds such as Eurasian </w:t>
      </w:r>
      <w:r w:rsidR="004D5651">
        <w:rPr>
          <w:rFonts w:eastAsia="MS Mincho"/>
          <w:sz w:val="20"/>
          <w:szCs w:val="22"/>
          <w:lang w:val="en-GB" w:eastAsia="ja-JP"/>
        </w:rPr>
        <w:t>S</w:t>
      </w:r>
      <w:r w:rsidRPr="00C96521">
        <w:rPr>
          <w:rFonts w:eastAsia="MS Mincho"/>
          <w:sz w:val="20"/>
          <w:szCs w:val="22"/>
          <w:lang w:val="en-GB" w:eastAsia="ja-JP"/>
        </w:rPr>
        <w:t xml:space="preserve">tone </w:t>
      </w:r>
      <w:r w:rsidR="004D5651">
        <w:rPr>
          <w:rFonts w:eastAsia="MS Mincho"/>
          <w:sz w:val="20"/>
          <w:szCs w:val="22"/>
          <w:lang w:val="en-GB" w:eastAsia="ja-JP"/>
        </w:rPr>
        <w:t>C</w:t>
      </w:r>
      <w:r w:rsidRPr="00C96521">
        <w:rPr>
          <w:rFonts w:eastAsia="MS Mincho"/>
          <w:sz w:val="20"/>
          <w:szCs w:val="22"/>
          <w:lang w:val="en-GB" w:eastAsia="ja-JP"/>
        </w:rPr>
        <w:t>urlew (</w:t>
      </w:r>
      <w:r w:rsidRPr="00C96521">
        <w:rPr>
          <w:rFonts w:eastAsia="MS Mincho"/>
          <w:i/>
          <w:sz w:val="20"/>
          <w:szCs w:val="22"/>
          <w:lang w:val="en-GB" w:eastAsia="ja-JP"/>
        </w:rPr>
        <w:t>Burhinus oedicnemus</w:t>
      </w:r>
      <w:r w:rsidRPr="00C96521">
        <w:rPr>
          <w:rFonts w:eastAsia="MS Mincho"/>
          <w:sz w:val="20"/>
          <w:szCs w:val="22"/>
          <w:lang w:val="en-GB" w:eastAsia="ja-JP"/>
        </w:rPr>
        <w:t xml:space="preserve">) and </w:t>
      </w:r>
      <w:r w:rsidR="004D5651">
        <w:rPr>
          <w:rFonts w:eastAsia="MS Mincho"/>
          <w:sz w:val="20"/>
          <w:szCs w:val="22"/>
          <w:lang w:val="en-GB" w:eastAsia="ja-JP"/>
        </w:rPr>
        <w:t>N</w:t>
      </w:r>
      <w:r w:rsidRPr="00C96521">
        <w:rPr>
          <w:rFonts w:eastAsia="MS Mincho"/>
          <w:sz w:val="20"/>
          <w:szCs w:val="22"/>
          <w:lang w:val="en-GB" w:eastAsia="ja-JP"/>
        </w:rPr>
        <w:t xml:space="preserve">orthern </w:t>
      </w:r>
      <w:r w:rsidR="004D5651">
        <w:rPr>
          <w:rFonts w:eastAsia="MS Mincho"/>
          <w:sz w:val="20"/>
          <w:szCs w:val="22"/>
          <w:lang w:val="en-GB" w:eastAsia="ja-JP"/>
        </w:rPr>
        <w:t>L</w:t>
      </w:r>
      <w:r w:rsidRPr="00C96521">
        <w:rPr>
          <w:rFonts w:eastAsia="MS Mincho"/>
          <w:sz w:val="20"/>
          <w:szCs w:val="22"/>
          <w:lang w:val="en-GB" w:eastAsia="ja-JP"/>
        </w:rPr>
        <w:t>apwing (</w:t>
      </w:r>
      <w:r w:rsidRPr="00C96521">
        <w:rPr>
          <w:rFonts w:eastAsia="MS Mincho"/>
          <w:i/>
          <w:sz w:val="20"/>
          <w:szCs w:val="22"/>
          <w:lang w:val="en-GB" w:eastAsia="ja-JP"/>
        </w:rPr>
        <w:t>Vanellus vanellus</w:t>
      </w:r>
      <w:r w:rsidRPr="00C96521">
        <w:rPr>
          <w:rFonts w:eastAsia="MS Mincho"/>
          <w:sz w:val="20"/>
          <w:szCs w:val="22"/>
          <w:lang w:val="en-GB" w:eastAsia="ja-JP"/>
        </w:rPr>
        <w:t xml:space="preserve">). In Countryside Stewardship, option AB11 provides for the creation of cultivated but uncropped areas for arable plants. Typically, these are field margins, but can also be plots in the field centre, and they are easiest to manage and provide the greatest range of seeds suitable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w:t>
      </w:r>
      <w:r w:rsidRPr="00C96521">
        <w:rPr>
          <w:rFonts w:eastAsia="MS Mincho"/>
          <w:sz w:val="20"/>
          <w:szCs w:val="22"/>
          <w:lang w:val="en-GB" w:eastAsia="ja-JP"/>
        </w:rPr>
        <w:t xml:space="preserve">on sites with lighter soils, which tend to have the most species-rich seed banks and lesser populations of difficult to control weeds not commonly found in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 xml:space="preserve">diet, such as </w:t>
      </w:r>
      <w:r w:rsidRPr="00C96521">
        <w:rPr>
          <w:rFonts w:eastAsia="MS Mincho"/>
          <w:i/>
          <w:sz w:val="20"/>
          <w:szCs w:val="22"/>
          <w:lang w:val="en-GB" w:eastAsia="ja-JP"/>
        </w:rPr>
        <w:t>Alopecurus myosuroides</w:t>
      </w:r>
      <w:r w:rsidRPr="00C96521">
        <w:rPr>
          <w:rFonts w:eastAsia="MS Mincho"/>
          <w:sz w:val="20"/>
          <w:szCs w:val="22"/>
          <w:lang w:val="en-GB" w:eastAsia="ja-JP"/>
        </w:rPr>
        <w:t xml:space="preserve">. This option works best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w:t>
      </w:r>
      <w:r w:rsidRPr="00C96521">
        <w:rPr>
          <w:rFonts w:eastAsia="MS Mincho"/>
          <w:sz w:val="20"/>
          <w:szCs w:val="22"/>
          <w:lang w:val="en-GB" w:eastAsia="ja-JP"/>
        </w:rPr>
        <w:t xml:space="preserve">when autumn-cultivated, to allow time for regenerating plants to set seed, and placed in areas with lower soil fertility and with as few pernicious weeds as possible. On heavy soils, a two-stage cultivation programme, incorporating an autumn cultivation followed by an application of a non-selective herbicide prior to a secondary cultivation completed in early spring, can deliver weed-rich habitat with minimised pernicious weeds. Where appropriate, combining both spring and autumn-cultivated AB11 plots on same the agreement/field and, ideally, in combination with a AB1/SP9 plot, will increase the diversity and resilience of seed food provided to the turtle-doves. The desired outcome is a plot containing arable flora such as </w:t>
      </w:r>
      <w:r w:rsidRPr="00C96521">
        <w:rPr>
          <w:rFonts w:eastAsia="MS Mincho"/>
          <w:i/>
          <w:sz w:val="20"/>
          <w:szCs w:val="22"/>
          <w:lang w:val="en-GB" w:eastAsia="ja-JP"/>
        </w:rPr>
        <w:t>Fumaria officinalis</w:t>
      </w:r>
      <w:r w:rsidRPr="00C96521">
        <w:rPr>
          <w:rFonts w:eastAsia="MS Mincho"/>
          <w:sz w:val="20"/>
          <w:szCs w:val="22"/>
          <w:lang w:val="en-GB" w:eastAsia="ja-JP"/>
        </w:rPr>
        <w:t xml:space="preserve">, </w:t>
      </w:r>
      <w:r w:rsidRPr="00C96521">
        <w:rPr>
          <w:rFonts w:eastAsia="MS Mincho"/>
          <w:i/>
          <w:sz w:val="20"/>
          <w:szCs w:val="22"/>
          <w:lang w:val="en-GB" w:eastAsia="ja-JP"/>
        </w:rPr>
        <w:t>Stellaria media</w:t>
      </w:r>
      <w:r w:rsidRPr="00C96521">
        <w:rPr>
          <w:rFonts w:eastAsia="MS Mincho"/>
          <w:sz w:val="20"/>
          <w:szCs w:val="22"/>
          <w:lang w:val="en-GB" w:eastAsia="ja-JP"/>
        </w:rPr>
        <w:t xml:space="preserve"> and </w:t>
      </w:r>
      <w:r w:rsidRPr="00C96521">
        <w:rPr>
          <w:rFonts w:eastAsia="MS Mincho"/>
          <w:i/>
          <w:sz w:val="20"/>
          <w:szCs w:val="22"/>
          <w:lang w:val="en-GB" w:eastAsia="ja-JP"/>
        </w:rPr>
        <w:t>Anagallis arvensis</w:t>
      </w:r>
      <w:r w:rsidRPr="00C96521">
        <w:rPr>
          <w:rFonts w:eastAsia="MS Mincho"/>
          <w:sz w:val="20"/>
          <w:szCs w:val="22"/>
          <w:lang w:val="en-GB" w:eastAsia="ja-JP"/>
        </w:rPr>
        <w:t xml:space="preserve"> with an open structure that allows foraging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w:t>
      </w:r>
      <w:r w:rsidRPr="00C96521">
        <w:rPr>
          <w:rFonts w:eastAsia="MS Mincho"/>
          <w:sz w:val="20"/>
          <w:szCs w:val="22"/>
          <w:lang w:val="en-GB" w:eastAsia="ja-JP"/>
        </w:rPr>
        <w:t>access to seeds on the ground (Figure X).</w:t>
      </w:r>
    </w:p>
    <w:p w14:paraId="6F779AD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A7BFB7A"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lastRenderedPageBreak/>
        <w:drawing>
          <wp:inline distT="0" distB="0" distL="0" distR="0" wp14:anchorId="3F36152B" wp14:editId="18D6E87E">
            <wp:extent cx="4567508" cy="2653145"/>
            <wp:effectExtent l="19050" t="0" r="4492" b="0"/>
            <wp:docPr id="17" name="Picture 7" descr="C:\Users\m290597\AppData\Local\Microsoft\Windows\Temporary Internet Files\Content.Outlook\C4UIA8LM\F3_3_block_visi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290597\AppData\Local\Microsoft\Windows\Temporary Internet Files\Content.Outlook\C4UIA8LM\F3_3_block_visit2.JPG"/>
                    <pic:cNvPicPr>
                      <a:picLocks noChangeAspect="1" noChangeArrowheads="1"/>
                    </pic:cNvPicPr>
                  </pic:nvPicPr>
                  <pic:blipFill>
                    <a:blip r:embed="rId54" cstate="print">
                      <a:extLst>
                        <a:ext uri="{28A0092B-C50C-407E-A947-70E740481C1C}">
                          <a14:useLocalDpi xmlns:a14="http://schemas.microsoft.com/office/drawing/2010/main" val="0"/>
                        </a:ext>
                      </a:extLst>
                    </a:blip>
                    <a:srcRect t="22607"/>
                    <a:stretch>
                      <a:fillRect/>
                    </a:stretch>
                  </pic:blipFill>
                  <pic:spPr bwMode="auto">
                    <a:xfrm>
                      <a:off x="0" y="0"/>
                      <a:ext cx="4567508" cy="2653145"/>
                    </a:xfrm>
                    <a:prstGeom prst="rect">
                      <a:avLst/>
                    </a:prstGeom>
                    <a:noFill/>
                    <a:ln>
                      <a:noFill/>
                    </a:ln>
                  </pic:spPr>
                </pic:pic>
              </a:graphicData>
            </a:graphic>
          </wp:inline>
        </w:drawing>
      </w:r>
    </w:p>
    <w:p w14:paraId="616B5B59"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E9C51FA" w14:textId="292D8E38"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 xml:space="preserve">Figure 18. A well-managed uncropped AB11 plot delivering suitable foraging habitat for </w:t>
      </w:r>
      <w:r w:rsidR="004D5651">
        <w:rPr>
          <w:rFonts w:eastAsia="MS Mincho"/>
          <w:i/>
          <w:sz w:val="20"/>
          <w:szCs w:val="22"/>
          <w:lang w:val="en-GB" w:eastAsia="ja-JP"/>
        </w:rPr>
        <w:t>T</w:t>
      </w:r>
      <w:r w:rsidRPr="00C96521">
        <w:rPr>
          <w:rFonts w:eastAsia="MS Mincho"/>
          <w:i/>
          <w:sz w:val="20"/>
          <w:szCs w:val="22"/>
          <w:lang w:val="en-GB" w:eastAsia="ja-JP"/>
        </w:rPr>
        <w:t>urtle</w:t>
      </w:r>
      <w:r w:rsidR="004D5651">
        <w:rPr>
          <w:rFonts w:eastAsia="MS Mincho"/>
          <w:i/>
          <w:sz w:val="20"/>
          <w:szCs w:val="22"/>
          <w:lang w:val="en-GB" w:eastAsia="ja-JP"/>
        </w:rPr>
        <w:t xml:space="preserve"> D</w:t>
      </w:r>
      <w:r w:rsidRPr="00C96521">
        <w:rPr>
          <w:rFonts w:eastAsia="MS Mincho"/>
          <w:i/>
          <w:sz w:val="20"/>
          <w:szCs w:val="22"/>
          <w:lang w:val="en-GB" w:eastAsia="ja-JP"/>
        </w:rPr>
        <w:t>oves.</w:t>
      </w:r>
    </w:p>
    <w:p w14:paraId="7E01CC3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603750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If undesirable weeds such as black-grass </w:t>
      </w:r>
      <w:r w:rsidRPr="00C96521">
        <w:rPr>
          <w:rFonts w:eastAsia="MS Mincho"/>
          <w:i/>
          <w:sz w:val="20"/>
          <w:szCs w:val="22"/>
          <w:lang w:val="en-GB" w:eastAsia="ja-JP"/>
        </w:rPr>
        <w:t>Alopecurus myosuroides</w:t>
      </w:r>
      <w:r w:rsidRPr="00C96521">
        <w:rPr>
          <w:rFonts w:eastAsia="MS Mincho"/>
          <w:sz w:val="20"/>
          <w:szCs w:val="22"/>
          <w:lang w:val="en-GB" w:eastAsia="ja-JP"/>
        </w:rPr>
        <w:t xml:space="preserve"> start to build up, the timing and depth of cultivation can be changed to break the life cycle of the weeds, or the plot can be rotated around different edges of the same field. Alternatively, the following herbicide control options can be considered:</w:t>
      </w:r>
    </w:p>
    <w:p w14:paraId="40155A06" w14:textId="77777777" w:rsidR="004D5651" w:rsidRDefault="004D5651" w:rsidP="00C96521">
      <w:pPr>
        <w:widowControl/>
        <w:autoSpaceDE/>
        <w:autoSpaceDN/>
        <w:adjustRightInd/>
        <w:spacing w:line="276" w:lineRule="auto"/>
        <w:rPr>
          <w:rFonts w:eastAsia="MS Mincho"/>
          <w:sz w:val="20"/>
          <w:szCs w:val="22"/>
          <w:lang w:val="en-GB" w:eastAsia="ja-JP"/>
        </w:rPr>
      </w:pPr>
    </w:p>
    <w:p w14:paraId="6DAE5A4C" w14:textId="0115E596"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where rare arable plants are present but the perennial weed burden is impacting on the growth, the use of a non-selective herbicide in September will control the perennial species with minimal damage to the rare annual species, which will have largely seeded by the autumn;</w:t>
      </w:r>
    </w:p>
    <w:p w14:paraId="54CB08FF" w14:textId="6DB9AB4B"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where rare arable plants are not present, applying a non-selective herbicide to control grass weeds such as </w:t>
      </w:r>
      <w:r w:rsidRPr="00C96521">
        <w:rPr>
          <w:rFonts w:eastAsia="MS Mincho"/>
          <w:i/>
          <w:sz w:val="20"/>
          <w:szCs w:val="22"/>
          <w:lang w:val="en-GB" w:eastAsia="ja-JP"/>
        </w:rPr>
        <w:t>A. myosuroides</w:t>
      </w:r>
      <w:r w:rsidRPr="00C96521">
        <w:rPr>
          <w:rFonts w:eastAsia="MS Mincho"/>
          <w:sz w:val="20"/>
          <w:szCs w:val="22"/>
          <w:lang w:val="en-GB" w:eastAsia="ja-JP"/>
        </w:rPr>
        <w:t xml:space="preserve"> following an autumn cultivation and prior to a secondary cultivation pass can be considered to help maintain an acceptable level of weed control, without jeopardi</w:t>
      </w:r>
      <w:r w:rsidR="004D5651">
        <w:rPr>
          <w:rFonts w:eastAsia="MS Mincho"/>
          <w:sz w:val="20"/>
          <w:szCs w:val="22"/>
          <w:lang w:val="en-GB" w:eastAsia="ja-JP"/>
        </w:rPr>
        <w:t>z</w:t>
      </w:r>
      <w:r w:rsidRPr="00C96521">
        <w:rPr>
          <w:rFonts w:eastAsia="MS Mincho"/>
          <w:sz w:val="20"/>
          <w:szCs w:val="22"/>
          <w:lang w:val="en-GB" w:eastAsia="ja-JP"/>
        </w:rPr>
        <w:t>ing the delivery of the outcome of seed-rich, open foraging habitat for turtle-dove; this should only be carried out if there are high levels of undesirable weeds, adopting a three-stage approach: (1) cultivate the option area between 1 August and 1 November each year to stimulate a flush of autumn germinating weeds such as black-grass (up to two passes with primary and secondary cultivation implements can be completed); (2) spray off the resultant weed flush by 15 February using a non-selective herbicide; and (3) complete a final cultivation to achieve a firm, fine tilth by 15 March; this final cultivation is intended to generate a flush of spring germinating annual plants which are taken by many farmland birds; do not disturb fallow areas until 31 August.</w:t>
      </w:r>
    </w:p>
    <w:p w14:paraId="0C25145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058A81E3"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Implementing management of nesting and foraging habitats on a single site</w:t>
      </w:r>
    </w:p>
    <w:p w14:paraId="2DA595FE"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4477F16A" w14:textId="337E6FE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Agri-environment Schemes are the main mechanism for delivering the sympathetic management of farmland for </w:t>
      </w:r>
      <w:r w:rsidR="004D5651">
        <w:rPr>
          <w:rFonts w:eastAsia="MS Mincho"/>
          <w:sz w:val="20"/>
          <w:szCs w:val="22"/>
          <w:lang w:val="en-GB" w:eastAsia="ja-JP"/>
        </w:rPr>
        <w:t>T</w:t>
      </w:r>
      <w:r w:rsidRPr="00C96521">
        <w:rPr>
          <w:rFonts w:eastAsia="MS Mincho"/>
          <w:sz w:val="20"/>
          <w:szCs w:val="22"/>
          <w:lang w:val="en-GB" w:eastAsia="ja-JP"/>
        </w:rPr>
        <w:t>urtle</w:t>
      </w:r>
      <w:r w:rsidR="004D5651">
        <w:rPr>
          <w:rFonts w:eastAsia="MS Mincho"/>
          <w:sz w:val="20"/>
          <w:szCs w:val="22"/>
          <w:lang w:val="en-GB" w:eastAsia="ja-JP"/>
        </w:rPr>
        <w:t xml:space="preserve"> D</w:t>
      </w:r>
      <w:r w:rsidRPr="00C96521">
        <w:rPr>
          <w:rFonts w:eastAsia="MS Mincho"/>
          <w:sz w:val="20"/>
          <w:szCs w:val="22"/>
          <w:lang w:val="en-GB" w:eastAsia="ja-JP"/>
        </w:rPr>
        <w:t xml:space="preserve">oves in the UK. Previous Agri-environment Schemes have failed to halt declines at the regional or national levels, while evaluations of the Entry and Higher Levels of Environmental Stewardship in England detected no relationship between the presence or extent of agri-environment and trends in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 xml:space="preserve">abundance (Baker </w:t>
      </w:r>
      <w:r w:rsidRPr="00C96521">
        <w:rPr>
          <w:rFonts w:eastAsia="MS Mincho"/>
          <w:i/>
          <w:sz w:val="20"/>
          <w:szCs w:val="22"/>
          <w:lang w:val="en-GB" w:eastAsia="ja-JP"/>
        </w:rPr>
        <w:t>et al</w:t>
      </w:r>
      <w:r w:rsidRPr="00C96521">
        <w:rPr>
          <w:rFonts w:eastAsia="MS Mincho"/>
          <w:sz w:val="20"/>
          <w:szCs w:val="22"/>
          <w:lang w:val="en-GB" w:eastAsia="ja-JP"/>
        </w:rPr>
        <w:t xml:space="preserve"> 2012, Bright </w:t>
      </w:r>
      <w:r w:rsidRPr="00C96521">
        <w:rPr>
          <w:rFonts w:eastAsia="MS Mincho"/>
          <w:i/>
          <w:sz w:val="20"/>
          <w:szCs w:val="22"/>
          <w:lang w:val="en-GB" w:eastAsia="ja-JP"/>
        </w:rPr>
        <w:t>et al</w:t>
      </w:r>
      <w:r w:rsidRPr="00C96521">
        <w:rPr>
          <w:rFonts w:eastAsia="MS Mincho"/>
          <w:sz w:val="20"/>
          <w:szCs w:val="22"/>
          <w:lang w:val="en-GB" w:eastAsia="ja-JP"/>
        </w:rPr>
        <w:t xml:space="preserve"> 2015). At least in part, this may be due to the lack of suitable options (particularly for foraging habitat) in the schemes. In view of the ongoing, steep decline, a species recovery initiative </w:t>
      </w:r>
      <w:r w:rsidRPr="00C96521">
        <w:rPr>
          <w:rFonts w:eastAsia="MS Mincho"/>
          <w:i/>
          <w:sz w:val="20"/>
          <w:szCs w:val="22"/>
          <w:lang w:val="en-GB" w:eastAsia="ja-JP"/>
        </w:rPr>
        <w:t>Operation Turtle-dove</w:t>
      </w:r>
      <w:r w:rsidRPr="00C96521">
        <w:rPr>
          <w:rFonts w:eastAsia="MS Mincho"/>
          <w:sz w:val="20"/>
          <w:szCs w:val="22"/>
          <w:lang w:val="en-GB" w:eastAsia="ja-JP"/>
        </w:rPr>
        <w:t xml:space="preserve"> (</w:t>
      </w:r>
      <w:r w:rsidRPr="00C96521">
        <w:rPr>
          <w:rFonts w:eastAsia="MS Mincho" w:cs="Arial"/>
          <w:sz w:val="20"/>
          <w:szCs w:val="20"/>
          <w:lang w:val="en-GB" w:eastAsia="ja-JP"/>
        </w:rPr>
        <w:t>http://operationturtledove.org</w:t>
      </w:r>
      <w:r w:rsidRPr="00C96521">
        <w:rPr>
          <w:rFonts w:eastAsia="MS Mincho"/>
          <w:sz w:val="20"/>
          <w:szCs w:val="22"/>
          <w:lang w:val="en-GB" w:eastAsia="ja-JP"/>
        </w:rPr>
        <w:t xml:space="preserve">) was set up by RSPB, Conservation Grade, Pensthorpe Trust and Natural England to carry out a range of targeted actions, including promotion of turtle-dove-friendly land management to farmers through Agri-environment Schemes. </w:t>
      </w:r>
    </w:p>
    <w:p w14:paraId="4875359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394CF25" w14:textId="65BDA63F"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Forming the basis of effective land management was the need to develop a package of measures that provided all of the ecological requirements of the species during the breeding season on a single agreement (site) in sufficient quantity and in appropriate locations. Although adult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w:t>
      </w:r>
      <w:r w:rsidRPr="00C96521">
        <w:rPr>
          <w:rFonts w:eastAsia="MS Mincho"/>
          <w:sz w:val="20"/>
          <w:szCs w:val="22"/>
          <w:lang w:val="en-GB" w:eastAsia="ja-JP"/>
        </w:rPr>
        <w:t xml:space="preserve">can </w:t>
      </w:r>
      <w:r w:rsidRPr="00C96521">
        <w:rPr>
          <w:rFonts w:eastAsia="MS Mincho"/>
          <w:sz w:val="20"/>
          <w:szCs w:val="22"/>
          <w:lang w:val="en-GB" w:eastAsia="ja-JP"/>
        </w:rPr>
        <w:lastRenderedPageBreak/>
        <w:t xml:space="preserve">forage and move between nest sites over distances of several kilometres, this is likely to entail a high energetic cost. During the first three weeks post-fledging, juveniles spend more than half their time within </w:t>
      </w:r>
      <w:r w:rsidRPr="00C96521">
        <w:rPr>
          <w:rFonts w:ascii="Cambria Math" w:eastAsia="MS Mincho" w:hAnsi="Cambria Math"/>
          <w:sz w:val="20"/>
          <w:szCs w:val="22"/>
          <w:lang w:val="en-GB" w:eastAsia="ja-JP"/>
        </w:rPr>
        <w:t>∼</w:t>
      </w:r>
      <w:r w:rsidRPr="00C96521">
        <w:rPr>
          <w:rFonts w:eastAsia="MS Mincho"/>
          <w:sz w:val="20"/>
          <w:szCs w:val="22"/>
          <w:lang w:val="en-GB" w:eastAsia="ja-JP"/>
        </w:rPr>
        <w:t>20 m</w:t>
      </w:r>
      <w:r w:rsidR="004D5651">
        <w:rPr>
          <w:rFonts w:eastAsia="MS Mincho"/>
          <w:sz w:val="20"/>
          <w:szCs w:val="22"/>
          <w:lang w:val="en-GB" w:eastAsia="ja-JP"/>
        </w:rPr>
        <w:t>etres</w:t>
      </w:r>
      <w:r w:rsidRPr="00C96521">
        <w:rPr>
          <w:rFonts w:eastAsia="MS Mincho"/>
          <w:sz w:val="20"/>
          <w:szCs w:val="22"/>
          <w:lang w:val="en-GB" w:eastAsia="ja-JP"/>
        </w:rPr>
        <w:t xml:space="preserve"> of the nest site (with 95</w:t>
      </w:r>
      <w:r w:rsidR="004D5651">
        <w:rPr>
          <w:rFonts w:eastAsia="MS Mincho"/>
          <w:sz w:val="20"/>
          <w:szCs w:val="22"/>
          <w:lang w:val="en-GB" w:eastAsia="ja-JP"/>
        </w:rPr>
        <w:t xml:space="preserve"> per cent</w:t>
      </w:r>
      <w:r w:rsidR="004D5651" w:rsidRPr="00C96521">
        <w:rPr>
          <w:rFonts w:eastAsia="MS Mincho"/>
          <w:sz w:val="20"/>
          <w:szCs w:val="22"/>
          <w:lang w:val="en-GB" w:eastAsia="ja-JP"/>
        </w:rPr>
        <w:t xml:space="preserve"> </w:t>
      </w:r>
      <w:r w:rsidRPr="00C96521">
        <w:rPr>
          <w:rFonts w:eastAsia="MS Mincho"/>
          <w:sz w:val="20"/>
          <w:szCs w:val="22"/>
          <w:lang w:val="en-GB" w:eastAsia="ja-JP"/>
        </w:rPr>
        <w:t>of foraging trips within 329 m</w:t>
      </w:r>
      <w:r w:rsidR="004D5651">
        <w:rPr>
          <w:rFonts w:eastAsia="MS Mincho"/>
          <w:sz w:val="20"/>
          <w:szCs w:val="22"/>
          <w:lang w:val="en-GB" w:eastAsia="ja-JP"/>
        </w:rPr>
        <w:t>etres</w:t>
      </w:r>
      <w:r w:rsidRPr="00C96521">
        <w:rPr>
          <w:rFonts w:eastAsia="MS Mincho"/>
          <w:sz w:val="20"/>
          <w:szCs w:val="22"/>
          <w:lang w:val="en-GB" w:eastAsia="ja-JP"/>
        </w:rPr>
        <w:t xml:space="preserve"> of the nest), where they select seed-rich habitat. Fledglings that were heavier and in better body condition at seven days old were more likely to survive for 30 days post-fledging, and the proportion of available seed-rich habitat was a strong predictor of nestling weight and condition at seven days old (Dunn </w:t>
      </w:r>
      <w:r w:rsidRPr="00C96521">
        <w:rPr>
          <w:rFonts w:eastAsia="MS Mincho"/>
          <w:i/>
          <w:sz w:val="20"/>
          <w:szCs w:val="22"/>
          <w:lang w:val="en-GB" w:eastAsia="ja-JP"/>
        </w:rPr>
        <w:t>et al</w:t>
      </w:r>
      <w:r w:rsidRPr="00C96521">
        <w:rPr>
          <w:rFonts w:eastAsia="MS Mincho"/>
          <w:sz w:val="20"/>
          <w:szCs w:val="22"/>
          <w:lang w:val="en-GB" w:eastAsia="ja-JP"/>
        </w:rPr>
        <w:t xml:space="preserve"> 2016a). Therefore, providing both nesting and foraging requirements on a single site is likely to be highly advantageous for the species. Providing a range of different foraging habitats (sown and natural-regeneration from cultivation) within the same agreement can provide a more diverse and resilient supply of accessible seed food. </w:t>
      </w:r>
    </w:p>
    <w:p w14:paraId="0EDBA59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B6D7CD0" w14:textId="6126204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Between 2013 and 2015, the types of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w:t>
      </w:r>
      <w:r w:rsidRPr="00C96521">
        <w:rPr>
          <w:rFonts w:eastAsia="MS Mincho"/>
          <w:sz w:val="20"/>
          <w:szCs w:val="22"/>
          <w:lang w:val="en-GB" w:eastAsia="ja-JP"/>
        </w:rPr>
        <w:t>-friendly nesting and foraging habitats outlined previously, plus other possibly suitable agri-environment measures, were rolled out in combination in a pilot project on test the efficacy of a “</w:t>
      </w:r>
      <w:r w:rsidR="004D5651">
        <w:rPr>
          <w:rFonts w:eastAsia="MS Mincho"/>
          <w:sz w:val="20"/>
          <w:szCs w:val="22"/>
          <w:lang w:val="en-GB" w:eastAsia="ja-JP"/>
        </w:rPr>
        <w:t>Tu</w:t>
      </w:r>
      <w:r w:rsidRPr="00C96521">
        <w:rPr>
          <w:rFonts w:eastAsia="MS Mincho"/>
          <w:sz w:val="20"/>
          <w:szCs w:val="22"/>
          <w:lang w:val="en-GB" w:eastAsia="ja-JP"/>
        </w:rPr>
        <w:t>rtle</w:t>
      </w:r>
      <w:r w:rsidR="004D5651">
        <w:rPr>
          <w:rFonts w:eastAsia="MS Mincho"/>
          <w:sz w:val="20"/>
          <w:szCs w:val="22"/>
          <w:lang w:val="en-GB" w:eastAsia="ja-JP"/>
        </w:rPr>
        <w:t xml:space="preserve"> D</w:t>
      </w:r>
      <w:r w:rsidRPr="00C96521">
        <w:rPr>
          <w:rFonts w:eastAsia="MS Mincho"/>
          <w:sz w:val="20"/>
          <w:szCs w:val="22"/>
          <w:lang w:val="en-GB" w:eastAsia="ja-JP"/>
        </w:rPr>
        <w:t xml:space="preserve">oves package”. Pilot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Pr="00C96521">
        <w:rPr>
          <w:rFonts w:eastAsia="MS Mincho"/>
          <w:sz w:val="20"/>
          <w:szCs w:val="22"/>
          <w:lang w:val="en-GB" w:eastAsia="ja-JP"/>
        </w:rPr>
        <w:t xml:space="preserve"> package agreements were set up on a number of Higher Level Stewardship (HLS) sites in Eastern England with recent records of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w:t>
      </w:r>
      <w:r w:rsidRPr="00C96521">
        <w:rPr>
          <w:rFonts w:eastAsia="MS Mincho"/>
          <w:sz w:val="20"/>
          <w:szCs w:val="22"/>
          <w:lang w:val="en-GB" w:eastAsia="ja-JP"/>
        </w:rPr>
        <w:t xml:space="preserve">nearby. HLS was the higher-tier of the Environmental Stewardship Agri-environment Scheme available (on a competitive basis) to farmers in England from 2006 until the end of 2015. Twenty HLS agreements with packages of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w:t>
      </w:r>
      <w:r w:rsidRPr="00C96521">
        <w:rPr>
          <w:rFonts w:eastAsia="MS Mincho"/>
          <w:sz w:val="20"/>
          <w:szCs w:val="22"/>
          <w:lang w:val="en-GB" w:eastAsia="ja-JP"/>
        </w:rPr>
        <w:t xml:space="preserve">-friendly management were surveyed in summer 2015 and found to have a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Pr="00C96521">
        <w:rPr>
          <w:rFonts w:eastAsia="MS Mincho"/>
          <w:sz w:val="20"/>
          <w:szCs w:val="22"/>
          <w:lang w:val="en-GB" w:eastAsia="ja-JP"/>
        </w:rPr>
        <w:t xml:space="preserve"> occupancy rate of 45</w:t>
      </w:r>
      <w:r w:rsidR="004D5651">
        <w:rPr>
          <w:rFonts w:eastAsia="MS Mincho"/>
          <w:sz w:val="20"/>
          <w:szCs w:val="22"/>
          <w:lang w:val="en-GB" w:eastAsia="ja-JP"/>
        </w:rPr>
        <w:t xml:space="preserve"> per cent</w:t>
      </w:r>
      <w:r w:rsidRPr="00C96521">
        <w:rPr>
          <w:rFonts w:eastAsia="MS Mincho"/>
          <w:sz w:val="20"/>
          <w:szCs w:val="22"/>
          <w:lang w:val="en-GB" w:eastAsia="ja-JP"/>
        </w:rPr>
        <w:t xml:space="preserve"> (corrected to 64.3</w:t>
      </w:r>
      <w:r w:rsidR="004D5651">
        <w:rPr>
          <w:rFonts w:eastAsia="MS Mincho"/>
          <w:sz w:val="20"/>
          <w:szCs w:val="22"/>
          <w:lang w:val="en-GB" w:eastAsia="ja-JP"/>
        </w:rPr>
        <w:t xml:space="preserve"> per cent</w:t>
      </w:r>
      <w:r w:rsidRPr="00C96521">
        <w:rPr>
          <w:rFonts w:eastAsia="MS Mincho"/>
          <w:sz w:val="20"/>
          <w:szCs w:val="22"/>
          <w:lang w:val="en-GB" w:eastAsia="ja-JP"/>
        </w:rPr>
        <w:t>, when controlling for the 70</w:t>
      </w:r>
      <w:r w:rsidR="004D5651">
        <w:rPr>
          <w:rFonts w:eastAsia="MS Mincho"/>
          <w:sz w:val="20"/>
          <w:szCs w:val="22"/>
          <w:lang w:val="en-GB" w:eastAsia="ja-JP"/>
        </w:rPr>
        <w:t xml:space="preserve"> per cent</w:t>
      </w:r>
      <w:r w:rsidRPr="00C96521">
        <w:rPr>
          <w:rFonts w:eastAsia="MS Mincho"/>
          <w:sz w:val="20"/>
          <w:szCs w:val="22"/>
          <w:lang w:val="en-GB" w:eastAsia="ja-JP"/>
        </w:rPr>
        <w:t xml:space="preserve"> detection rate of the survey methodology), against the backdrop of an ongoing, steep decline in the species, and the fact that most management had only been implemented for 1-2 years. 58</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evaluated sections of tall hedges and scrub provided potentially suitable nesting sites, but only 31</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evaluated foraging habitat was considered suitable, the most common reason for unsuitability being a lack of bare ground. Despite the suboptimal delivery of access to seed on the ground, there was a marginally significant tendency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Pr="00C96521">
        <w:rPr>
          <w:rFonts w:eastAsia="MS Mincho"/>
          <w:sz w:val="20"/>
          <w:szCs w:val="22"/>
          <w:lang w:val="en-GB" w:eastAsia="ja-JP"/>
        </w:rPr>
        <w:t xml:space="preserve"> abundance to increase with increasing area of nectar flower mix with threatened species supplement, on the agreements. 80</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the evaluated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Pr="00C96521">
        <w:rPr>
          <w:rFonts w:eastAsia="MS Mincho"/>
          <w:sz w:val="20"/>
          <w:szCs w:val="22"/>
          <w:lang w:val="en-GB" w:eastAsia="ja-JP"/>
        </w:rPr>
        <w:t xml:space="preserve"> package agreements succeeded in providing some potential nesting and foraging habitat in very close proximity (&lt;150m), although this fell to 45</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agreements when only highly suitable nesting and foraging habitat are considered (Walker and Morris 2016). </w:t>
      </w:r>
    </w:p>
    <w:p w14:paraId="5259E5F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DD7391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From the start of 2016, a new Agri-environment Scheme, Countryside Stewardship, was introduced on a competitive basis to landowners and land managers in England. The higher tier of Countryside Stewardship contains provision for a package of bespoke habitat management for turtle-doves, which can be taken up by agreement holders with recent records of turtle-dove nearby. The more complex, species-specific management is underpinned by the SP9 Threatened Species Supplement, whereby the agreement holder is fully compensated for the cost of establishing and maintaining the habitat in suitable condition. The range of options and managements is similar to those outlined previously but has been guided by the experience gained within the HLS pilot and recent land management option trials by RSPB/Natural England, to provide advice on developing a Higher Tier Countryside Stewardship agreement that will successfully deliver for turtle-doves. </w:t>
      </w:r>
    </w:p>
    <w:p w14:paraId="24B6592A"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2875503" w14:textId="41E554C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 successful Countryside Stewardship agreement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004D5651">
        <w:rPr>
          <w:rFonts w:eastAsia="MS Mincho"/>
          <w:sz w:val="20"/>
          <w:szCs w:val="22"/>
          <w:lang w:val="en-GB" w:eastAsia="ja-JP"/>
        </w:rPr>
        <w:t>s</w:t>
      </w:r>
      <w:r w:rsidR="004D5651" w:rsidRPr="00C96521">
        <w:rPr>
          <w:rFonts w:eastAsia="MS Mincho"/>
          <w:sz w:val="20"/>
          <w:szCs w:val="22"/>
          <w:lang w:val="en-GB" w:eastAsia="ja-JP"/>
        </w:rPr>
        <w:t xml:space="preserve"> </w:t>
      </w:r>
      <w:r w:rsidRPr="00C96521">
        <w:rPr>
          <w:rFonts w:eastAsia="MS Mincho"/>
          <w:sz w:val="20"/>
          <w:szCs w:val="22"/>
          <w:lang w:val="en-GB" w:eastAsia="ja-JP"/>
        </w:rPr>
        <w:t>requires a combination of options to be deployed to deliver both its nesting and seed-rich foraging requirements in close proximity (within 300</w:t>
      </w:r>
      <w:r w:rsidR="004D5651">
        <w:rPr>
          <w:rFonts w:eastAsia="MS Mincho"/>
          <w:sz w:val="20"/>
          <w:szCs w:val="22"/>
          <w:lang w:val="en-GB" w:eastAsia="ja-JP"/>
        </w:rPr>
        <w:t xml:space="preserve"> </w:t>
      </w:r>
      <w:r w:rsidRPr="00C96521">
        <w:rPr>
          <w:rFonts w:eastAsia="MS Mincho"/>
          <w:sz w:val="20"/>
          <w:szCs w:val="22"/>
          <w:lang w:val="en-GB" w:eastAsia="ja-JP"/>
        </w:rPr>
        <w:t>m</w:t>
      </w:r>
      <w:r w:rsidR="004D5651">
        <w:rPr>
          <w:rFonts w:eastAsia="MS Mincho"/>
          <w:sz w:val="20"/>
          <w:szCs w:val="22"/>
          <w:lang w:val="en-GB" w:eastAsia="ja-JP"/>
        </w:rPr>
        <w:t>etres</w:t>
      </w:r>
      <w:r w:rsidRPr="00C96521">
        <w:rPr>
          <w:rFonts w:eastAsia="MS Mincho"/>
          <w:sz w:val="20"/>
          <w:szCs w:val="22"/>
          <w:lang w:val="en-GB" w:eastAsia="ja-JP"/>
        </w:rPr>
        <w:t xml:space="preserve">). In addition, in most situations, ideal foraging habitat can best be provided by deploying plots of a modified version of option AB1 Nectar Flower Mix, requiring a specified seed mix and additional management (funded by the SP9 Threatened Species Supplement), ideally in combination with option AB11 Cultivated Areas for Arable Plants. Options beneficial to turtle-doves can be deployed anywhere where there is a reasonable level of certainty that the species is holding territory (based on national bird atlas data and local information). This will most easily be deployed as part of the Higher Tier </w:t>
      </w:r>
      <w:r w:rsidRPr="00C96521">
        <w:rPr>
          <w:rFonts w:eastAsia="MS Mincho"/>
          <w:i/>
          <w:sz w:val="20"/>
          <w:szCs w:val="22"/>
          <w:lang w:val="en-GB" w:eastAsia="ja-JP"/>
        </w:rPr>
        <w:t>Wild Pollinator and Farm Wildlife Package</w:t>
      </w:r>
      <w:r w:rsidRPr="00C96521">
        <w:rPr>
          <w:rFonts w:eastAsia="MS Mincho"/>
          <w:sz w:val="20"/>
          <w:szCs w:val="22"/>
          <w:lang w:val="en-GB" w:eastAsia="ja-JP"/>
        </w:rPr>
        <w:t xml:space="preserve"> and the options detailed here can count towards the minimum quantities required for the relevant resources. However, it is recommended that the modified AB1/SP9 combined option should be targeted on those holdings where there is good evidence of birds being present, and where the agreement holder both understands and is committed to undertaking the additional management that is required. </w:t>
      </w:r>
    </w:p>
    <w:p w14:paraId="284228B9"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0D2114C1"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4925F7E5"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Other potentially useful habitat types</w:t>
      </w:r>
    </w:p>
    <w:p w14:paraId="50A3E67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ACDD1CE" w14:textId="56CF21A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evaluation of the pilot HLS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 xml:space="preserve">package sites found no evidence of positive associations between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 xml:space="preserve">occupancy/abundance and any other evaluated habitat or Agri-environment Option type with the exception of HK15 (Maintenance of Grassland for Target Features). These “target features” do not include providing foraging habitat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004D5651">
        <w:rPr>
          <w:rFonts w:eastAsia="MS Mincho"/>
          <w:sz w:val="20"/>
          <w:szCs w:val="22"/>
          <w:lang w:val="en-GB" w:eastAsia="ja-JP"/>
        </w:rPr>
        <w:t>s</w:t>
      </w:r>
      <w:r w:rsidRPr="00C96521">
        <w:rPr>
          <w:rFonts w:eastAsia="MS Mincho"/>
          <w:sz w:val="20"/>
          <w:szCs w:val="22"/>
          <w:lang w:val="en-GB" w:eastAsia="ja-JP"/>
        </w:rPr>
        <w:t xml:space="preserve">, and following discussions with Natural England Advisors it was concluded that any benefits of HK15 were likely to have arisen from local soil conditions in the study areas (light, sandy soils that produce naturally short grass swards) rather than management of the option </w:t>
      </w:r>
      <w:r w:rsidRPr="00C96521">
        <w:rPr>
          <w:rFonts w:eastAsia="MS Mincho"/>
          <w:i/>
          <w:sz w:val="20"/>
          <w:szCs w:val="22"/>
          <w:lang w:val="en-GB" w:eastAsia="ja-JP"/>
        </w:rPr>
        <w:t>per se</w:t>
      </w:r>
      <w:r w:rsidRPr="00C96521">
        <w:rPr>
          <w:rFonts w:eastAsia="MS Mincho"/>
          <w:sz w:val="20"/>
          <w:szCs w:val="22"/>
          <w:lang w:val="en-GB" w:eastAsia="ja-JP"/>
        </w:rPr>
        <w:t xml:space="preserve">. Therefore, grassland management options have not been included in the Countryside Stewardship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 xml:space="preserve">ove </w:t>
      </w:r>
      <w:r w:rsidRPr="00C96521">
        <w:rPr>
          <w:rFonts w:eastAsia="MS Mincho"/>
          <w:sz w:val="20"/>
          <w:szCs w:val="22"/>
          <w:lang w:val="en-GB" w:eastAsia="ja-JP"/>
        </w:rPr>
        <w:t xml:space="preserve">package. However, it is likely that short, patchy, and flower-rich grassland with no/low amounts of herbicide and nitrogen fertiliser applications did provide, and may continue to provide, good quality semi-natural foraging habitat. More research is needed to determine the exact specifications to optimise delivery for turtle-doves. </w:t>
      </w:r>
    </w:p>
    <w:p w14:paraId="04F68C8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178DAFA"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It is also probable that grass and wild flower mixes often sown on the edge of amenity recreation and reclaimed quarry and mining sites may provide suitable habitat with some minimal management, such as rotational mowing. RSPB and the aggregates company CEMEX are currently exploring the possibility of introducing such habitat on areas of quarried land once extraction of minerals has ceased. A possible seed mix for the CEMEX sites, which has yet to be tested, is as follows:</w:t>
      </w:r>
    </w:p>
    <w:p w14:paraId="14755F7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5DB5BD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w:t>
      </w:r>
      <w:r w:rsidRPr="00C96521">
        <w:rPr>
          <w:rFonts w:eastAsia="MS Mincho"/>
          <w:sz w:val="20"/>
          <w:szCs w:val="22"/>
          <w:lang w:val="en-GB" w:eastAsia="ja-JP"/>
        </w:rPr>
        <w:tab/>
        <w:t>species</w:t>
      </w:r>
    </w:p>
    <w:p w14:paraId="7B5F8B74"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0.5</w:t>
      </w:r>
      <w:r w:rsidRPr="00C96521">
        <w:rPr>
          <w:rFonts w:eastAsia="MS Mincho"/>
          <w:sz w:val="20"/>
          <w:szCs w:val="22"/>
          <w:lang w:val="en-GB" w:eastAsia="ja-JP"/>
        </w:rPr>
        <w:tab/>
      </w:r>
      <w:r w:rsidRPr="00C96521">
        <w:rPr>
          <w:rFonts w:eastAsia="MS Mincho"/>
          <w:i/>
          <w:sz w:val="20"/>
          <w:szCs w:val="22"/>
          <w:lang w:val="en-GB" w:eastAsia="ja-JP"/>
        </w:rPr>
        <w:t>Achillea millefolium</w:t>
      </w:r>
    </w:p>
    <w:p w14:paraId="1B75CDD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w:t>
      </w:r>
      <w:r w:rsidRPr="00C96521">
        <w:rPr>
          <w:rFonts w:eastAsia="MS Mincho"/>
          <w:sz w:val="20"/>
          <w:szCs w:val="22"/>
          <w:lang w:val="en-GB" w:eastAsia="ja-JP"/>
        </w:rPr>
        <w:tab/>
      </w:r>
      <w:r w:rsidRPr="00C96521">
        <w:rPr>
          <w:rFonts w:eastAsia="MS Mincho"/>
          <w:i/>
          <w:sz w:val="20"/>
          <w:szCs w:val="22"/>
          <w:lang w:val="en-GB" w:eastAsia="ja-JP"/>
        </w:rPr>
        <w:t>Centaurea nigra</w:t>
      </w:r>
    </w:p>
    <w:p w14:paraId="11676058"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1.5</w:t>
      </w:r>
      <w:r w:rsidRPr="00C96521">
        <w:rPr>
          <w:rFonts w:eastAsia="MS Mincho"/>
          <w:sz w:val="20"/>
          <w:szCs w:val="22"/>
          <w:lang w:val="en-GB" w:eastAsia="ja-JP"/>
        </w:rPr>
        <w:tab/>
      </w:r>
      <w:r w:rsidRPr="00C96521">
        <w:rPr>
          <w:rFonts w:eastAsia="MS Mincho"/>
          <w:i/>
          <w:sz w:val="20"/>
          <w:szCs w:val="22"/>
          <w:lang w:val="en-GB" w:eastAsia="ja-JP"/>
        </w:rPr>
        <w:t>Galium verum</w:t>
      </w:r>
    </w:p>
    <w:p w14:paraId="45E7C744"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1.5</w:t>
      </w:r>
      <w:r w:rsidRPr="00C96521">
        <w:rPr>
          <w:rFonts w:eastAsia="MS Mincho"/>
          <w:sz w:val="20"/>
          <w:szCs w:val="22"/>
          <w:lang w:val="en-GB" w:eastAsia="ja-JP"/>
        </w:rPr>
        <w:tab/>
      </w:r>
      <w:r w:rsidRPr="00C96521">
        <w:rPr>
          <w:rFonts w:eastAsia="MS Mincho"/>
          <w:i/>
          <w:sz w:val="20"/>
          <w:szCs w:val="22"/>
          <w:lang w:val="en-GB" w:eastAsia="ja-JP"/>
        </w:rPr>
        <w:t>Leucanthemum vulgare</w:t>
      </w:r>
    </w:p>
    <w:p w14:paraId="67D4577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w:t>
      </w:r>
      <w:r w:rsidRPr="00C96521">
        <w:rPr>
          <w:rFonts w:eastAsia="MS Mincho"/>
          <w:sz w:val="20"/>
          <w:szCs w:val="22"/>
          <w:lang w:val="en-GB" w:eastAsia="ja-JP"/>
        </w:rPr>
        <w:tab/>
      </w:r>
      <w:r w:rsidRPr="00C96521">
        <w:rPr>
          <w:rFonts w:eastAsia="MS Mincho"/>
          <w:i/>
          <w:sz w:val="20"/>
          <w:szCs w:val="22"/>
          <w:lang w:val="en-GB" w:eastAsia="ja-JP"/>
        </w:rPr>
        <w:t>Lotus corniculatus</w:t>
      </w:r>
    </w:p>
    <w:p w14:paraId="582D43CE"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3</w:t>
      </w:r>
      <w:r w:rsidRPr="00C96521">
        <w:rPr>
          <w:rFonts w:eastAsia="MS Mincho"/>
          <w:sz w:val="20"/>
          <w:szCs w:val="22"/>
          <w:lang w:val="en-GB" w:eastAsia="ja-JP"/>
        </w:rPr>
        <w:tab/>
      </w:r>
      <w:r w:rsidRPr="00C96521">
        <w:rPr>
          <w:rFonts w:eastAsia="MS Mincho"/>
          <w:i/>
          <w:sz w:val="20"/>
          <w:szCs w:val="22"/>
          <w:lang w:val="en-GB" w:eastAsia="ja-JP"/>
        </w:rPr>
        <w:t>Plantago lanceolata</w:t>
      </w:r>
    </w:p>
    <w:p w14:paraId="5B8F172B"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sz w:val="20"/>
          <w:szCs w:val="22"/>
          <w:lang w:val="en-GB" w:eastAsia="ja-JP"/>
        </w:rPr>
        <w:t>0.6</w:t>
      </w:r>
      <w:r w:rsidRPr="00C96521">
        <w:rPr>
          <w:rFonts w:eastAsia="MS Mincho"/>
          <w:sz w:val="20"/>
          <w:szCs w:val="22"/>
          <w:lang w:val="en-GB" w:eastAsia="ja-JP"/>
        </w:rPr>
        <w:tab/>
      </w:r>
      <w:r w:rsidRPr="00C96521">
        <w:rPr>
          <w:rFonts w:eastAsia="MS Mincho"/>
          <w:i/>
          <w:sz w:val="20"/>
          <w:szCs w:val="22"/>
          <w:lang w:val="en-GB" w:eastAsia="ja-JP"/>
        </w:rPr>
        <w:t>Primula veris</w:t>
      </w:r>
    </w:p>
    <w:p w14:paraId="1B78A49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3</w:t>
      </w:r>
      <w:r w:rsidRPr="00C96521">
        <w:rPr>
          <w:rFonts w:eastAsia="MS Mincho"/>
          <w:sz w:val="20"/>
          <w:szCs w:val="22"/>
          <w:lang w:val="en-GB" w:eastAsia="ja-JP"/>
        </w:rPr>
        <w:tab/>
      </w:r>
      <w:r w:rsidRPr="00C96521">
        <w:rPr>
          <w:rFonts w:eastAsia="MS Mincho"/>
          <w:i/>
          <w:sz w:val="20"/>
          <w:szCs w:val="22"/>
          <w:lang w:val="en-GB" w:eastAsia="ja-JP"/>
        </w:rPr>
        <w:t>Ranunculus acris</w:t>
      </w:r>
    </w:p>
    <w:p w14:paraId="7E4EF1C5"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1.5</w:t>
      </w:r>
      <w:r w:rsidRPr="00C96521">
        <w:rPr>
          <w:rFonts w:eastAsia="MS Mincho"/>
          <w:sz w:val="20"/>
          <w:szCs w:val="22"/>
          <w:lang w:val="en-GB" w:eastAsia="ja-JP"/>
        </w:rPr>
        <w:tab/>
      </w:r>
      <w:r w:rsidRPr="00C96521">
        <w:rPr>
          <w:rFonts w:eastAsia="MS Mincho"/>
          <w:i/>
          <w:sz w:val="20"/>
          <w:szCs w:val="22"/>
          <w:lang w:val="en-GB" w:eastAsia="ja-JP"/>
        </w:rPr>
        <w:t>Rhinanthus minor</w:t>
      </w:r>
    </w:p>
    <w:p w14:paraId="359E0642"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1.5</w:t>
      </w:r>
      <w:r w:rsidRPr="00C96521">
        <w:rPr>
          <w:rFonts w:eastAsia="MS Mincho"/>
          <w:sz w:val="20"/>
          <w:szCs w:val="22"/>
          <w:lang w:val="en-GB" w:eastAsia="ja-JP"/>
        </w:rPr>
        <w:tab/>
      </w:r>
      <w:r w:rsidRPr="00C96521">
        <w:rPr>
          <w:rFonts w:eastAsia="MS Mincho"/>
          <w:i/>
          <w:sz w:val="20"/>
          <w:szCs w:val="22"/>
          <w:lang w:val="en-GB" w:eastAsia="ja-JP"/>
        </w:rPr>
        <w:t>Rumex acetosa</w:t>
      </w:r>
    </w:p>
    <w:p w14:paraId="0A62D6D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0.1</w:t>
      </w:r>
      <w:r w:rsidRPr="00C96521">
        <w:rPr>
          <w:rFonts w:eastAsia="MS Mincho"/>
          <w:sz w:val="20"/>
          <w:szCs w:val="22"/>
          <w:lang w:val="en-GB" w:eastAsia="ja-JP"/>
        </w:rPr>
        <w:tab/>
      </w:r>
      <w:r w:rsidRPr="00C96521">
        <w:rPr>
          <w:rFonts w:eastAsia="MS Mincho"/>
          <w:i/>
          <w:sz w:val="20"/>
          <w:szCs w:val="22"/>
          <w:lang w:val="en-GB" w:eastAsia="ja-JP"/>
        </w:rPr>
        <w:t>Lychnis flos-cuculi</w:t>
      </w:r>
    </w:p>
    <w:p w14:paraId="0CD8A6D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0.3</w:t>
      </w:r>
      <w:r w:rsidRPr="00C96521">
        <w:rPr>
          <w:rFonts w:eastAsia="MS Mincho"/>
          <w:sz w:val="20"/>
          <w:szCs w:val="22"/>
          <w:lang w:val="en-GB" w:eastAsia="ja-JP"/>
        </w:rPr>
        <w:tab/>
      </w:r>
      <w:r w:rsidRPr="00C96521">
        <w:rPr>
          <w:rFonts w:eastAsia="MS Mincho"/>
          <w:i/>
          <w:sz w:val="20"/>
          <w:szCs w:val="22"/>
          <w:lang w:val="en-GB" w:eastAsia="ja-JP"/>
        </w:rPr>
        <w:t>Trifolium pratense</w:t>
      </w:r>
      <w:r w:rsidRPr="00C96521">
        <w:rPr>
          <w:rFonts w:eastAsia="MS Mincho"/>
          <w:sz w:val="20"/>
          <w:szCs w:val="22"/>
          <w:lang w:val="en-GB" w:eastAsia="ja-JP"/>
        </w:rPr>
        <w:t xml:space="preserve"> (var wild red)</w:t>
      </w:r>
    </w:p>
    <w:p w14:paraId="6E842F95" w14:textId="77777777" w:rsidR="00C96521" w:rsidRPr="00890F11" w:rsidRDefault="00C96521" w:rsidP="00C96521">
      <w:pPr>
        <w:widowControl/>
        <w:autoSpaceDE/>
        <w:autoSpaceDN/>
        <w:adjustRightInd/>
        <w:spacing w:line="276" w:lineRule="auto"/>
        <w:rPr>
          <w:rFonts w:eastAsia="MS Mincho"/>
          <w:i/>
          <w:sz w:val="20"/>
          <w:szCs w:val="22"/>
          <w:lang w:val="es-ES" w:eastAsia="ja-JP"/>
        </w:rPr>
      </w:pPr>
      <w:r w:rsidRPr="00890F11">
        <w:rPr>
          <w:rFonts w:eastAsia="MS Mincho"/>
          <w:sz w:val="20"/>
          <w:szCs w:val="22"/>
          <w:lang w:val="es-ES" w:eastAsia="ja-JP"/>
        </w:rPr>
        <w:t>1</w:t>
      </w:r>
      <w:r w:rsidRPr="00890F11">
        <w:rPr>
          <w:rFonts w:eastAsia="MS Mincho"/>
          <w:sz w:val="20"/>
          <w:szCs w:val="22"/>
          <w:lang w:val="es-ES" w:eastAsia="ja-JP"/>
        </w:rPr>
        <w:tab/>
      </w:r>
      <w:r w:rsidRPr="00890F11">
        <w:rPr>
          <w:rFonts w:eastAsia="MS Mincho"/>
          <w:i/>
          <w:sz w:val="20"/>
          <w:szCs w:val="22"/>
          <w:lang w:val="es-ES" w:eastAsia="ja-JP"/>
        </w:rPr>
        <w:t>Vicia cracca</w:t>
      </w:r>
    </w:p>
    <w:p w14:paraId="602265E8"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10</w:t>
      </w:r>
      <w:r w:rsidRPr="00890F11">
        <w:rPr>
          <w:rFonts w:eastAsia="MS Mincho"/>
          <w:sz w:val="20"/>
          <w:szCs w:val="22"/>
          <w:lang w:val="es-ES" w:eastAsia="ja-JP"/>
        </w:rPr>
        <w:tab/>
      </w:r>
      <w:r w:rsidRPr="00890F11">
        <w:rPr>
          <w:rFonts w:eastAsia="MS Mincho"/>
          <w:i/>
          <w:sz w:val="20"/>
          <w:szCs w:val="22"/>
          <w:lang w:val="es-ES" w:eastAsia="ja-JP"/>
        </w:rPr>
        <w:t>Agrostis capillaris</w:t>
      </w:r>
      <w:r w:rsidRPr="00890F11">
        <w:rPr>
          <w:rFonts w:eastAsia="MS Mincho"/>
          <w:sz w:val="20"/>
          <w:szCs w:val="22"/>
          <w:lang w:val="es-ES" w:eastAsia="ja-JP"/>
        </w:rPr>
        <w:t xml:space="preserve"> *</w:t>
      </w:r>
    </w:p>
    <w:p w14:paraId="22AC5C03"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2</w:t>
      </w:r>
      <w:r w:rsidRPr="00890F11">
        <w:rPr>
          <w:rFonts w:eastAsia="MS Mincho"/>
          <w:sz w:val="20"/>
          <w:szCs w:val="22"/>
          <w:lang w:val="es-ES" w:eastAsia="ja-JP"/>
        </w:rPr>
        <w:tab/>
      </w:r>
      <w:r w:rsidRPr="00890F11">
        <w:rPr>
          <w:rFonts w:eastAsia="MS Mincho"/>
          <w:i/>
          <w:sz w:val="20"/>
          <w:szCs w:val="22"/>
          <w:lang w:val="es-ES" w:eastAsia="ja-JP"/>
        </w:rPr>
        <w:t>Alopecurus pratensis</w:t>
      </w:r>
      <w:r w:rsidRPr="00890F11">
        <w:rPr>
          <w:rFonts w:eastAsia="MS Mincho"/>
          <w:sz w:val="20"/>
          <w:szCs w:val="22"/>
          <w:lang w:val="es-ES" w:eastAsia="ja-JP"/>
        </w:rPr>
        <w:t xml:space="preserve"> *</w:t>
      </w:r>
    </w:p>
    <w:p w14:paraId="495293B0"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1</w:t>
      </w:r>
      <w:r w:rsidRPr="00890F11">
        <w:rPr>
          <w:rFonts w:eastAsia="MS Mincho"/>
          <w:sz w:val="20"/>
          <w:szCs w:val="22"/>
          <w:lang w:val="es-ES" w:eastAsia="ja-JP"/>
        </w:rPr>
        <w:tab/>
      </w:r>
      <w:r w:rsidRPr="00890F11">
        <w:rPr>
          <w:rFonts w:eastAsia="MS Mincho"/>
          <w:i/>
          <w:sz w:val="20"/>
          <w:szCs w:val="22"/>
          <w:lang w:val="es-ES" w:eastAsia="ja-JP"/>
        </w:rPr>
        <w:t>Anthoxanthum odoratum</w:t>
      </w:r>
      <w:r w:rsidRPr="00890F11">
        <w:rPr>
          <w:rFonts w:eastAsia="MS Mincho"/>
          <w:sz w:val="20"/>
          <w:szCs w:val="22"/>
          <w:lang w:val="es-ES" w:eastAsia="ja-JP"/>
        </w:rPr>
        <w:t xml:space="preserve"> *</w:t>
      </w:r>
    </w:p>
    <w:p w14:paraId="7FF8B467"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1</w:t>
      </w:r>
      <w:r w:rsidRPr="00890F11">
        <w:rPr>
          <w:rFonts w:eastAsia="MS Mincho"/>
          <w:sz w:val="20"/>
          <w:szCs w:val="22"/>
          <w:lang w:val="es-ES" w:eastAsia="ja-JP"/>
        </w:rPr>
        <w:tab/>
      </w:r>
      <w:r w:rsidRPr="00890F11">
        <w:rPr>
          <w:rFonts w:eastAsia="MS Mincho"/>
          <w:i/>
          <w:sz w:val="20"/>
          <w:szCs w:val="22"/>
          <w:lang w:val="es-ES" w:eastAsia="ja-JP"/>
        </w:rPr>
        <w:t>Briza media</w:t>
      </w:r>
      <w:r w:rsidRPr="00890F11">
        <w:rPr>
          <w:rFonts w:eastAsia="MS Mincho"/>
          <w:sz w:val="20"/>
          <w:szCs w:val="22"/>
          <w:lang w:val="es-ES" w:eastAsia="ja-JP"/>
        </w:rPr>
        <w:t xml:space="preserve"> *</w:t>
      </w:r>
    </w:p>
    <w:p w14:paraId="032DE216"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36</w:t>
      </w:r>
      <w:r w:rsidRPr="00890F11">
        <w:rPr>
          <w:rFonts w:eastAsia="MS Mincho"/>
          <w:sz w:val="20"/>
          <w:szCs w:val="22"/>
          <w:lang w:val="es-ES" w:eastAsia="ja-JP"/>
        </w:rPr>
        <w:tab/>
      </w:r>
      <w:r w:rsidRPr="00890F11">
        <w:rPr>
          <w:rFonts w:eastAsia="MS Mincho"/>
          <w:i/>
          <w:sz w:val="20"/>
          <w:szCs w:val="22"/>
          <w:lang w:val="es-ES" w:eastAsia="ja-JP"/>
        </w:rPr>
        <w:t>Cynosurus cristatus</w:t>
      </w:r>
      <w:r w:rsidRPr="00890F11">
        <w:rPr>
          <w:rFonts w:eastAsia="MS Mincho"/>
          <w:sz w:val="20"/>
          <w:szCs w:val="22"/>
          <w:lang w:val="es-ES" w:eastAsia="ja-JP"/>
        </w:rPr>
        <w:t xml:space="preserve"> *</w:t>
      </w:r>
    </w:p>
    <w:p w14:paraId="1247137A" w14:textId="77777777" w:rsidR="00C96521" w:rsidRPr="00890F11" w:rsidRDefault="00C96521" w:rsidP="00C96521">
      <w:pPr>
        <w:widowControl/>
        <w:autoSpaceDE/>
        <w:autoSpaceDN/>
        <w:adjustRightInd/>
        <w:spacing w:line="276" w:lineRule="auto"/>
        <w:rPr>
          <w:rFonts w:eastAsia="MS Mincho"/>
          <w:sz w:val="20"/>
          <w:szCs w:val="22"/>
          <w:lang w:val="es-ES" w:eastAsia="ja-JP"/>
        </w:rPr>
      </w:pPr>
      <w:r w:rsidRPr="00890F11">
        <w:rPr>
          <w:rFonts w:eastAsia="MS Mincho"/>
          <w:sz w:val="20"/>
          <w:szCs w:val="22"/>
          <w:lang w:val="es-ES" w:eastAsia="ja-JP"/>
        </w:rPr>
        <w:t>24</w:t>
      </w:r>
      <w:r w:rsidRPr="00890F11">
        <w:rPr>
          <w:rFonts w:eastAsia="MS Mincho"/>
          <w:sz w:val="20"/>
          <w:szCs w:val="22"/>
          <w:lang w:val="es-ES" w:eastAsia="ja-JP"/>
        </w:rPr>
        <w:tab/>
      </w:r>
      <w:r w:rsidRPr="00890F11">
        <w:rPr>
          <w:rFonts w:eastAsia="MS Mincho"/>
          <w:i/>
          <w:sz w:val="20"/>
          <w:szCs w:val="22"/>
          <w:lang w:val="es-ES" w:eastAsia="ja-JP"/>
        </w:rPr>
        <w:t>Festuca rubra rubra litoralis</w:t>
      </w:r>
      <w:r w:rsidRPr="00890F11">
        <w:rPr>
          <w:rFonts w:eastAsia="MS Mincho"/>
          <w:sz w:val="20"/>
          <w:szCs w:val="22"/>
          <w:lang w:val="es-ES" w:eastAsia="ja-JP"/>
        </w:rPr>
        <w:t xml:space="preserve"> *</w:t>
      </w:r>
    </w:p>
    <w:p w14:paraId="4BC2EC9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2</w:t>
      </w:r>
      <w:r w:rsidRPr="00C96521">
        <w:rPr>
          <w:rFonts w:eastAsia="MS Mincho"/>
          <w:sz w:val="20"/>
          <w:szCs w:val="22"/>
          <w:lang w:val="en-GB" w:eastAsia="ja-JP"/>
        </w:rPr>
        <w:tab/>
      </w:r>
      <w:r w:rsidRPr="00C96521">
        <w:rPr>
          <w:rFonts w:eastAsia="MS Mincho"/>
          <w:i/>
          <w:sz w:val="20"/>
          <w:szCs w:val="22"/>
          <w:lang w:val="en-GB" w:eastAsia="ja-JP"/>
        </w:rPr>
        <w:t>Hordeum brachyantherum</w:t>
      </w:r>
      <w:r w:rsidRPr="00C96521">
        <w:rPr>
          <w:rFonts w:eastAsia="MS Mincho"/>
          <w:sz w:val="20"/>
          <w:szCs w:val="22"/>
          <w:lang w:val="en-GB" w:eastAsia="ja-JP"/>
        </w:rPr>
        <w:t xml:space="preserve"> *</w:t>
      </w:r>
    </w:p>
    <w:p w14:paraId="0FFC23D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4</w:t>
      </w:r>
      <w:r w:rsidRPr="00C96521">
        <w:rPr>
          <w:rFonts w:eastAsia="MS Mincho"/>
          <w:sz w:val="20"/>
          <w:szCs w:val="22"/>
          <w:lang w:val="en-GB" w:eastAsia="ja-JP"/>
        </w:rPr>
        <w:tab/>
      </w:r>
      <w:r w:rsidRPr="00C96521">
        <w:rPr>
          <w:rFonts w:eastAsia="MS Mincho"/>
          <w:i/>
          <w:sz w:val="20"/>
          <w:szCs w:val="22"/>
          <w:lang w:val="en-GB" w:eastAsia="ja-JP"/>
        </w:rPr>
        <w:t>Phleum bertolonii</w:t>
      </w:r>
      <w:r w:rsidRPr="00C96521">
        <w:rPr>
          <w:rFonts w:eastAsia="MS Mincho"/>
          <w:sz w:val="20"/>
          <w:szCs w:val="22"/>
          <w:lang w:val="en-GB" w:eastAsia="ja-JP"/>
        </w:rPr>
        <w:t xml:space="preserve"> *</w:t>
      </w:r>
    </w:p>
    <w:p w14:paraId="56F7E305"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 % of these grasses may be reduced in favour of the addition of </w:t>
      </w:r>
      <w:r w:rsidRPr="00C96521">
        <w:rPr>
          <w:rFonts w:eastAsia="MS Mincho"/>
          <w:i/>
          <w:sz w:val="20"/>
          <w:szCs w:val="22"/>
          <w:lang w:val="en-GB" w:eastAsia="ja-JP"/>
        </w:rPr>
        <w:t>Medicago lupulina</w:t>
      </w:r>
      <w:r w:rsidRPr="00C96521">
        <w:rPr>
          <w:rFonts w:eastAsia="MS Mincho"/>
          <w:sz w:val="20"/>
          <w:szCs w:val="22"/>
          <w:lang w:val="en-GB" w:eastAsia="ja-JP"/>
        </w:rPr>
        <w:t>.</w:t>
      </w:r>
    </w:p>
    <w:p w14:paraId="7ECD109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C01EED6" w14:textId="1361CE98"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sz w:val="20"/>
          <w:szCs w:val="22"/>
          <w:lang w:val="en-GB" w:eastAsia="ja-JP"/>
        </w:rPr>
        <w:t xml:space="preserve">In the early 1960s,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Doves </w:t>
      </w:r>
      <w:r w:rsidRPr="00C96521">
        <w:rPr>
          <w:rFonts w:eastAsia="MS Mincho"/>
          <w:sz w:val="20"/>
          <w:szCs w:val="22"/>
          <w:lang w:val="en-GB" w:eastAsia="ja-JP"/>
        </w:rPr>
        <w:t xml:space="preserve">in eastern England commonly foraged for the seeds of </w:t>
      </w:r>
      <w:r w:rsidRPr="00C96521">
        <w:rPr>
          <w:rFonts w:eastAsia="MS Mincho"/>
          <w:i/>
          <w:sz w:val="20"/>
          <w:szCs w:val="22"/>
          <w:lang w:val="en-GB" w:eastAsia="ja-JP"/>
        </w:rPr>
        <w:t>Trifolium spp</w:t>
      </w:r>
      <w:r w:rsidRPr="00C96521">
        <w:rPr>
          <w:rFonts w:eastAsia="MS Mincho"/>
          <w:sz w:val="20"/>
          <w:szCs w:val="22"/>
          <w:lang w:val="en-GB" w:eastAsia="ja-JP"/>
        </w:rPr>
        <w:t xml:space="preserve">, grasses and other arable plants in grass/clover leys, which were used as breaks between arable crops. This habitat has become rare in arable farmland; it has long since disappeared from the original study sites, along with turtle-doves. However, as there is now a trend towards greater use of traditional methods to achieve better control of grass weeds and improved soil fertility and structure on arable land, it is possible that this habitat will once again become more widespread in NW Europe, while the use of temporary, species-rich leys is still more widespread is other areas of Europe. However, the use of less diverse species mixes, modern varieties of legume with taller and denser vegetation structure, more frequent cutting/grazing, and high residual fertility from long-term use of inorganic nitrogen </w:t>
      </w:r>
      <w:r w:rsidRPr="00C96521">
        <w:rPr>
          <w:rFonts w:eastAsia="MS Mincho"/>
          <w:sz w:val="20"/>
          <w:szCs w:val="22"/>
          <w:lang w:val="en-GB" w:eastAsia="ja-JP"/>
        </w:rPr>
        <w:lastRenderedPageBreak/>
        <w:t>fertil</w:t>
      </w:r>
      <w:r w:rsidR="004D5651">
        <w:rPr>
          <w:rFonts w:eastAsia="MS Mincho"/>
          <w:sz w:val="20"/>
          <w:szCs w:val="22"/>
          <w:lang w:val="en-GB" w:eastAsia="ja-JP"/>
        </w:rPr>
        <w:t>iz</w:t>
      </w:r>
      <w:r w:rsidRPr="00C96521">
        <w:rPr>
          <w:rFonts w:eastAsia="MS Mincho"/>
          <w:sz w:val="20"/>
          <w:szCs w:val="22"/>
          <w:lang w:val="en-GB" w:eastAsia="ja-JP"/>
        </w:rPr>
        <w:t xml:space="preserve">ers may mean that modern leys are less suitable as foraging habitats, and research is needed to test the value of present-day leys for turtle-doves. </w:t>
      </w:r>
    </w:p>
    <w:p w14:paraId="11343EF8"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1C605E8D"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Guidance on developing a Countryside Stewardship agreement for farmland birds, in general, through the Wild Pollinator &amp; Farm Wildlife Packages can be found at </w:t>
      </w:r>
      <w:r w:rsidRPr="00C96521">
        <w:rPr>
          <w:rFonts w:eastAsia="MS Mincho" w:cs="Arial"/>
          <w:sz w:val="20"/>
          <w:szCs w:val="20"/>
          <w:lang w:val="en-GB" w:eastAsia="ja-JP"/>
        </w:rPr>
        <w:t>http://csguidance/Objectives/WPFWP/Pages/default.aspx</w:t>
      </w:r>
    </w:p>
    <w:p w14:paraId="38181260"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0E85CDD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E363FDE"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br w:type="page"/>
      </w:r>
    </w:p>
    <w:p w14:paraId="423CF92C" w14:textId="77777777"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36" w:name="_Toc478646921"/>
      <w:r w:rsidRPr="00C96521">
        <w:rPr>
          <w:rFonts w:ascii="Cambria" w:eastAsia="MS Gothic" w:hAnsi="Cambria"/>
          <w:b/>
          <w:bCs/>
          <w:color w:val="4F81BD"/>
          <w:sz w:val="26"/>
          <w:szCs w:val="26"/>
          <w:lang w:val="en-GB" w:eastAsia="ja-JP"/>
        </w:rPr>
        <w:lastRenderedPageBreak/>
        <w:t>Sample Countryside Stewardship Management Plan for SP9 Threatened Species Supplement</w:t>
      </w:r>
      <w:bookmarkEnd w:id="36"/>
    </w:p>
    <w:p w14:paraId="382FD870"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740"/>
      </w:tblGrid>
      <w:tr w:rsidR="00C96521" w:rsidRPr="00C96521" w14:paraId="061E6ECB" w14:textId="77777777" w:rsidTr="00C96521">
        <w:tc>
          <w:tcPr>
            <w:tcW w:w="4644" w:type="dxa"/>
            <w:shd w:val="clear" w:color="auto" w:fill="auto"/>
          </w:tcPr>
          <w:p w14:paraId="1E8F1728"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Agreement reference</w:t>
            </w:r>
          </w:p>
        </w:tc>
        <w:tc>
          <w:tcPr>
            <w:tcW w:w="4740" w:type="dxa"/>
            <w:shd w:val="clear" w:color="auto" w:fill="auto"/>
          </w:tcPr>
          <w:p w14:paraId="7278248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c>
      </w:tr>
      <w:tr w:rsidR="00C96521" w:rsidRPr="00C96521" w14:paraId="541AE532" w14:textId="77777777" w:rsidTr="00C96521">
        <w:tc>
          <w:tcPr>
            <w:tcW w:w="4644" w:type="dxa"/>
            <w:shd w:val="clear" w:color="auto" w:fill="auto"/>
          </w:tcPr>
          <w:p w14:paraId="588D1F1C"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Agreement holder</w:t>
            </w:r>
          </w:p>
        </w:tc>
        <w:tc>
          <w:tcPr>
            <w:tcW w:w="4740" w:type="dxa"/>
            <w:shd w:val="clear" w:color="auto" w:fill="auto"/>
          </w:tcPr>
          <w:p w14:paraId="38EF6C4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c>
      </w:tr>
      <w:tr w:rsidR="00C96521" w:rsidRPr="00C96521" w14:paraId="2E06F66D" w14:textId="77777777" w:rsidTr="00C96521">
        <w:tc>
          <w:tcPr>
            <w:tcW w:w="4644" w:type="dxa"/>
            <w:shd w:val="clear" w:color="auto" w:fill="auto"/>
          </w:tcPr>
          <w:p w14:paraId="26D7887B"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Target species</w:t>
            </w:r>
          </w:p>
        </w:tc>
        <w:tc>
          <w:tcPr>
            <w:tcW w:w="4740" w:type="dxa"/>
            <w:shd w:val="clear" w:color="auto" w:fill="auto"/>
          </w:tcPr>
          <w:p w14:paraId="359B9DF1" w14:textId="7AEA9994"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Turtle</w:t>
            </w:r>
            <w:r w:rsidR="004D5651">
              <w:rPr>
                <w:rFonts w:eastAsia="MS Mincho"/>
                <w:sz w:val="20"/>
                <w:szCs w:val="22"/>
                <w:lang w:val="en-GB" w:eastAsia="ja-JP"/>
              </w:rPr>
              <w:t xml:space="preserve"> D</w:t>
            </w:r>
            <w:r w:rsidRPr="00C96521">
              <w:rPr>
                <w:rFonts w:eastAsia="MS Mincho"/>
                <w:sz w:val="20"/>
                <w:szCs w:val="22"/>
                <w:lang w:val="en-GB" w:eastAsia="ja-JP"/>
              </w:rPr>
              <w:t>dove</w:t>
            </w:r>
          </w:p>
        </w:tc>
      </w:tr>
      <w:tr w:rsidR="00C96521" w:rsidRPr="00C96521" w14:paraId="3223F843" w14:textId="77777777" w:rsidTr="00C96521">
        <w:trPr>
          <w:trHeight w:val="595"/>
        </w:trPr>
        <w:tc>
          <w:tcPr>
            <w:tcW w:w="4644" w:type="dxa"/>
            <w:shd w:val="clear" w:color="auto" w:fill="auto"/>
          </w:tcPr>
          <w:p w14:paraId="5C287F33"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Option(s) covered by this management plan</w:t>
            </w:r>
          </w:p>
          <w:p w14:paraId="18A4ABEF"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tc>
        <w:tc>
          <w:tcPr>
            <w:tcW w:w="4740" w:type="dxa"/>
            <w:shd w:val="clear" w:color="auto" w:fill="auto"/>
          </w:tcPr>
          <w:p w14:paraId="0064B29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AB1 Nectar Flower Mix + SP9 </w:t>
            </w:r>
            <w:r w:rsidRPr="00C96521">
              <w:rPr>
                <w:rFonts w:eastAsia="MS Mincho"/>
                <w:sz w:val="20"/>
                <w:szCs w:val="22"/>
                <w:lang w:val="en-GB" w:eastAsia="en-GB"/>
              </w:rPr>
              <w:t>Threatened Species Supplement</w:t>
            </w:r>
          </w:p>
        </w:tc>
      </w:tr>
      <w:tr w:rsidR="00C96521" w:rsidRPr="00C96521" w14:paraId="02A52202" w14:textId="77777777" w:rsidTr="00C96521">
        <w:tc>
          <w:tcPr>
            <w:tcW w:w="4644" w:type="dxa"/>
            <w:tcBorders>
              <w:top w:val="single" w:sz="4" w:space="0" w:color="auto"/>
              <w:left w:val="single" w:sz="4" w:space="0" w:color="auto"/>
              <w:bottom w:val="single" w:sz="4" w:space="0" w:color="auto"/>
              <w:right w:val="single" w:sz="4" w:space="0" w:color="auto"/>
            </w:tcBorders>
            <w:shd w:val="clear" w:color="auto" w:fill="auto"/>
          </w:tcPr>
          <w:p w14:paraId="28F7FF08"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 xml:space="preserve">Field location(s) and plot size (ha) </w:t>
            </w:r>
          </w:p>
        </w:tc>
        <w:tc>
          <w:tcPr>
            <w:tcW w:w="4740" w:type="dxa"/>
            <w:tcBorders>
              <w:top w:val="single" w:sz="4" w:space="0" w:color="auto"/>
              <w:left w:val="single" w:sz="4" w:space="0" w:color="auto"/>
              <w:bottom w:val="single" w:sz="4" w:space="0" w:color="auto"/>
              <w:right w:val="single" w:sz="4" w:space="0" w:color="auto"/>
            </w:tcBorders>
            <w:shd w:val="clear" w:color="auto" w:fill="auto"/>
          </w:tcPr>
          <w:p w14:paraId="4CFF8BD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c>
      </w:tr>
    </w:tbl>
    <w:p w14:paraId="14166B37" w14:textId="77777777" w:rsidR="00C96521" w:rsidRPr="00C96521" w:rsidRDefault="00C96521" w:rsidP="00C96521">
      <w:pPr>
        <w:widowControl/>
        <w:autoSpaceDE/>
        <w:autoSpaceDN/>
        <w:adjustRightInd/>
        <w:spacing w:line="276" w:lineRule="auto"/>
        <w:rPr>
          <w:rFonts w:eastAsia="MS Mincho"/>
          <w:sz w:val="20"/>
          <w:szCs w:val="22"/>
          <w:u w:val="single"/>
          <w:lang w:val="en-GB" w:eastAsia="en-GB"/>
        </w:rPr>
      </w:pPr>
    </w:p>
    <w:p w14:paraId="3B1BD135" w14:textId="77777777" w:rsidR="00C96521" w:rsidRPr="00C96521" w:rsidRDefault="00C96521" w:rsidP="00C96521">
      <w:pPr>
        <w:widowControl/>
        <w:autoSpaceDE/>
        <w:autoSpaceDN/>
        <w:adjustRightInd/>
        <w:spacing w:line="276" w:lineRule="auto"/>
        <w:rPr>
          <w:rFonts w:eastAsia="MS Mincho"/>
          <w:b/>
          <w:sz w:val="20"/>
          <w:szCs w:val="22"/>
          <w:lang w:val="en-GB" w:eastAsia="en-GB"/>
        </w:rPr>
      </w:pPr>
      <w:r w:rsidRPr="00C96521">
        <w:rPr>
          <w:rFonts w:eastAsia="MS Mincho"/>
          <w:b/>
          <w:sz w:val="20"/>
          <w:szCs w:val="22"/>
          <w:lang w:val="en-GB" w:eastAsia="en-GB"/>
        </w:rPr>
        <w:t>Introduction</w:t>
      </w:r>
    </w:p>
    <w:p w14:paraId="3535BFE3" w14:textId="77777777" w:rsidR="00C96521" w:rsidRPr="00C96521" w:rsidRDefault="00C96521" w:rsidP="00C96521">
      <w:pPr>
        <w:widowControl/>
        <w:autoSpaceDE/>
        <w:autoSpaceDN/>
        <w:adjustRightInd/>
        <w:spacing w:line="276" w:lineRule="auto"/>
        <w:rPr>
          <w:rFonts w:eastAsia="MS Mincho"/>
          <w:sz w:val="20"/>
          <w:szCs w:val="22"/>
          <w:u w:val="single"/>
          <w:lang w:val="en-GB" w:eastAsia="en-GB"/>
        </w:rPr>
      </w:pPr>
    </w:p>
    <w:p w14:paraId="6A0F34F0" w14:textId="77777777" w:rsidR="00C96521" w:rsidRPr="00C96521" w:rsidRDefault="00C96521" w:rsidP="00C96521">
      <w:pPr>
        <w:widowControl/>
        <w:autoSpaceDE/>
        <w:autoSpaceDN/>
        <w:adjustRightInd/>
        <w:spacing w:line="276" w:lineRule="auto"/>
        <w:rPr>
          <w:rFonts w:eastAsia="MS Mincho"/>
          <w:sz w:val="20"/>
          <w:szCs w:val="22"/>
          <w:lang w:val="en-GB" w:eastAsia="en-GB"/>
        </w:rPr>
      </w:pPr>
      <w:r w:rsidRPr="00C96521">
        <w:rPr>
          <w:rFonts w:eastAsia="MS Mincho"/>
          <w:sz w:val="20"/>
          <w:szCs w:val="22"/>
          <w:lang w:val="en-GB" w:eastAsia="en-GB"/>
        </w:rPr>
        <w:t>This management plan provides tailored guidance and management prescriptions that will enable to you to deliver the bespoke turtle-dove seed mix successfully as part of your Countryside Stewardship Higher Tier Agreement.</w:t>
      </w:r>
    </w:p>
    <w:p w14:paraId="646ED458" w14:textId="77777777" w:rsidR="00C96521" w:rsidRPr="00C96521" w:rsidRDefault="00C96521" w:rsidP="00C96521">
      <w:pPr>
        <w:widowControl/>
        <w:autoSpaceDE/>
        <w:autoSpaceDN/>
        <w:adjustRightInd/>
        <w:spacing w:line="276" w:lineRule="auto"/>
        <w:rPr>
          <w:rFonts w:eastAsia="MS Mincho"/>
          <w:sz w:val="20"/>
          <w:szCs w:val="22"/>
          <w:lang w:val="en-GB" w:eastAsia="en-GB"/>
        </w:rPr>
      </w:pPr>
    </w:p>
    <w:p w14:paraId="0AD5292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en-GB"/>
        </w:rPr>
        <w:t xml:space="preserve">The bespoke guidance and prescriptions in this plan only apply to those AB1 Nectar Flower Mix plots being managed specifically for turtle-dove with the SP9 Threatened Species Supplement. </w:t>
      </w:r>
      <w:r w:rsidRPr="00C96521">
        <w:rPr>
          <w:rFonts w:eastAsia="MS Mincho"/>
          <w:sz w:val="20"/>
          <w:szCs w:val="22"/>
          <w:lang w:val="en-GB" w:eastAsia="ja-JP"/>
        </w:rPr>
        <w:t>All other AB1 plots in your agreement should be managed according to the standard prescriptions.</w:t>
      </w:r>
    </w:p>
    <w:p w14:paraId="2E98C0A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524317F" w14:textId="77777777" w:rsidR="00C96521" w:rsidRPr="00C96521" w:rsidRDefault="00C96521" w:rsidP="00C96521">
      <w:pPr>
        <w:widowControl/>
        <w:autoSpaceDE/>
        <w:autoSpaceDN/>
        <w:adjustRightInd/>
        <w:spacing w:line="276" w:lineRule="auto"/>
        <w:rPr>
          <w:rFonts w:eastAsia="MS Mincho"/>
          <w:b/>
          <w:sz w:val="20"/>
          <w:szCs w:val="22"/>
          <w:lang w:val="en-GB" w:eastAsia="en-GB"/>
        </w:rPr>
      </w:pPr>
      <w:r w:rsidRPr="00C96521">
        <w:rPr>
          <w:rFonts w:eastAsia="MS Mincho"/>
          <w:b/>
          <w:sz w:val="20"/>
          <w:szCs w:val="22"/>
          <w:lang w:val="en-GB" w:eastAsia="en-GB"/>
        </w:rPr>
        <w:t>Outcome of management</w:t>
      </w:r>
    </w:p>
    <w:p w14:paraId="488B92A7" w14:textId="77777777" w:rsidR="00C96521" w:rsidRPr="00C96521" w:rsidRDefault="00C96521" w:rsidP="00C96521">
      <w:pPr>
        <w:widowControl/>
        <w:autoSpaceDE/>
        <w:autoSpaceDN/>
        <w:adjustRightInd/>
        <w:spacing w:line="276" w:lineRule="auto"/>
        <w:rPr>
          <w:rFonts w:eastAsia="MS Mincho"/>
          <w:sz w:val="20"/>
          <w:szCs w:val="22"/>
          <w:lang w:val="en-GB" w:eastAsia="en-GB"/>
        </w:rPr>
      </w:pPr>
    </w:p>
    <w:p w14:paraId="2D85EF61" w14:textId="00838373"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en-GB"/>
        </w:rPr>
        <w:t xml:space="preserve">The management detailed in this plan seeks to provide ideal foraging conditions for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004D5651">
        <w:rPr>
          <w:rFonts w:eastAsia="MS Mincho"/>
          <w:sz w:val="20"/>
          <w:szCs w:val="22"/>
          <w:lang w:val="en-GB" w:eastAsia="ja-JP"/>
        </w:rPr>
        <w:t>s</w:t>
      </w:r>
      <w:r w:rsidRPr="00C96521">
        <w:rPr>
          <w:rFonts w:eastAsia="MS Mincho"/>
          <w:sz w:val="20"/>
          <w:szCs w:val="22"/>
          <w:lang w:val="en-GB" w:eastAsia="en-GB"/>
        </w:rPr>
        <w:t>: plots sown with early-seeding plants that retain an open structure from mid-April to July, allowing birds to access the seeds on the ground, located within 300 m</w:t>
      </w:r>
      <w:r w:rsidR="004D5651">
        <w:rPr>
          <w:rFonts w:eastAsia="MS Mincho"/>
          <w:sz w:val="20"/>
          <w:szCs w:val="22"/>
          <w:lang w:val="en-GB" w:eastAsia="en-GB"/>
        </w:rPr>
        <w:t>etres</w:t>
      </w:r>
      <w:r w:rsidRPr="00C96521">
        <w:rPr>
          <w:rFonts w:eastAsia="MS Mincho"/>
          <w:sz w:val="20"/>
          <w:szCs w:val="22"/>
          <w:lang w:val="en-GB" w:eastAsia="en-GB"/>
        </w:rPr>
        <w:t xml:space="preserve"> of suitable nesting habitat (tall, dense hedgerows or stands of scrub).</w:t>
      </w:r>
      <w:r w:rsidRPr="00C96521">
        <w:rPr>
          <w:rFonts w:eastAsia="MS Mincho"/>
          <w:sz w:val="20"/>
          <w:szCs w:val="22"/>
          <w:lang w:val="en-GB" w:eastAsia="ja-JP"/>
        </w:rPr>
        <w:t xml:space="preserve"> It is recogni</w:t>
      </w:r>
      <w:r w:rsidR="004D5651">
        <w:rPr>
          <w:rFonts w:eastAsia="MS Mincho"/>
          <w:sz w:val="20"/>
          <w:szCs w:val="22"/>
          <w:lang w:val="en-GB" w:eastAsia="ja-JP"/>
        </w:rPr>
        <w:t>z</w:t>
      </w:r>
      <w:r w:rsidRPr="00C96521">
        <w:rPr>
          <w:rFonts w:eastAsia="MS Mincho"/>
          <w:sz w:val="20"/>
          <w:szCs w:val="22"/>
          <w:lang w:val="en-GB" w:eastAsia="ja-JP"/>
        </w:rPr>
        <w:t xml:space="preserve">ed that maintaining both seed production and an open structure throughout the season can be a difficult balance to achieve, and is very different to a standard nectar mix plot. The following image shows the structure that needs to be achieved to be suitable for foraging </w:t>
      </w:r>
      <w:r w:rsidR="004D5651">
        <w:rPr>
          <w:rFonts w:eastAsia="MS Mincho"/>
          <w:sz w:val="20"/>
          <w:szCs w:val="22"/>
          <w:lang w:val="en-GB" w:eastAsia="ja-JP"/>
        </w:rPr>
        <w:t>T</w:t>
      </w:r>
      <w:r w:rsidR="004D5651" w:rsidRPr="00C96521">
        <w:rPr>
          <w:rFonts w:eastAsia="MS Mincho"/>
          <w:sz w:val="20"/>
          <w:szCs w:val="22"/>
          <w:lang w:val="en-GB" w:eastAsia="ja-JP"/>
        </w:rPr>
        <w:t>urtle</w:t>
      </w:r>
      <w:r w:rsidR="004D5651">
        <w:rPr>
          <w:rFonts w:eastAsia="MS Mincho"/>
          <w:sz w:val="20"/>
          <w:szCs w:val="22"/>
          <w:lang w:val="en-GB" w:eastAsia="ja-JP"/>
        </w:rPr>
        <w:t xml:space="preserve"> D</w:t>
      </w:r>
      <w:r w:rsidR="004D5651" w:rsidRPr="00C96521">
        <w:rPr>
          <w:rFonts w:eastAsia="MS Mincho"/>
          <w:sz w:val="20"/>
          <w:szCs w:val="22"/>
          <w:lang w:val="en-GB" w:eastAsia="ja-JP"/>
        </w:rPr>
        <w:t>ove</w:t>
      </w:r>
      <w:r w:rsidR="004D5651">
        <w:rPr>
          <w:rFonts w:eastAsia="MS Mincho"/>
          <w:sz w:val="20"/>
          <w:szCs w:val="22"/>
          <w:lang w:val="en-GB" w:eastAsia="ja-JP"/>
        </w:rPr>
        <w:t>s</w:t>
      </w:r>
      <w:r w:rsidRPr="00C96521">
        <w:rPr>
          <w:rFonts w:eastAsia="MS Mincho"/>
          <w:sz w:val="20"/>
          <w:szCs w:val="22"/>
          <w:lang w:val="en-GB" w:eastAsia="ja-JP"/>
        </w:rPr>
        <w:t>.</w:t>
      </w:r>
    </w:p>
    <w:p w14:paraId="063D267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2FA89D6"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noProof/>
          <w:sz w:val="20"/>
          <w:szCs w:val="22"/>
        </w:rPr>
        <w:drawing>
          <wp:inline distT="0" distB="0" distL="0" distR="0" wp14:anchorId="07A1E366" wp14:editId="689D6751">
            <wp:extent cx="5139546" cy="3392854"/>
            <wp:effectExtent l="19050" t="0" r="3954" b="0"/>
            <wp:docPr id="22" name="Picture 5" descr="TD mix 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D mix photo 1"/>
                    <pic:cNvPicPr>
                      <a:picLocks noChangeAspect="1" noChangeArrowheads="1"/>
                    </pic:cNvPicPr>
                  </pic:nvPicPr>
                  <pic:blipFill>
                    <a:blip r:embed="rId53" cstate="print"/>
                    <a:srcRect/>
                    <a:stretch>
                      <a:fillRect/>
                    </a:stretch>
                  </pic:blipFill>
                  <pic:spPr bwMode="auto">
                    <a:xfrm>
                      <a:off x="0" y="0"/>
                      <a:ext cx="5141701" cy="3394277"/>
                    </a:xfrm>
                    <a:prstGeom prst="rect">
                      <a:avLst/>
                    </a:prstGeom>
                    <a:noFill/>
                    <a:ln w="9525">
                      <a:noFill/>
                      <a:miter lim="800000"/>
                      <a:headEnd/>
                      <a:tailEnd/>
                    </a:ln>
                  </pic:spPr>
                </pic:pic>
              </a:graphicData>
            </a:graphic>
          </wp:inline>
        </w:drawing>
      </w:r>
    </w:p>
    <w:p w14:paraId="1086BD5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C19BFE5"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22E3642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0885C2E0"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0E91C047"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lastRenderedPageBreak/>
        <w:t>Step-by-step guide</w:t>
      </w:r>
    </w:p>
    <w:p w14:paraId="088A206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360A33F6"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sz w:val="20"/>
          <w:szCs w:val="22"/>
          <w:lang w:val="en-GB" w:eastAsia="ja-JP"/>
        </w:rPr>
        <w:t>The following is a step-by-step guide to establishing and managing these areas during the course of your 5-year agreement (text in italics provides guidance when there are management choices to be made).</w:t>
      </w:r>
    </w:p>
    <w:p w14:paraId="407839B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F4AD0AF"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Step 1: establishing the plot in Year 1 (and Year 3) of your agreement</w:t>
      </w:r>
    </w:p>
    <w:p w14:paraId="5434B40C"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04EC0E79"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Plot size</w:t>
      </w:r>
    </w:p>
    <w:p w14:paraId="6EF3F0D3"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1F6AC9B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plot should be at least 6m wide and a maximum area of 1ha.</w:t>
      </w:r>
    </w:p>
    <w:p w14:paraId="5EC8224D"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3ED8DB1C"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Plot location</w:t>
      </w:r>
    </w:p>
    <w:p w14:paraId="205A93AC"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4DDFE06F" w14:textId="215CCEDC"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plot should be positioned on level ground, close to suitable turtle-dove nesting habitat (within 300</w:t>
      </w:r>
      <w:r w:rsidR="004D5651">
        <w:rPr>
          <w:rFonts w:eastAsia="MS Mincho"/>
          <w:sz w:val="20"/>
          <w:szCs w:val="22"/>
          <w:lang w:val="en-GB" w:eastAsia="ja-JP"/>
        </w:rPr>
        <w:t xml:space="preserve"> </w:t>
      </w:r>
      <w:r w:rsidRPr="00C96521">
        <w:rPr>
          <w:rFonts w:eastAsia="MS Mincho"/>
          <w:sz w:val="20"/>
          <w:szCs w:val="22"/>
          <w:lang w:val="en-GB" w:eastAsia="ja-JP"/>
        </w:rPr>
        <w:t>m</w:t>
      </w:r>
      <w:r w:rsidR="004D5651">
        <w:rPr>
          <w:rFonts w:eastAsia="MS Mincho"/>
          <w:sz w:val="20"/>
          <w:szCs w:val="22"/>
          <w:lang w:val="en-GB" w:eastAsia="ja-JP"/>
        </w:rPr>
        <w:t>etres</w:t>
      </w:r>
      <w:r w:rsidRPr="00C96521">
        <w:rPr>
          <w:rFonts w:eastAsia="MS Mincho"/>
          <w:sz w:val="20"/>
          <w:szCs w:val="22"/>
          <w:lang w:val="en-GB" w:eastAsia="ja-JP"/>
        </w:rPr>
        <w:t>), or near to farm ponds or other wetland features, but not adjacent to watercourses (to minimise the risks of soil loss and run-off into watercourses). Sheltered, south-facing locations will generally be best. Areas with low soil fertility can be used, but avoid waterlogged and completely shaded locations.</w:t>
      </w:r>
    </w:p>
    <w:p w14:paraId="20B1EFF2"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54EE6C9"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Care should be taken to avoid putting this option in locations known to support rare arable plant species such as corn marigold, cornflower, night flowering catchfly and shepherd’s needle.</w:t>
      </w:r>
    </w:p>
    <w:p w14:paraId="1EF89EFD"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42F80DF3"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What to sow</w:t>
      </w:r>
    </w:p>
    <w:p w14:paraId="413C0C67"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37B49F30" w14:textId="5B7ECC9E"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The following seed mix must be sown </w:t>
      </w:r>
      <w:r w:rsidR="004D5651" w:rsidRPr="00C96521">
        <w:rPr>
          <w:rFonts w:eastAsia="MS Mincho"/>
          <w:sz w:val="20"/>
          <w:szCs w:val="22"/>
          <w:lang w:val="en-GB" w:eastAsia="ja-JP"/>
        </w:rPr>
        <w:t>(</w:t>
      </w:r>
      <w:r w:rsidR="004D5651">
        <w:rPr>
          <w:rFonts w:eastAsia="MS Mincho"/>
          <w:sz w:val="20"/>
          <w:szCs w:val="22"/>
          <w:lang w:val="en-GB" w:eastAsia="ja-JP"/>
        </w:rPr>
        <w:t>percentage</w:t>
      </w:r>
      <w:r w:rsidR="004D5651" w:rsidRPr="00C96521">
        <w:rPr>
          <w:rFonts w:eastAsia="MS Mincho"/>
          <w:sz w:val="20"/>
          <w:szCs w:val="22"/>
          <w:lang w:val="en-GB" w:eastAsia="ja-JP"/>
        </w:rPr>
        <w:t xml:space="preserve"> </w:t>
      </w:r>
      <w:r w:rsidRPr="00C96521">
        <w:rPr>
          <w:rFonts w:eastAsia="MS Mincho"/>
          <w:sz w:val="20"/>
          <w:szCs w:val="22"/>
          <w:lang w:val="en-GB" w:eastAsia="ja-JP"/>
        </w:rPr>
        <w:t>of seed mix by weight) at a seed rate of 10–15 kg/ha:</w:t>
      </w:r>
    </w:p>
    <w:p w14:paraId="274BD120"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22A2868D" w14:textId="3E9CE1B8"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 xml:space="preserve">early </w:t>
      </w:r>
      <w:r w:rsidR="004D5651" w:rsidRPr="00C96521">
        <w:rPr>
          <w:rFonts w:eastAsia="MS Mincho"/>
          <w:sz w:val="20"/>
          <w:szCs w:val="22"/>
          <w:lang w:val="en-GB" w:eastAsia="ja-JP"/>
        </w:rPr>
        <w:t>English</w:t>
      </w:r>
      <w:r w:rsidRPr="00C96521">
        <w:rPr>
          <w:rFonts w:eastAsia="MS Mincho"/>
          <w:sz w:val="20"/>
          <w:szCs w:val="22"/>
          <w:lang w:val="en-GB" w:eastAsia="ja-JP"/>
        </w:rPr>
        <w:t xml:space="preserve"> common vetch (25%)</w:t>
      </w:r>
    </w:p>
    <w:p w14:paraId="5010A577" w14:textId="77777777"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birdsfoot trefoil (20%),</w:t>
      </w:r>
    </w:p>
    <w:p w14:paraId="29A8A2B2" w14:textId="77777777"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early white clover (20%)</w:t>
      </w:r>
    </w:p>
    <w:p w14:paraId="45763FAF" w14:textId="77777777"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black medick (20%)</w:t>
      </w:r>
    </w:p>
    <w:p w14:paraId="6475FF2E" w14:textId="77777777"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early red clover (10%)</w:t>
      </w:r>
    </w:p>
    <w:p w14:paraId="1DCB630D" w14:textId="77777777" w:rsidR="00C96521" w:rsidRPr="00C96521" w:rsidRDefault="00C96521" w:rsidP="00C96521">
      <w:pPr>
        <w:widowControl/>
        <w:numPr>
          <w:ilvl w:val="0"/>
          <w:numId w:val="45"/>
        </w:numPr>
        <w:autoSpaceDE/>
        <w:autoSpaceDN/>
        <w:adjustRightInd/>
        <w:spacing w:line="276" w:lineRule="auto"/>
        <w:contextualSpacing/>
        <w:rPr>
          <w:rFonts w:eastAsia="MS Mincho"/>
          <w:sz w:val="20"/>
          <w:szCs w:val="22"/>
          <w:lang w:val="en-GB" w:eastAsia="ja-JP"/>
        </w:rPr>
      </w:pPr>
      <w:r w:rsidRPr="00C96521">
        <w:rPr>
          <w:rFonts w:eastAsia="MS Mincho"/>
          <w:sz w:val="20"/>
          <w:szCs w:val="22"/>
          <w:lang w:val="en-GB" w:eastAsia="ja-JP"/>
        </w:rPr>
        <w:t>common fumitory (5%)</w:t>
      </w:r>
    </w:p>
    <w:p w14:paraId="1EA3AD4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83C8366"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On heavier soils, and where there are likely to be problems with pernicious weeds, a sowing rate of up to 15 kg/ha is recommended. On lighter soils, a sowing rate of 10 kg/ha is more likely to provide a more varied vegetation structure.</w:t>
      </w:r>
    </w:p>
    <w:p w14:paraId="14898F6A"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7C4F8130"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When to sow</w:t>
      </w:r>
    </w:p>
    <w:p w14:paraId="111C0AAC"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7BD22240" w14:textId="38136890"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Sow from late August to mid-September wherever possible (ground conditions permitting) to ensure establishment before the winter dormancy period and any harsh weather. Later sowings, up to 15 October, can be considered in localities where severe/early frosts are less common and the winters are generally milder.</w:t>
      </w:r>
    </w:p>
    <w:p w14:paraId="4778F32D"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615DDFE"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How to sow</w:t>
      </w:r>
    </w:p>
    <w:p w14:paraId="0FF2082F"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53309B4F"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The seed mix should be broadcast into a firm, fine seedbed and then rolled.</w:t>
      </w:r>
    </w:p>
    <w:p w14:paraId="0AC3144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8EE5EFA"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Step 2: management of plot in Year 2</w:t>
      </w:r>
    </w:p>
    <w:p w14:paraId="6BBEA5F0"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BF0D19D"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(a) Early spring inspection and scarification</w:t>
      </w:r>
    </w:p>
    <w:p w14:paraId="30A63D64"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748DF87F" w14:textId="5E985068"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lastRenderedPageBreak/>
        <w:t>It is vital that there is sufficient bare earth within the plot when the turtle-doves arrive on the breeding grounds. Inspect the plot by early April to ensure that the vegetation is generally &lt;12 cm in height and covers &lt;50</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the ground. If the vegetation generally exceeds this height and cover, scarify half of the plot by 15 April.</w:t>
      </w:r>
    </w:p>
    <w:p w14:paraId="058311CF"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04ED472"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(b) Summer cut and scarification</w:t>
      </w:r>
    </w:p>
    <w:p w14:paraId="3B38CD44"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0D2777DB" w14:textId="1830953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Cut 50</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the plot to a height of c10 cm between 15 June and 7 July. To extend the use as a foraging habitat by turtle-doves, those plots where the vegetation uniformly exceeds 12 cm in height and covers &gt;50</w:t>
      </w:r>
      <w:r w:rsidR="004D5651">
        <w:rPr>
          <w:rFonts w:eastAsia="MS Mincho"/>
          <w:sz w:val="20"/>
          <w:szCs w:val="22"/>
          <w:lang w:val="en-GB" w:eastAsia="ja-JP"/>
        </w:rPr>
        <w:t xml:space="preserve"> per cent</w:t>
      </w:r>
      <w:r w:rsidRPr="00C96521">
        <w:rPr>
          <w:rFonts w:eastAsia="MS Mincho"/>
          <w:sz w:val="20"/>
          <w:szCs w:val="22"/>
          <w:lang w:val="en-GB" w:eastAsia="ja-JP"/>
        </w:rPr>
        <w:t xml:space="preserve"> of the ground should be scarified to a depth of 2–3 cm immediately after cutting.</w:t>
      </w:r>
    </w:p>
    <w:p w14:paraId="3E2DD15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EC4ED10" w14:textId="6A9C735A"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The width of the scarification should be determined by the dimensions of the plot. For example, a 6m margin should have half topped (3m-wide cut), while a plot of 0.5ha should have 6</w:t>
      </w:r>
      <w:r w:rsidR="007910C0">
        <w:rPr>
          <w:rFonts w:eastAsia="MS Mincho"/>
          <w:i/>
          <w:sz w:val="20"/>
          <w:szCs w:val="22"/>
          <w:lang w:val="en-GB" w:eastAsia="ja-JP"/>
        </w:rPr>
        <w:t>-</w:t>
      </w:r>
      <w:r w:rsidRPr="00C96521">
        <w:rPr>
          <w:rFonts w:eastAsia="MS Mincho"/>
          <w:i/>
          <w:sz w:val="20"/>
          <w:szCs w:val="22"/>
          <w:lang w:val="en-GB" w:eastAsia="ja-JP"/>
        </w:rPr>
        <w:t>m</w:t>
      </w:r>
      <w:r w:rsidR="007910C0">
        <w:rPr>
          <w:rFonts w:eastAsia="MS Mincho"/>
          <w:i/>
          <w:sz w:val="20"/>
          <w:szCs w:val="22"/>
          <w:lang w:val="en-GB" w:eastAsia="ja-JP"/>
        </w:rPr>
        <w:t>etre</w:t>
      </w:r>
      <w:r w:rsidRPr="00C96521">
        <w:rPr>
          <w:rFonts w:eastAsia="MS Mincho"/>
          <w:i/>
          <w:sz w:val="20"/>
          <w:szCs w:val="22"/>
          <w:lang w:val="en-GB" w:eastAsia="ja-JP"/>
        </w:rPr>
        <w:t xml:space="preserve"> scarified strips distributed evenly across the plot, to provide the level of sward diversity (including bare ground) required by foraging birds.</w:t>
      </w:r>
    </w:p>
    <w:p w14:paraId="63C785AE"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p>
    <w:p w14:paraId="7860629D"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(c) Autumn cut/scarification</w:t>
      </w:r>
    </w:p>
    <w:p w14:paraId="24B40B49" w14:textId="77777777" w:rsidR="00C96521" w:rsidRPr="00C96521" w:rsidRDefault="00C96521" w:rsidP="00C96521">
      <w:pPr>
        <w:widowControl/>
        <w:autoSpaceDE/>
        <w:autoSpaceDN/>
        <w:adjustRightInd/>
        <w:spacing w:line="276" w:lineRule="auto"/>
        <w:rPr>
          <w:rFonts w:eastAsia="MS Mincho"/>
          <w:sz w:val="20"/>
          <w:szCs w:val="22"/>
          <w:u w:val="single"/>
          <w:lang w:val="en-GB" w:eastAsia="ja-JP"/>
        </w:rPr>
      </w:pPr>
    </w:p>
    <w:p w14:paraId="2A21B8E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In order to prevent the vegetation cover becoming too dense, and to encourage autumn germination of seed-producing plants, it is vital that any dense vegetation cut/flailed and removed, and then whole of the plots should be scarified to a depth of 2–3cm.</w:t>
      </w:r>
    </w:p>
    <w:p w14:paraId="6ABE3C8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F25922A" w14:textId="77777777" w:rsidR="00C96521" w:rsidRPr="00C96521" w:rsidRDefault="00C96521" w:rsidP="00C96521">
      <w:pPr>
        <w:widowControl/>
        <w:autoSpaceDE/>
        <w:autoSpaceDN/>
        <w:adjustRightInd/>
        <w:spacing w:line="276" w:lineRule="auto"/>
        <w:rPr>
          <w:rFonts w:eastAsia="MS Mincho"/>
          <w:i/>
          <w:sz w:val="20"/>
          <w:szCs w:val="22"/>
          <w:lang w:val="en-GB" w:eastAsia="ja-JP"/>
        </w:rPr>
      </w:pPr>
      <w:r w:rsidRPr="00C96521">
        <w:rPr>
          <w:rFonts w:eastAsia="MS Mincho"/>
          <w:i/>
          <w:sz w:val="20"/>
          <w:szCs w:val="22"/>
          <w:lang w:val="en-GB" w:eastAsia="ja-JP"/>
        </w:rPr>
        <w:t xml:space="preserve">Scarification or shallow cultivation can be undertaken by a range of suitable equipment such as a power harrow, set of discs or tines, or other implements appropriate to site conditions. </w:t>
      </w:r>
    </w:p>
    <w:p w14:paraId="7F651DC9"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p>
    <w:p w14:paraId="6534A1A0"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b/>
          <w:sz w:val="20"/>
          <w:szCs w:val="22"/>
          <w:lang w:val="en-GB" w:eastAsia="ja-JP"/>
        </w:rPr>
        <w:t>Step 3: management of plot in Year 3</w:t>
      </w:r>
    </w:p>
    <w:p w14:paraId="2F296FD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63B4301E" w14:textId="634FF8BA"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Repeat 2a and 2b to maintain the suitability of the plot for foraging </w:t>
      </w:r>
      <w:r w:rsidR="007910C0">
        <w:rPr>
          <w:rFonts w:eastAsia="MS Mincho"/>
          <w:sz w:val="20"/>
          <w:szCs w:val="22"/>
          <w:lang w:val="en-GB" w:eastAsia="ja-JP"/>
        </w:rPr>
        <w:t>T</w:t>
      </w:r>
      <w:r w:rsidR="007910C0" w:rsidRPr="00C96521">
        <w:rPr>
          <w:rFonts w:eastAsia="MS Mincho"/>
          <w:sz w:val="20"/>
          <w:szCs w:val="22"/>
          <w:lang w:val="en-GB" w:eastAsia="ja-JP"/>
        </w:rPr>
        <w:t>urtle</w:t>
      </w:r>
      <w:r w:rsidR="007910C0">
        <w:rPr>
          <w:rFonts w:eastAsia="MS Mincho"/>
          <w:sz w:val="20"/>
          <w:szCs w:val="22"/>
          <w:lang w:val="en-GB" w:eastAsia="ja-JP"/>
        </w:rPr>
        <w:t xml:space="preserve"> D</w:t>
      </w:r>
      <w:r w:rsidR="007910C0" w:rsidRPr="00C96521">
        <w:rPr>
          <w:rFonts w:eastAsia="MS Mincho"/>
          <w:sz w:val="20"/>
          <w:szCs w:val="22"/>
          <w:lang w:val="en-GB" w:eastAsia="ja-JP"/>
        </w:rPr>
        <w:t>ove</w:t>
      </w:r>
      <w:r w:rsidR="007910C0">
        <w:rPr>
          <w:rFonts w:eastAsia="MS Mincho"/>
          <w:sz w:val="20"/>
          <w:szCs w:val="22"/>
          <w:lang w:val="en-GB" w:eastAsia="ja-JP"/>
        </w:rPr>
        <w:t>s</w:t>
      </w:r>
      <w:r w:rsidRPr="00C96521">
        <w:rPr>
          <w:rFonts w:eastAsia="MS Mincho"/>
          <w:sz w:val="20"/>
          <w:szCs w:val="22"/>
          <w:lang w:val="en-GB" w:eastAsia="ja-JP"/>
        </w:rPr>
        <w:t xml:space="preserve">. </w:t>
      </w:r>
    </w:p>
    <w:p w14:paraId="12A6E4C4"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7A2DBF7"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Step 4: re-establish the plot in Year 3</w:t>
      </w:r>
    </w:p>
    <w:p w14:paraId="2DDD656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186FB21" w14:textId="1538921E"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After the summer cut/scarification, allow plants to re-grow and flower for a minimum of </w:t>
      </w:r>
      <w:r w:rsidR="007910C0">
        <w:rPr>
          <w:rFonts w:eastAsia="MS Mincho"/>
          <w:sz w:val="20"/>
          <w:szCs w:val="22"/>
          <w:lang w:val="en-GB" w:eastAsia="ja-JP"/>
        </w:rPr>
        <w:t>four</w:t>
      </w:r>
      <w:r w:rsidR="007910C0" w:rsidRPr="00C96521">
        <w:rPr>
          <w:rFonts w:eastAsia="MS Mincho"/>
          <w:sz w:val="20"/>
          <w:szCs w:val="22"/>
          <w:lang w:val="en-GB" w:eastAsia="ja-JP"/>
        </w:rPr>
        <w:t xml:space="preserve"> </w:t>
      </w:r>
      <w:r w:rsidRPr="00C96521">
        <w:rPr>
          <w:rFonts w:eastAsia="MS Mincho"/>
          <w:sz w:val="20"/>
          <w:szCs w:val="22"/>
          <w:lang w:val="en-GB" w:eastAsia="ja-JP"/>
        </w:rPr>
        <w:t>weeks before repeating step 1 to re-establish the plot. To do this, you can either re-sow the seed mix in the same location or bring that land back into the normal arable rotation and move the plot a new suitable location.</w:t>
      </w:r>
    </w:p>
    <w:p w14:paraId="525CE001"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500A56FC"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b/>
          <w:sz w:val="20"/>
          <w:szCs w:val="22"/>
          <w:lang w:val="en-GB" w:eastAsia="ja-JP"/>
        </w:rPr>
        <w:t>Step 5: management of the plot in Years 4 and 5</w:t>
      </w:r>
    </w:p>
    <w:p w14:paraId="37B7EC78"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5F7992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t xml:space="preserve">Repeat 2a, 2b and 2c Year 4 of your agreement, and 2b and 2c in Year 5. </w:t>
      </w:r>
    </w:p>
    <w:p w14:paraId="26BB33AD" w14:textId="77777777" w:rsidR="00C96521" w:rsidRPr="00C96521" w:rsidRDefault="00C96521" w:rsidP="00C96521">
      <w:pPr>
        <w:widowControl/>
        <w:autoSpaceDE/>
        <w:autoSpaceDN/>
        <w:adjustRightInd/>
        <w:spacing w:line="276" w:lineRule="auto"/>
        <w:rPr>
          <w:rFonts w:eastAsia="MS Gothic"/>
          <w:b/>
          <w:bCs/>
          <w:color w:val="365F91"/>
          <w:sz w:val="32"/>
          <w:szCs w:val="28"/>
          <w:lang w:val="en-GB" w:eastAsia="ja-JP"/>
        </w:rPr>
      </w:pPr>
      <w:r w:rsidRPr="00C96521">
        <w:rPr>
          <w:rFonts w:eastAsia="MS Mincho"/>
          <w:sz w:val="20"/>
          <w:szCs w:val="22"/>
          <w:lang w:val="en-GB" w:eastAsia="ja-JP"/>
        </w:rPr>
        <w:br w:type="page"/>
      </w:r>
    </w:p>
    <w:p w14:paraId="76BA4AC3"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37" w:name="_Toc478646922"/>
      <w:r w:rsidRPr="00C96521">
        <w:rPr>
          <w:rFonts w:eastAsia="MS Gothic"/>
          <w:b/>
          <w:bCs/>
          <w:color w:val="365F91"/>
          <w:sz w:val="32"/>
          <w:szCs w:val="28"/>
          <w:lang w:val="en-GB" w:eastAsia="ja-JP"/>
        </w:rPr>
        <w:lastRenderedPageBreak/>
        <w:t>Annex 4: ADAPTIVE HARVEST MANAGEMENT PLAN</w:t>
      </w:r>
      <w:bookmarkEnd w:id="37"/>
    </w:p>
    <w:p w14:paraId="63D30FA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330C5A67" w14:textId="1CBC1944" w:rsidR="00C96521" w:rsidRPr="00C96521" w:rsidRDefault="00C96521" w:rsidP="00C96521">
      <w:pPr>
        <w:widowControl/>
        <w:autoSpaceDE/>
        <w:autoSpaceDN/>
        <w:adjustRightInd/>
        <w:spacing w:line="276" w:lineRule="auto"/>
        <w:rPr>
          <w:rFonts w:eastAsia="MS Mincho"/>
          <w:color w:val="FF0000"/>
          <w:sz w:val="20"/>
          <w:szCs w:val="22"/>
          <w:lang w:val="en-GB" w:eastAsia="ja-JP"/>
        </w:rPr>
      </w:pPr>
      <w:r w:rsidRPr="00C96521">
        <w:rPr>
          <w:rFonts w:eastAsia="MS Mincho"/>
          <w:color w:val="FF0000"/>
          <w:sz w:val="20"/>
          <w:szCs w:val="22"/>
          <w:lang w:val="en-GB" w:eastAsia="ja-JP"/>
        </w:rPr>
        <w:t xml:space="preserve">[Editors' note: work to develop </w:t>
      </w:r>
      <w:r w:rsidR="00CB5111">
        <w:rPr>
          <w:rFonts w:eastAsia="MS Mincho"/>
          <w:color w:val="FF0000"/>
          <w:sz w:val="20"/>
          <w:szCs w:val="22"/>
          <w:lang w:val="en-GB" w:eastAsia="ja-JP"/>
        </w:rPr>
        <w:t>sustainable hunting models for Turtle D</w:t>
      </w:r>
      <w:r w:rsidRPr="00C96521">
        <w:rPr>
          <w:rFonts w:eastAsia="MS Mincho"/>
          <w:color w:val="FF0000"/>
          <w:sz w:val="20"/>
          <w:szCs w:val="22"/>
          <w:lang w:val="en-GB" w:eastAsia="ja-JP"/>
        </w:rPr>
        <w:t>ove is ongoing during the consultation on this first draft]</w:t>
      </w:r>
    </w:p>
    <w:p w14:paraId="7BF4E7FF" w14:textId="5BD802A4" w:rsidR="00C96521" w:rsidRPr="00C96521" w:rsidRDefault="00C96521" w:rsidP="00C96521">
      <w:pPr>
        <w:keepNext/>
        <w:keepLines/>
        <w:widowControl/>
        <w:autoSpaceDE/>
        <w:autoSpaceDN/>
        <w:adjustRightInd/>
        <w:spacing w:before="200" w:line="276" w:lineRule="auto"/>
        <w:outlineLvl w:val="1"/>
        <w:rPr>
          <w:rFonts w:ascii="Cambria" w:eastAsia="MS Gothic" w:hAnsi="Cambria"/>
          <w:b/>
          <w:bCs/>
          <w:color w:val="4F81BD"/>
          <w:sz w:val="26"/>
          <w:szCs w:val="26"/>
          <w:lang w:val="en-GB" w:eastAsia="ja-JP"/>
        </w:rPr>
      </w:pPr>
      <w:bookmarkStart w:id="38" w:name="_Toc478646923"/>
      <w:r w:rsidRPr="00C96521">
        <w:rPr>
          <w:rFonts w:ascii="Cambria" w:eastAsia="MS Gothic" w:hAnsi="Cambria"/>
          <w:b/>
          <w:bCs/>
          <w:color w:val="4F81BD"/>
          <w:sz w:val="26"/>
          <w:szCs w:val="26"/>
          <w:lang w:val="en-GB" w:eastAsia="ja-JP"/>
        </w:rPr>
        <w:t xml:space="preserve">Estimating hunting sustainability of </w:t>
      </w:r>
      <w:r w:rsidR="007910C0">
        <w:rPr>
          <w:rFonts w:ascii="Cambria" w:eastAsia="MS Gothic" w:hAnsi="Cambria"/>
          <w:b/>
          <w:bCs/>
          <w:color w:val="4F81BD"/>
          <w:sz w:val="26"/>
          <w:szCs w:val="26"/>
          <w:lang w:val="en-GB" w:eastAsia="ja-JP"/>
        </w:rPr>
        <w:t>T</w:t>
      </w:r>
      <w:r w:rsidRPr="00C96521">
        <w:rPr>
          <w:rFonts w:ascii="Cambria" w:eastAsia="MS Gothic" w:hAnsi="Cambria"/>
          <w:b/>
          <w:bCs/>
          <w:color w:val="4F81BD"/>
          <w:sz w:val="26"/>
          <w:szCs w:val="26"/>
          <w:lang w:val="en-GB" w:eastAsia="ja-JP"/>
        </w:rPr>
        <w:t xml:space="preserve">urtle </w:t>
      </w:r>
      <w:r w:rsidR="007910C0">
        <w:rPr>
          <w:rFonts w:ascii="Cambria" w:eastAsia="MS Gothic" w:hAnsi="Cambria"/>
          <w:b/>
          <w:bCs/>
          <w:color w:val="4F81BD"/>
          <w:sz w:val="26"/>
          <w:szCs w:val="26"/>
          <w:lang w:val="en-GB" w:eastAsia="ja-JP"/>
        </w:rPr>
        <w:t>D</w:t>
      </w:r>
      <w:r w:rsidRPr="00C96521">
        <w:rPr>
          <w:rFonts w:ascii="Cambria" w:eastAsia="MS Gothic" w:hAnsi="Cambria"/>
          <w:b/>
          <w:bCs/>
          <w:color w:val="4F81BD"/>
          <w:sz w:val="26"/>
          <w:szCs w:val="26"/>
          <w:lang w:val="en-GB" w:eastAsia="ja-JP"/>
        </w:rPr>
        <w:t>oves using the western flyway: a first approach based on the use of demographic invariants</w:t>
      </w:r>
      <w:bookmarkEnd w:id="38"/>
      <w:r w:rsidRPr="00C96521">
        <w:rPr>
          <w:rFonts w:ascii="Cambria" w:eastAsia="MS Gothic" w:hAnsi="Cambria"/>
          <w:b/>
          <w:bCs/>
          <w:color w:val="4F81BD"/>
          <w:sz w:val="26"/>
          <w:szCs w:val="26"/>
          <w:lang w:val="en-GB" w:eastAsia="ja-JP"/>
        </w:rPr>
        <w:t xml:space="preserve"> </w:t>
      </w:r>
    </w:p>
    <w:p w14:paraId="7D7525E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123B3FDF" w14:textId="77777777" w:rsidR="00C96521" w:rsidRPr="00C96521" w:rsidRDefault="00C96521" w:rsidP="00C96521">
      <w:pPr>
        <w:widowControl/>
        <w:shd w:val="clear" w:color="auto" w:fill="FFFFFF"/>
        <w:autoSpaceDE/>
        <w:autoSpaceDN/>
        <w:adjustRightInd/>
        <w:rPr>
          <w:rFonts w:cs="Arial"/>
          <w:color w:val="212121"/>
          <w:sz w:val="20"/>
          <w:szCs w:val="20"/>
          <w:lang w:val="en-GB" w:eastAsia="ja-JP"/>
        </w:rPr>
      </w:pPr>
      <w:r w:rsidRPr="00C96521">
        <w:rPr>
          <w:rFonts w:cs="Arial"/>
          <w:color w:val="212121"/>
          <w:sz w:val="20"/>
          <w:szCs w:val="20"/>
          <w:lang w:val="en-GB" w:eastAsia="ja-JP"/>
        </w:rPr>
        <w:t>Hervé LORMÉE</w:t>
      </w:r>
      <w:r w:rsidRPr="00C96521">
        <w:rPr>
          <w:rFonts w:cs="Arial"/>
          <w:color w:val="212121"/>
          <w:sz w:val="20"/>
          <w:szCs w:val="20"/>
          <w:vertAlign w:val="superscript"/>
          <w:lang w:val="en-GB" w:eastAsia="ja-JP"/>
        </w:rPr>
        <w:t>1</w:t>
      </w:r>
      <w:r w:rsidRPr="00C96521">
        <w:rPr>
          <w:rFonts w:cs="Arial"/>
          <w:color w:val="212121"/>
          <w:sz w:val="20"/>
          <w:szCs w:val="20"/>
          <w:lang w:val="en-GB" w:eastAsia="ja-JP"/>
        </w:rPr>
        <w:t>, Lara MORENO</w:t>
      </w:r>
      <w:r w:rsidRPr="00C96521">
        <w:rPr>
          <w:rFonts w:cs="Arial"/>
          <w:color w:val="212121"/>
          <w:sz w:val="20"/>
          <w:szCs w:val="20"/>
          <w:vertAlign w:val="superscript"/>
          <w:lang w:val="en-GB" w:eastAsia="ja-JP"/>
        </w:rPr>
        <w:t>2</w:t>
      </w:r>
      <w:r w:rsidRPr="00C96521">
        <w:rPr>
          <w:rFonts w:cs="Arial"/>
          <w:color w:val="212121"/>
          <w:sz w:val="20"/>
          <w:szCs w:val="20"/>
          <w:lang w:val="en-GB" w:eastAsia="ja-JP"/>
        </w:rPr>
        <w:t>, Carles CARBONERAS</w:t>
      </w:r>
      <w:r w:rsidRPr="00C96521">
        <w:rPr>
          <w:rFonts w:cs="Arial"/>
          <w:color w:val="212121"/>
          <w:sz w:val="20"/>
          <w:szCs w:val="20"/>
          <w:vertAlign w:val="superscript"/>
          <w:lang w:val="en-GB" w:eastAsia="ja-JP"/>
        </w:rPr>
        <w:t>3</w:t>
      </w:r>
      <w:r w:rsidRPr="00C96521">
        <w:rPr>
          <w:rFonts w:cs="Arial"/>
          <w:color w:val="212121"/>
          <w:sz w:val="20"/>
          <w:szCs w:val="20"/>
          <w:lang w:val="en-GB" w:eastAsia="ja-JP"/>
        </w:rPr>
        <w:t>, Will PEACH</w:t>
      </w:r>
      <w:r w:rsidRPr="00C96521">
        <w:rPr>
          <w:rFonts w:cs="Arial"/>
          <w:color w:val="212121"/>
          <w:sz w:val="20"/>
          <w:szCs w:val="20"/>
          <w:vertAlign w:val="superscript"/>
          <w:lang w:val="en-GB" w:eastAsia="ja-JP"/>
        </w:rPr>
        <w:t>3</w:t>
      </w:r>
      <w:r w:rsidRPr="00C96521">
        <w:rPr>
          <w:rFonts w:cs="Arial"/>
          <w:color w:val="212121"/>
          <w:sz w:val="20"/>
          <w:szCs w:val="20"/>
          <w:lang w:val="en-GB" w:eastAsia="ja-JP"/>
        </w:rPr>
        <w:t>, Christophe BARBRAUD</w:t>
      </w:r>
      <w:r w:rsidRPr="00C96521">
        <w:rPr>
          <w:rFonts w:cs="Arial"/>
          <w:color w:val="212121"/>
          <w:sz w:val="20"/>
          <w:szCs w:val="20"/>
          <w:vertAlign w:val="superscript"/>
          <w:lang w:val="en-GB" w:eastAsia="ja-JP"/>
        </w:rPr>
        <w:t>4</w:t>
      </w:r>
      <w:r w:rsidRPr="00C96521">
        <w:rPr>
          <w:rFonts w:cs="Arial"/>
          <w:color w:val="212121"/>
          <w:sz w:val="20"/>
          <w:szCs w:val="20"/>
          <w:lang w:val="en-GB" w:eastAsia="ja-JP"/>
        </w:rPr>
        <w:t> and Cyril ERAUD</w:t>
      </w:r>
      <w:r w:rsidRPr="00C96521">
        <w:rPr>
          <w:rFonts w:cs="Arial"/>
          <w:color w:val="212121"/>
          <w:sz w:val="20"/>
          <w:szCs w:val="20"/>
          <w:vertAlign w:val="superscript"/>
          <w:lang w:val="en-GB" w:eastAsia="ja-JP"/>
        </w:rPr>
        <w:t>1</w:t>
      </w:r>
      <w:r w:rsidRPr="00C96521">
        <w:rPr>
          <w:rFonts w:cs="Arial"/>
          <w:color w:val="212121"/>
          <w:sz w:val="20"/>
          <w:szCs w:val="20"/>
          <w:lang w:val="en-GB" w:eastAsia="ja-JP"/>
        </w:rPr>
        <w:t>.</w:t>
      </w:r>
    </w:p>
    <w:p w14:paraId="060E0FBA" w14:textId="77777777" w:rsidR="00C96521" w:rsidRPr="00C96521" w:rsidRDefault="00C96521" w:rsidP="00C96521">
      <w:pPr>
        <w:widowControl/>
        <w:shd w:val="clear" w:color="auto" w:fill="FFFFFF"/>
        <w:autoSpaceDE/>
        <w:autoSpaceDN/>
        <w:adjustRightInd/>
        <w:jc w:val="both"/>
        <w:rPr>
          <w:rFonts w:cs="Arial"/>
          <w:color w:val="212121"/>
          <w:sz w:val="20"/>
          <w:szCs w:val="20"/>
          <w:lang w:val="en-GB" w:eastAsia="ja-JP"/>
        </w:rPr>
      </w:pPr>
      <w:r w:rsidRPr="00C96521">
        <w:rPr>
          <w:rFonts w:cs="Arial"/>
          <w:color w:val="212121"/>
          <w:sz w:val="20"/>
          <w:szCs w:val="20"/>
          <w:lang w:val="en-GB" w:eastAsia="ja-JP"/>
        </w:rPr>
        <w:t> </w:t>
      </w:r>
    </w:p>
    <w:p w14:paraId="647E1182" w14:textId="77777777" w:rsidR="00C96521" w:rsidRPr="00890F11" w:rsidRDefault="00C96521" w:rsidP="00C96521">
      <w:pPr>
        <w:widowControl/>
        <w:shd w:val="clear" w:color="auto" w:fill="FFFFFF"/>
        <w:autoSpaceDE/>
        <w:autoSpaceDN/>
        <w:adjustRightInd/>
        <w:rPr>
          <w:rFonts w:cs="Arial"/>
          <w:color w:val="212121"/>
          <w:sz w:val="20"/>
          <w:szCs w:val="20"/>
          <w:lang w:val="fr-FR" w:eastAsia="ja-JP"/>
        </w:rPr>
      </w:pPr>
      <w:r w:rsidRPr="00890F11">
        <w:rPr>
          <w:rFonts w:cs="Arial"/>
          <w:color w:val="212121"/>
          <w:sz w:val="20"/>
          <w:szCs w:val="20"/>
          <w:vertAlign w:val="superscript"/>
          <w:lang w:val="fr-FR" w:eastAsia="ja-JP"/>
        </w:rPr>
        <w:t>1</w:t>
      </w:r>
      <w:r w:rsidRPr="00890F11">
        <w:rPr>
          <w:rFonts w:cs="Arial"/>
          <w:color w:val="212121"/>
          <w:sz w:val="20"/>
          <w:szCs w:val="20"/>
          <w:lang w:val="fr-FR" w:eastAsia="ja-JP"/>
        </w:rPr>
        <w:t>Office National de la Chasse et de la Faune Sauvage, 79360 Villiers en Bois, France.</w:t>
      </w:r>
    </w:p>
    <w:p w14:paraId="5372983E" w14:textId="555797A4" w:rsidR="00C96521" w:rsidRPr="00890F11" w:rsidRDefault="00C96521" w:rsidP="00C96521">
      <w:pPr>
        <w:widowControl/>
        <w:shd w:val="clear" w:color="auto" w:fill="FFFFFF"/>
        <w:autoSpaceDE/>
        <w:autoSpaceDN/>
        <w:adjustRightInd/>
        <w:rPr>
          <w:rFonts w:cs="Arial"/>
          <w:color w:val="212121"/>
          <w:sz w:val="20"/>
          <w:szCs w:val="20"/>
          <w:lang w:val="es-ES" w:eastAsia="ja-JP"/>
        </w:rPr>
      </w:pPr>
      <w:r w:rsidRPr="00890F11">
        <w:rPr>
          <w:rFonts w:cs="Arial"/>
          <w:color w:val="212121"/>
          <w:sz w:val="20"/>
          <w:szCs w:val="20"/>
          <w:vertAlign w:val="superscript"/>
          <w:lang w:val="es-ES" w:eastAsia="ja-JP"/>
        </w:rPr>
        <w:t>2</w:t>
      </w:r>
      <w:r w:rsidRPr="00890F11">
        <w:rPr>
          <w:rFonts w:cs="Arial"/>
          <w:color w:val="212121"/>
          <w:sz w:val="20"/>
          <w:szCs w:val="20"/>
          <w:lang w:val="es-ES" w:eastAsia="ja-JP"/>
        </w:rPr>
        <w:t xml:space="preserve">Instituto de </w:t>
      </w:r>
      <w:r w:rsidR="007910C0" w:rsidRPr="00890F11">
        <w:rPr>
          <w:rFonts w:cs="Arial"/>
          <w:color w:val="212121"/>
          <w:sz w:val="20"/>
          <w:szCs w:val="20"/>
          <w:lang w:val="es-ES" w:eastAsia="ja-JP"/>
        </w:rPr>
        <w:t>Investigación</w:t>
      </w:r>
      <w:r w:rsidRPr="00890F11">
        <w:rPr>
          <w:rFonts w:cs="Arial"/>
          <w:color w:val="212121"/>
          <w:sz w:val="20"/>
          <w:szCs w:val="20"/>
          <w:lang w:val="es-ES" w:eastAsia="ja-JP"/>
        </w:rPr>
        <w:t xml:space="preserve"> en Recursos </w:t>
      </w:r>
      <w:r w:rsidR="007910C0" w:rsidRPr="00890F11">
        <w:rPr>
          <w:rFonts w:cs="Arial"/>
          <w:color w:val="212121"/>
          <w:sz w:val="20"/>
          <w:szCs w:val="20"/>
          <w:lang w:val="es-ES" w:eastAsia="ja-JP"/>
        </w:rPr>
        <w:t>Cinegéticos</w:t>
      </w:r>
      <w:r w:rsidRPr="00890F11">
        <w:rPr>
          <w:rFonts w:cs="Arial"/>
          <w:color w:val="212121"/>
          <w:sz w:val="20"/>
          <w:szCs w:val="20"/>
          <w:lang w:val="es-ES" w:eastAsia="ja-JP"/>
        </w:rPr>
        <w:t>, Ronda de Toledo s/n, 13005 Ciudad Real,</w:t>
      </w:r>
      <w:r w:rsidRPr="00890F11">
        <w:rPr>
          <w:rFonts w:ascii="Times New Roman" w:hAnsi="Times New Roman"/>
          <w:sz w:val="24"/>
          <w:lang w:val="es-ES" w:eastAsia="ja-JP"/>
        </w:rPr>
        <w:t> </w:t>
      </w:r>
      <w:r w:rsidRPr="00890F11">
        <w:rPr>
          <w:rFonts w:cs="Arial"/>
          <w:color w:val="212121"/>
          <w:sz w:val="20"/>
          <w:szCs w:val="20"/>
          <w:lang w:val="es-ES" w:eastAsia="ja-JP"/>
        </w:rPr>
        <w:t>Spain.</w:t>
      </w:r>
    </w:p>
    <w:p w14:paraId="6E477191" w14:textId="77777777" w:rsidR="00C96521" w:rsidRPr="00C96521" w:rsidRDefault="00C96521" w:rsidP="00C96521">
      <w:pPr>
        <w:widowControl/>
        <w:shd w:val="clear" w:color="auto" w:fill="FFFFFF"/>
        <w:autoSpaceDE/>
        <w:autoSpaceDN/>
        <w:adjustRightInd/>
        <w:rPr>
          <w:rFonts w:cs="Arial"/>
          <w:color w:val="212121"/>
          <w:sz w:val="20"/>
          <w:szCs w:val="20"/>
          <w:lang w:val="en-GB" w:eastAsia="ja-JP"/>
        </w:rPr>
      </w:pPr>
      <w:r w:rsidRPr="00C96521">
        <w:rPr>
          <w:rFonts w:cs="Arial"/>
          <w:color w:val="212121"/>
          <w:sz w:val="20"/>
          <w:szCs w:val="20"/>
          <w:vertAlign w:val="superscript"/>
          <w:lang w:val="en-GB" w:eastAsia="ja-JP"/>
        </w:rPr>
        <w:t>3</w:t>
      </w:r>
      <w:r w:rsidRPr="00C96521">
        <w:rPr>
          <w:rFonts w:cs="Arial"/>
          <w:color w:val="212121"/>
          <w:sz w:val="20"/>
          <w:szCs w:val="20"/>
          <w:lang w:val="en-GB" w:eastAsia="ja-JP"/>
        </w:rPr>
        <w:t>RSPB,</w:t>
      </w:r>
      <w:r w:rsidRPr="00C96521">
        <w:rPr>
          <w:rFonts w:ascii="Times New Roman" w:hAnsi="Times New Roman"/>
          <w:sz w:val="24"/>
          <w:lang w:val="en-GB" w:eastAsia="ja-JP"/>
        </w:rPr>
        <w:t> </w:t>
      </w:r>
      <w:r w:rsidRPr="00C96521">
        <w:rPr>
          <w:rFonts w:cs="Arial"/>
          <w:color w:val="212121"/>
          <w:sz w:val="20"/>
          <w:szCs w:val="20"/>
          <w:lang w:val="en-GB" w:eastAsia="ja-JP"/>
        </w:rPr>
        <w:t>The Lodge, Sandy, Bedfordshire SG19 2DL, UK.</w:t>
      </w:r>
    </w:p>
    <w:p w14:paraId="45DCA8DC" w14:textId="096E6C63" w:rsidR="00C96521" w:rsidRPr="00890F11" w:rsidRDefault="00C96521" w:rsidP="00C96521">
      <w:pPr>
        <w:widowControl/>
        <w:shd w:val="clear" w:color="auto" w:fill="FFFFFF"/>
        <w:autoSpaceDE/>
        <w:autoSpaceDN/>
        <w:adjustRightInd/>
        <w:rPr>
          <w:rFonts w:cs="Arial"/>
          <w:color w:val="212121"/>
          <w:sz w:val="20"/>
          <w:szCs w:val="20"/>
          <w:lang w:val="fr-FR" w:eastAsia="ja-JP"/>
        </w:rPr>
      </w:pPr>
      <w:r w:rsidRPr="00890F11">
        <w:rPr>
          <w:rFonts w:cs="Arial"/>
          <w:color w:val="212121"/>
          <w:sz w:val="20"/>
          <w:szCs w:val="20"/>
          <w:vertAlign w:val="superscript"/>
          <w:lang w:val="fr-FR" w:eastAsia="ja-JP"/>
        </w:rPr>
        <w:t>4</w:t>
      </w:r>
      <w:r w:rsidRPr="00890F11">
        <w:rPr>
          <w:rFonts w:cs="Arial"/>
          <w:color w:val="212121"/>
          <w:sz w:val="20"/>
          <w:szCs w:val="20"/>
          <w:lang w:val="fr-FR" w:eastAsia="ja-JP"/>
        </w:rPr>
        <w:t>Centre d’</w:t>
      </w:r>
      <w:r w:rsidR="007910C0">
        <w:rPr>
          <w:rFonts w:cs="Arial"/>
          <w:color w:val="212121"/>
          <w:sz w:val="20"/>
          <w:szCs w:val="20"/>
          <w:lang w:val="fr-FR" w:eastAsia="ja-JP"/>
        </w:rPr>
        <w:t>É</w:t>
      </w:r>
      <w:r w:rsidRPr="00890F11">
        <w:rPr>
          <w:rFonts w:cs="Arial"/>
          <w:color w:val="212121"/>
          <w:sz w:val="20"/>
          <w:szCs w:val="20"/>
          <w:lang w:val="fr-FR" w:eastAsia="ja-JP"/>
        </w:rPr>
        <w:t>tudes Biologiques de Chizé, UMR 7372 Centre National de la Recherche Scientifique, Université La Rochelle, 79360 Villiers en Bois, France.</w:t>
      </w:r>
    </w:p>
    <w:p w14:paraId="3D46CA07" w14:textId="77777777" w:rsidR="00C96521" w:rsidRPr="00890F11" w:rsidRDefault="00C96521" w:rsidP="00C96521">
      <w:pPr>
        <w:widowControl/>
        <w:autoSpaceDE/>
        <w:autoSpaceDN/>
        <w:adjustRightInd/>
        <w:spacing w:line="276" w:lineRule="auto"/>
        <w:jc w:val="both"/>
        <w:rPr>
          <w:rFonts w:eastAsia="MS Mincho" w:cs="Arial"/>
          <w:sz w:val="20"/>
          <w:szCs w:val="20"/>
          <w:lang w:val="fr-FR" w:eastAsia="ja-JP"/>
        </w:rPr>
      </w:pPr>
    </w:p>
    <w:p w14:paraId="5FC13AAB" w14:textId="77777777" w:rsidR="00C96521" w:rsidRPr="00890F11" w:rsidRDefault="00C96521" w:rsidP="00C96521">
      <w:pPr>
        <w:widowControl/>
        <w:autoSpaceDE/>
        <w:autoSpaceDN/>
        <w:adjustRightInd/>
        <w:spacing w:line="276" w:lineRule="auto"/>
        <w:rPr>
          <w:rFonts w:eastAsia="MS Mincho" w:cs="Arial"/>
          <w:sz w:val="20"/>
          <w:szCs w:val="20"/>
          <w:lang w:val="fr-FR" w:eastAsia="ja-JP"/>
        </w:rPr>
      </w:pPr>
    </w:p>
    <w:p w14:paraId="12F4A0F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main objective of this approach is to estimate a maximum harvestable population of turtle doves using the western flyway (P), based on the methodology proposed by Niel and Lebreton (2005) and to compare the estimated values of P though a range of scenario with the most recent estimate of hunting bags for the western flyway.</w:t>
      </w:r>
    </w:p>
    <w:p w14:paraId="4DCF09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1AB8E069" w14:textId="77777777" w:rsidR="00C96521" w:rsidRPr="00C96521" w:rsidRDefault="00C96521" w:rsidP="00C96521">
      <w:pPr>
        <w:widowControl/>
        <w:autoSpaceDE/>
        <w:autoSpaceDN/>
        <w:adjustRightInd/>
        <w:spacing w:line="276" w:lineRule="auto"/>
        <w:rPr>
          <w:rFonts w:eastAsia="MS Mincho" w:cs="Arial"/>
          <w:b/>
          <w:sz w:val="20"/>
          <w:szCs w:val="20"/>
          <w:lang w:val="en-GB" w:eastAsia="ja-JP"/>
        </w:rPr>
      </w:pPr>
      <w:r w:rsidRPr="00C96521">
        <w:rPr>
          <w:rFonts w:eastAsia="MS Mincho" w:cs="Arial"/>
          <w:b/>
          <w:sz w:val="20"/>
          <w:szCs w:val="20"/>
          <w:lang w:val="en-GB" w:eastAsia="ja-JP"/>
        </w:rPr>
        <w:t>Area of analysis</w:t>
      </w:r>
    </w:p>
    <w:p w14:paraId="4185E02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7F61BDA" w14:textId="71F273BC" w:rsidR="00965D7D"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Marx </w:t>
      </w:r>
      <w:r w:rsidRPr="00C96521">
        <w:rPr>
          <w:rFonts w:eastAsia="MS Mincho" w:cs="Arial"/>
          <w:i/>
          <w:sz w:val="20"/>
          <w:szCs w:val="20"/>
          <w:lang w:val="en-GB" w:eastAsia="ja-JP"/>
        </w:rPr>
        <w:t>et al</w:t>
      </w:r>
      <w:r w:rsidRPr="00C96521">
        <w:rPr>
          <w:rFonts w:eastAsia="MS Mincho" w:cs="Arial"/>
          <w:sz w:val="20"/>
          <w:szCs w:val="20"/>
          <w:lang w:val="en-GB" w:eastAsia="ja-JP"/>
        </w:rPr>
        <w:t xml:space="preserve"> (2016) was used to assign countries to the western or central flyway. No information was available for Switzerland, but it has been included in the western flyway. Italy falls within the central flyway according to Marx </w:t>
      </w:r>
      <w:r w:rsidRPr="00C96521">
        <w:rPr>
          <w:rFonts w:eastAsia="MS Mincho" w:cs="Arial"/>
          <w:i/>
          <w:sz w:val="20"/>
          <w:szCs w:val="20"/>
          <w:lang w:val="en-GB" w:eastAsia="ja-JP"/>
        </w:rPr>
        <w:t>et al</w:t>
      </w:r>
      <w:r w:rsidRPr="00C96521">
        <w:rPr>
          <w:rFonts w:eastAsia="MS Mincho" w:cs="Arial"/>
          <w:sz w:val="20"/>
          <w:szCs w:val="20"/>
          <w:lang w:val="en-GB" w:eastAsia="ja-JP"/>
        </w:rPr>
        <w:t xml:space="preserve"> (2016), and for the initial analysis, it was not included. Population sizes can be found in Table 2.</w:t>
      </w:r>
    </w:p>
    <w:p w14:paraId="7D4ED8AC" w14:textId="77777777" w:rsidR="00965D7D" w:rsidRDefault="00965D7D">
      <w:pPr>
        <w:widowControl/>
        <w:autoSpaceDE/>
        <w:autoSpaceDN/>
        <w:adjustRightInd/>
        <w:rPr>
          <w:rFonts w:eastAsia="MS Mincho" w:cs="Arial"/>
          <w:sz w:val="20"/>
          <w:szCs w:val="20"/>
          <w:lang w:val="en-GB" w:eastAsia="ja-JP"/>
        </w:rPr>
      </w:pPr>
      <w:r>
        <w:rPr>
          <w:rFonts w:eastAsia="MS Mincho" w:cs="Arial"/>
          <w:sz w:val="20"/>
          <w:szCs w:val="20"/>
          <w:lang w:val="en-GB" w:eastAsia="ja-JP"/>
        </w:rPr>
        <w:br w:type="page"/>
      </w:r>
    </w:p>
    <w:p w14:paraId="14ECBE85" w14:textId="77777777" w:rsidR="00C96521" w:rsidRPr="00C96521" w:rsidRDefault="00C96521" w:rsidP="00C96521">
      <w:pPr>
        <w:widowControl/>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lastRenderedPageBreak/>
        <w:t>Table 7. Base data for sustainable hunting model analyses</w:t>
      </w:r>
    </w:p>
    <w:p w14:paraId="5955B50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bl>
      <w:tblPr>
        <w:tblW w:w="9977" w:type="dxa"/>
        <w:tblInd w:w="-72" w:type="dxa"/>
        <w:tblCellMar>
          <w:left w:w="70" w:type="dxa"/>
          <w:right w:w="70" w:type="dxa"/>
        </w:tblCellMar>
        <w:tblLook w:val="0000" w:firstRow="0" w:lastRow="0" w:firstColumn="0" w:lastColumn="0" w:noHBand="0" w:noVBand="0"/>
      </w:tblPr>
      <w:tblGrid>
        <w:gridCol w:w="1083"/>
        <w:gridCol w:w="852"/>
        <w:gridCol w:w="852"/>
        <w:gridCol w:w="755"/>
        <w:gridCol w:w="860"/>
        <w:gridCol w:w="843"/>
        <w:gridCol w:w="851"/>
        <w:gridCol w:w="1134"/>
        <w:gridCol w:w="1134"/>
        <w:gridCol w:w="850"/>
        <w:gridCol w:w="763"/>
      </w:tblGrid>
      <w:tr w:rsidR="00C96521" w:rsidRPr="00C96521" w14:paraId="6C6DFFD5" w14:textId="77777777" w:rsidTr="00C96521">
        <w:trPr>
          <w:trHeight w:val="690"/>
        </w:trPr>
        <w:tc>
          <w:tcPr>
            <w:tcW w:w="1083" w:type="dxa"/>
            <w:tcBorders>
              <w:top w:val="single" w:sz="8" w:space="0" w:color="C0C0C0"/>
              <w:left w:val="single" w:sz="8" w:space="0" w:color="C0C0C0"/>
              <w:bottom w:val="single" w:sz="8" w:space="0" w:color="C0C0C0"/>
              <w:right w:val="single" w:sz="8" w:space="0" w:color="C0C0C0"/>
            </w:tcBorders>
            <w:shd w:val="clear" w:color="auto" w:fill="CCCCFF"/>
          </w:tcPr>
          <w:p w14:paraId="480FB18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Country</w:t>
            </w:r>
          </w:p>
        </w:tc>
        <w:tc>
          <w:tcPr>
            <w:tcW w:w="852" w:type="dxa"/>
            <w:tcBorders>
              <w:top w:val="single" w:sz="8" w:space="0" w:color="C0C0C0"/>
              <w:left w:val="nil"/>
              <w:bottom w:val="single" w:sz="8" w:space="0" w:color="C0C0C0"/>
              <w:right w:val="single" w:sz="8" w:space="0" w:color="C0C0C0"/>
            </w:tcBorders>
            <w:shd w:val="clear" w:color="auto" w:fill="CCCCFF"/>
          </w:tcPr>
          <w:p w14:paraId="1D1A60E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Pop size (pairs) min</w:t>
            </w:r>
          </w:p>
        </w:tc>
        <w:tc>
          <w:tcPr>
            <w:tcW w:w="852" w:type="dxa"/>
            <w:tcBorders>
              <w:top w:val="single" w:sz="8" w:space="0" w:color="C0C0C0"/>
              <w:left w:val="nil"/>
              <w:bottom w:val="single" w:sz="8" w:space="0" w:color="C0C0C0"/>
              <w:right w:val="single" w:sz="8" w:space="0" w:color="C0C0C0"/>
            </w:tcBorders>
            <w:shd w:val="clear" w:color="auto" w:fill="CCCCFF"/>
          </w:tcPr>
          <w:p w14:paraId="18048E7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Pop size (pairs) max</w:t>
            </w:r>
          </w:p>
        </w:tc>
        <w:tc>
          <w:tcPr>
            <w:tcW w:w="755" w:type="dxa"/>
            <w:tcBorders>
              <w:top w:val="single" w:sz="8" w:space="0" w:color="C0C0C0"/>
              <w:left w:val="nil"/>
              <w:bottom w:val="single" w:sz="8" w:space="0" w:color="C0C0C0"/>
              <w:right w:val="single" w:sz="8" w:space="0" w:color="C0C0C0"/>
            </w:tcBorders>
            <w:shd w:val="clear" w:color="auto" w:fill="CCCCFF"/>
          </w:tcPr>
          <w:p w14:paraId="01D9E0B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Year(s) of estimate</w:t>
            </w:r>
          </w:p>
        </w:tc>
        <w:tc>
          <w:tcPr>
            <w:tcW w:w="860" w:type="dxa"/>
            <w:tcBorders>
              <w:top w:val="single" w:sz="8" w:space="0" w:color="C0C0C0"/>
              <w:left w:val="nil"/>
              <w:bottom w:val="single" w:sz="8" w:space="0" w:color="C0C0C0"/>
              <w:right w:val="single" w:sz="8" w:space="0" w:color="C0C0C0"/>
            </w:tcBorders>
            <w:shd w:val="clear" w:color="auto" w:fill="CCCCFF"/>
          </w:tcPr>
          <w:p w14:paraId="1E8FA26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Year of reference (1)</w:t>
            </w:r>
          </w:p>
        </w:tc>
        <w:tc>
          <w:tcPr>
            <w:tcW w:w="843" w:type="dxa"/>
            <w:tcBorders>
              <w:top w:val="single" w:sz="8" w:space="0" w:color="C0C0C0"/>
              <w:left w:val="nil"/>
              <w:bottom w:val="single" w:sz="8" w:space="0" w:color="C0C0C0"/>
              <w:right w:val="single" w:sz="8" w:space="0" w:color="C0C0C0"/>
            </w:tcBorders>
            <w:shd w:val="clear" w:color="auto" w:fill="CCCCFF"/>
          </w:tcPr>
          <w:p w14:paraId="0755366A"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Multiplic-ative trend slope (2)</w:t>
            </w:r>
          </w:p>
        </w:tc>
        <w:tc>
          <w:tcPr>
            <w:tcW w:w="851" w:type="dxa"/>
            <w:tcBorders>
              <w:top w:val="single" w:sz="8" w:space="0" w:color="C0C0C0"/>
              <w:left w:val="nil"/>
              <w:bottom w:val="single" w:sz="8" w:space="0" w:color="C0C0C0"/>
              <w:right w:val="single" w:sz="8" w:space="0" w:color="C0C0C0"/>
            </w:tcBorders>
            <w:shd w:val="clear" w:color="auto" w:fill="CCCCFF"/>
          </w:tcPr>
          <w:p w14:paraId="6B153C7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Multiplic-</w:t>
            </w:r>
          </w:p>
          <w:p w14:paraId="28BCED9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ative trend slope period (3)</w:t>
            </w:r>
          </w:p>
        </w:tc>
        <w:tc>
          <w:tcPr>
            <w:tcW w:w="1134" w:type="dxa"/>
            <w:tcBorders>
              <w:top w:val="single" w:sz="8" w:space="0" w:color="C0C0C0"/>
              <w:left w:val="nil"/>
              <w:bottom w:val="single" w:sz="8" w:space="0" w:color="C0C0C0"/>
              <w:right w:val="single" w:sz="8" w:space="0" w:color="C0C0C0"/>
            </w:tcBorders>
            <w:shd w:val="clear" w:color="auto" w:fill="CCCCFF"/>
          </w:tcPr>
          <w:p w14:paraId="72F4277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Time elapsed (in years) between year of reference and 2016 (4)</w:t>
            </w:r>
          </w:p>
        </w:tc>
        <w:tc>
          <w:tcPr>
            <w:tcW w:w="1134" w:type="dxa"/>
            <w:tcBorders>
              <w:top w:val="single" w:sz="8" w:space="0" w:color="C0C0C0"/>
              <w:left w:val="nil"/>
              <w:bottom w:val="single" w:sz="8" w:space="0" w:color="C0C0C0"/>
              <w:right w:val="single" w:sz="8" w:space="0" w:color="C0C0C0"/>
            </w:tcBorders>
            <w:shd w:val="clear" w:color="auto" w:fill="CCCCFF"/>
          </w:tcPr>
          <w:p w14:paraId="1B9A664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[multiplicative trend </w:t>
            </w:r>
          </w:p>
          <w:p w14:paraId="0D539E2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slope]</w:t>
            </w:r>
          </w:p>
          <w:p w14:paraId="5BE7BDAC" w14:textId="77777777" w:rsidR="00C96521" w:rsidRPr="00C96521" w:rsidRDefault="00C96521" w:rsidP="00C96521">
            <w:pPr>
              <w:widowControl/>
              <w:autoSpaceDE/>
              <w:autoSpaceDN/>
              <w:adjustRightInd/>
              <w:spacing w:line="276" w:lineRule="auto"/>
              <w:rPr>
                <w:rFonts w:eastAsia="MS Mincho" w:cs="Arial"/>
                <w:sz w:val="16"/>
                <w:szCs w:val="16"/>
                <w:vertAlign w:val="superscript"/>
                <w:lang w:val="en-GB" w:eastAsia="ja-JP"/>
              </w:rPr>
            </w:pPr>
            <w:r w:rsidRPr="00C96521">
              <w:rPr>
                <w:rFonts w:eastAsia="MS Mincho" w:cs="Arial"/>
                <w:sz w:val="16"/>
                <w:szCs w:val="16"/>
                <w:vertAlign w:val="superscript"/>
                <w:lang w:val="en-GB" w:eastAsia="ja-JP"/>
              </w:rPr>
              <w:t xml:space="preserve">time elapsed </w:t>
            </w:r>
          </w:p>
          <w:p w14:paraId="6464587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w:t>
            </w:r>
          </w:p>
        </w:tc>
        <w:tc>
          <w:tcPr>
            <w:tcW w:w="850" w:type="dxa"/>
            <w:tcBorders>
              <w:top w:val="single" w:sz="8" w:space="0" w:color="C0C0C0"/>
              <w:left w:val="nil"/>
              <w:bottom w:val="single" w:sz="8" w:space="0" w:color="C0C0C0"/>
              <w:right w:val="single" w:sz="8" w:space="0" w:color="C0C0C0"/>
            </w:tcBorders>
            <w:shd w:val="clear" w:color="auto" w:fill="CCCCFF"/>
          </w:tcPr>
          <w:p w14:paraId="78A26CB2"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Pop size in 2016 (pairs) min</w:t>
            </w:r>
          </w:p>
          <w:p w14:paraId="0A30F3F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(6)</w:t>
            </w:r>
          </w:p>
        </w:tc>
        <w:tc>
          <w:tcPr>
            <w:tcW w:w="763" w:type="dxa"/>
            <w:tcBorders>
              <w:top w:val="single" w:sz="8" w:space="0" w:color="C0C0C0"/>
              <w:left w:val="nil"/>
              <w:bottom w:val="single" w:sz="8" w:space="0" w:color="C0C0C0"/>
              <w:right w:val="single" w:sz="8" w:space="0" w:color="C0C0C0"/>
            </w:tcBorders>
            <w:shd w:val="clear" w:color="auto" w:fill="CCCCFF"/>
          </w:tcPr>
          <w:p w14:paraId="130BCB42"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Pop size in 2016 (pairs) max</w:t>
            </w:r>
          </w:p>
          <w:p w14:paraId="468160D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(6)</w:t>
            </w:r>
          </w:p>
        </w:tc>
      </w:tr>
      <w:tr w:rsidR="00C96521" w:rsidRPr="00C96521" w14:paraId="7A5AA43C"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52FC90C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Belgium </w:t>
            </w:r>
          </w:p>
        </w:tc>
        <w:tc>
          <w:tcPr>
            <w:tcW w:w="852" w:type="dxa"/>
            <w:tcBorders>
              <w:top w:val="nil"/>
              <w:left w:val="nil"/>
              <w:bottom w:val="single" w:sz="8" w:space="0" w:color="C0C0C0"/>
              <w:right w:val="single" w:sz="8" w:space="0" w:color="C0C0C0"/>
            </w:tcBorders>
            <w:shd w:val="clear" w:color="auto" w:fill="auto"/>
          </w:tcPr>
          <w:p w14:paraId="3E4A180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3,000</w:t>
            </w:r>
          </w:p>
        </w:tc>
        <w:tc>
          <w:tcPr>
            <w:tcW w:w="852" w:type="dxa"/>
            <w:tcBorders>
              <w:top w:val="nil"/>
              <w:left w:val="nil"/>
              <w:bottom w:val="single" w:sz="8" w:space="0" w:color="C0C0C0"/>
              <w:right w:val="single" w:sz="8" w:space="0" w:color="C0C0C0"/>
            </w:tcBorders>
            <w:shd w:val="clear" w:color="auto" w:fill="auto"/>
          </w:tcPr>
          <w:p w14:paraId="3B897FB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4,500</w:t>
            </w:r>
          </w:p>
        </w:tc>
        <w:tc>
          <w:tcPr>
            <w:tcW w:w="755" w:type="dxa"/>
            <w:tcBorders>
              <w:top w:val="nil"/>
              <w:left w:val="nil"/>
              <w:bottom w:val="single" w:sz="8" w:space="0" w:color="C0C0C0"/>
              <w:right w:val="single" w:sz="8" w:space="0" w:color="C0C0C0"/>
            </w:tcBorders>
            <w:shd w:val="clear" w:color="auto" w:fill="auto"/>
          </w:tcPr>
          <w:p w14:paraId="24F48264"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2000-2002</w:t>
            </w:r>
          </w:p>
        </w:tc>
        <w:tc>
          <w:tcPr>
            <w:tcW w:w="860" w:type="dxa"/>
            <w:tcBorders>
              <w:top w:val="nil"/>
              <w:left w:val="nil"/>
              <w:bottom w:val="single" w:sz="8" w:space="0" w:color="C0C0C0"/>
              <w:right w:val="single" w:sz="8" w:space="0" w:color="C0C0C0"/>
            </w:tcBorders>
            <w:shd w:val="clear" w:color="auto" w:fill="auto"/>
          </w:tcPr>
          <w:p w14:paraId="533B0F0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2001</w:t>
            </w:r>
          </w:p>
        </w:tc>
        <w:tc>
          <w:tcPr>
            <w:tcW w:w="843" w:type="dxa"/>
            <w:tcBorders>
              <w:top w:val="nil"/>
              <w:left w:val="nil"/>
              <w:bottom w:val="single" w:sz="8" w:space="0" w:color="C0C0C0"/>
              <w:right w:val="single" w:sz="8" w:space="0" w:color="C0C0C0"/>
            </w:tcBorders>
            <w:shd w:val="clear" w:color="auto" w:fill="auto"/>
          </w:tcPr>
          <w:p w14:paraId="1BBCF53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0.9091</w:t>
            </w:r>
          </w:p>
        </w:tc>
        <w:tc>
          <w:tcPr>
            <w:tcW w:w="851" w:type="dxa"/>
            <w:tcBorders>
              <w:top w:val="nil"/>
              <w:left w:val="nil"/>
              <w:bottom w:val="single" w:sz="8" w:space="0" w:color="C0C0C0"/>
              <w:right w:val="single" w:sz="8" w:space="0" w:color="C0C0C0"/>
            </w:tcBorders>
            <w:shd w:val="clear" w:color="auto" w:fill="auto"/>
          </w:tcPr>
          <w:p w14:paraId="3B18C94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90-14</w:t>
            </w:r>
          </w:p>
        </w:tc>
        <w:tc>
          <w:tcPr>
            <w:tcW w:w="1134" w:type="dxa"/>
            <w:tcBorders>
              <w:top w:val="nil"/>
              <w:left w:val="nil"/>
              <w:bottom w:val="single" w:sz="8" w:space="0" w:color="C0C0C0"/>
              <w:right w:val="single" w:sz="8" w:space="0" w:color="C0C0C0"/>
            </w:tcBorders>
            <w:shd w:val="clear" w:color="auto" w:fill="auto"/>
          </w:tcPr>
          <w:p w14:paraId="40EE716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15</w:t>
            </w:r>
          </w:p>
        </w:tc>
        <w:tc>
          <w:tcPr>
            <w:tcW w:w="1134" w:type="dxa"/>
            <w:tcBorders>
              <w:top w:val="nil"/>
              <w:left w:val="nil"/>
              <w:bottom w:val="single" w:sz="8" w:space="0" w:color="C0C0C0"/>
              <w:right w:val="single" w:sz="8" w:space="0" w:color="C0C0C0"/>
            </w:tcBorders>
            <w:shd w:val="clear" w:color="auto" w:fill="auto"/>
          </w:tcPr>
          <w:p w14:paraId="1681304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0.2394</w:t>
            </w:r>
          </w:p>
        </w:tc>
        <w:tc>
          <w:tcPr>
            <w:tcW w:w="850" w:type="dxa"/>
            <w:tcBorders>
              <w:top w:val="nil"/>
              <w:left w:val="nil"/>
              <w:bottom w:val="single" w:sz="8" w:space="0" w:color="C0C0C0"/>
              <w:right w:val="single" w:sz="8" w:space="0" w:color="C0C0C0"/>
            </w:tcBorders>
            <w:shd w:val="clear" w:color="auto" w:fill="auto"/>
          </w:tcPr>
          <w:p w14:paraId="7525953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718</w:t>
            </w:r>
          </w:p>
        </w:tc>
        <w:tc>
          <w:tcPr>
            <w:tcW w:w="763" w:type="dxa"/>
            <w:tcBorders>
              <w:top w:val="nil"/>
              <w:left w:val="nil"/>
              <w:bottom w:val="single" w:sz="8" w:space="0" w:color="C0C0C0"/>
              <w:right w:val="single" w:sz="8" w:space="0" w:color="C0C0C0"/>
            </w:tcBorders>
            <w:shd w:val="clear" w:color="auto" w:fill="auto"/>
          </w:tcPr>
          <w:p w14:paraId="3DDA4A2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1077</w:t>
            </w:r>
          </w:p>
        </w:tc>
      </w:tr>
      <w:tr w:rsidR="00C96521" w:rsidRPr="00C96521" w14:paraId="53BA4437"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025B803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Denmark </w:t>
            </w:r>
          </w:p>
        </w:tc>
        <w:tc>
          <w:tcPr>
            <w:tcW w:w="852" w:type="dxa"/>
            <w:tcBorders>
              <w:top w:val="nil"/>
              <w:left w:val="nil"/>
              <w:bottom w:val="single" w:sz="8" w:space="0" w:color="C0C0C0"/>
              <w:right w:val="single" w:sz="8" w:space="0" w:color="C0C0C0"/>
            </w:tcBorders>
            <w:shd w:val="clear" w:color="auto" w:fill="auto"/>
          </w:tcPr>
          <w:p w14:paraId="0B539A7A"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w:t>
            </w:r>
          </w:p>
        </w:tc>
        <w:tc>
          <w:tcPr>
            <w:tcW w:w="852" w:type="dxa"/>
            <w:tcBorders>
              <w:top w:val="nil"/>
              <w:left w:val="nil"/>
              <w:bottom w:val="single" w:sz="8" w:space="0" w:color="C0C0C0"/>
              <w:right w:val="single" w:sz="8" w:space="0" w:color="C0C0C0"/>
            </w:tcBorders>
            <w:shd w:val="clear" w:color="auto" w:fill="auto"/>
          </w:tcPr>
          <w:p w14:paraId="2159E688"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150</w:t>
            </w:r>
          </w:p>
        </w:tc>
        <w:tc>
          <w:tcPr>
            <w:tcW w:w="755" w:type="dxa"/>
            <w:tcBorders>
              <w:top w:val="nil"/>
              <w:left w:val="nil"/>
              <w:bottom w:val="single" w:sz="8" w:space="0" w:color="C0C0C0"/>
              <w:right w:val="single" w:sz="8" w:space="0" w:color="C0C0C0"/>
            </w:tcBorders>
            <w:shd w:val="clear" w:color="auto" w:fill="auto"/>
          </w:tcPr>
          <w:p w14:paraId="10EDC05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2010-2011</w:t>
            </w:r>
          </w:p>
        </w:tc>
        <w:tc>
          <w:tcPr>
            <w:tcW w:w="860" w:type="dxa"/>
            <w:tcBorders>
              <w:top w:val="nil"/>
              <w:left w:val="nil"/>
              <w:bottom w:val="single" w:sz="8" w:space="0" w:color="C0C0C0"/>
              <w:right w:val="single" w:sz="8" w:space="0" w:color="C0C0C0"/>
            </w:tcBorders>
            <w:shd w:val="clear" w:color="auto" w:fill="auto"/>
          </w:tcPr>
          <w:p w14:paraId="0BF7DAFA"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2011</w:t>
            </w:r>
          </w:p>
        </w:tc>
        <w:tc>
          <w:tcPr>
            <w:tcW w:w="843" w:type="dxa"/>
            <w:tcBorders>
              <w:top w:val="nil"/>
              <w:left w:val="nil"/>
              <w:bottom w:val="single" w:sz="8" w:space="0" w:color="C0C0C0"/>
              <w:right w:val="single" w:sz="8" w:space="0" w:color="C0C0C0"/>
            </w:tcBorders>
            <w:shd w:val="clear" w:color="auto" w:fill="auto"/>
          </w:tcPr>
          <w:p w14:paraId="3E98681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w:t>
            </w:r>
          </w:p>
        </w:tc>
        <w:tc>
          <w:tcPr>
            <w:tcW w:w="851" w:type="dxa"/>
            <w:tcBorders>
              <w:top w:val="nil"/>
              <w:left w:val="nil"/>
              <w:bottom w:val="single" w:sz="8" w:space="0" w:color="C0C0C0"/>
              <w:right w:val="single" w:sz="8" w:space="0" w:color="C0C0C0"/>
            </w:tcBorders>
            <w:shd w:val="clear" w:color="auto" w:fill="auto"/>
          </w:tcPr>
          <w:p w14:paraId="77DE5CE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w:t>
            </w:r>
          </w:p>
        </w:tc>
        <w:tc>
          <w:tcPr>
            <w:tcW w:w="1134" w:type="dxa"/>
            <w:tcBorders>
              <w:top w:val="nil"/>
              <w:left w:val="nil"/>
              <w:bottom w:val="single" w:sz="8" w:space="0" w:color="C0C0C0"/>
              <w:right w:val="single" w:sz="8" w:space="0" w:color="C0C0C0"/>
            </w:tcBorders>
            <w:shd w:val="clear" w:color="auto" w:fill="auto"/>
          </w:tcPr>
          <w:p w14:paraId="289F464A"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w:t>
            </w:r>
          </w:p>
        </w:tc>
        <w:tc>
          <w:tcPr>
            <w:tcW w:w="1134" w:type="dxa"/>
            <w:tcBorders>
              <w:top w:val="nil"/>
              <w:left w:val="nil"/>
              <w:bottom w:val="single" w:sz="8" w:space="0" w:color="C0C0C0"/>
              <w:right w:val="single" w:sz="8" w:space="0" w:color="C0C0C0"/>
            </w:tcBorders>
            <w:shd w:val="clear" w:color="auto" w:fill="auto"/>
          </w:tcPr>
          <w:p w14:paraId="0158513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1.0000</w:t>
            </w:r>
          </w:p>
        </w:tc>
        <w:tc>
          <w:tcPr>
            <w:tcW w:w="850" w:type="dxa"/>
            <w:tcBorders>
              <w:top w:val="nil"/>
              <w:left w:val="nil"/>
              <w:bottom w:val="single" w:sz="8" w:space="0" w:color="C0C0C0"/>
              <w:right w:val="single" w:sz="8" w:space="0" w:color="C0C0C0"/>
            </w:tcBorders>
            <w:shd w:val="clear" w:color="auto" w:fill="auto"/>
          </w:tcPr>
          <w:p w14:paraId="3431482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w:t>
            </w:r>
          </w:p>
        </w:tc>
        <w:tc>
          <w:tcPr>
            <w:tcW w:w="763" w:type="dxa"/>
            <w:tcBorders>
              <w:top w:val="nil"/>
              <w:left w:val="nil"/>
              <w:bottom w:val="single" w:sz="8" w:space="0" w:color="C0C0C0"/>
              <w:right w:val="single" w:sz="8" w:space="0" w:color="C0C0C0"/>
            </w:tcBorders>
            <w:shd w:val="clear" w:color="auto" w:fill="auto"/>
          </w:tcPr>
          <w:p w14:paraId="61AA0CC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150</w:t>
            </w:r>
          </w:p>
        </w:tc>
      </w:tr>
      <w:tr w:rsidR="00C96521" w:rsidRPr="00C96521" w14:paraId="4B81DB99"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2BD7E06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France </w:t>
            </w:r>
          </w:p>
        </w:tc>
        <w:tc>
          <w:tcPr>
            <w:tcW w:w="852" w:type="dxa"/>
            <w:tcBorders>
              <w:top w:val="nil"/>
              <w:left w:val="nil"/>
              <w:bottom w:val="single" w:sz="8" w:space="0" w:color="C0C0C0"/>
              <w:right w:val="single" w:sz="8" w:space="0" w:color="C0C0C0"/>
            </w:tcBorders>
            <w:shd w:val="clear" w:color="auto" w:fill="auto"/>
          </w:tcPr>
          <w:p w14:paraId="13C9856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396,985</w:t>
            </w:r>
          </w:p>
        </w:tc>
        <w:tc>
          <w:tcPr>
            <w:tcW w:w="852" w:type="dxa"/>
            <w:tcBorders>
              <w:top w:val="nil"/>
              <w:left w:val="nil"/>
              <w:bottom w:val="single" w:sz="8" w:space="0" w:color="C0C0C0"/>
              <w:right w:val="single" w:sz="8" w:space="0" w:color="C0C0C0"/>
            </w:tcBorders>
            <w:shd w:val="clear" w:color="auto" w:fill="auto"/>
          </w:tcPr>
          <w:p w14:paraId="350F5EB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481,007</w:t>
            </w:r>
          </w:p>
        </w:tc>
        <w:tc>
          <w:tcPr>
            <w:tcW w:w="755" w:type="dxa"/>
            <w:tcBorders>
              <w:top w:val="nil"/>
              <w:left w:val="nil"/>
              <w:bottom w:val="single" w:sz="8" w:space="0" w:color="C0C0C0"/>
              <w:right w:val="single" w:sz="8" w:space="0" w:color="C0C0C0"/>
            </w:tcBorders>
            <w:shd w:val="clear" w:color="auto" w:fill="auto"/>
          </w:tcPr>
          <w:p w14:paraId="29B06E7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2009</w:t>
            </w:r>
          </w:p>
        </w:tc>
        <w:tc>
          <w:tcPr>
            <w:tcW w:w="860" w:type="dxa"/>
            <w:tcBorders>
              <w:top w:val="nil"/>
              <w:left w:val="nil"/>
              <w:bottom w:val="single" w:sz="8" w:space="0" w:color="C0C0C0"/>
              <w:right w:val="single" w:sz="8" w:space="0" w:color="C0C0C0"/>
            </w:tcBorders>
            <w:shd w:val="clear" w:color="auto" w:fill="auto"/>
          </w:tcPr>
          <w:p w14:paraId="708A8D9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2009</w:t>
            </w:r>
          </w:p>
        </w:tc>
        <w:tc>
          <w:tcPr>
            <w:tcW w:w="843" w:type="dxa"/>
            <w:tcBorders>
              <w:top w:val="nil"/>
              <w:left w:val="nil"/>
              <w:bottom w:val="single" w:sz="8" w:space="0" w:color="C0C0C0"/>
              <w:right w:val="single" w:sz="8" w:space="0" w:color="C0C0C0"/>
            </w:tcBorders>
            <w:shd w:val="clear" w:color="auto" w:fill="auto"/>
          </w:tcPr>
          <w:p w14:paraId="0E67BDB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0.9798</w:t>
            </w:r>
          </w:p>
        </w:tc>
        <w:tc>
          <w:tcPr>
            <w:tcW w:w="851" w:type="dxa"/>
            <w:tcBorders>
              <w:top w:val="nil"/>
              <w:left w:val="nil"/>
              <w:bottom w:val="single" w:sz="8" w:space="0" w:color="C0C0C0"/>
              <w:right w:val="single" w:sz="8" w:space="0" w:color="C0C0C0"/>
            </w:tcBorders>
            <w:shd w:val="clear" w:color="auto" w:fill="auto"/>
          </w:tcPr>
          <w:p w14:paraId="3CE4FA4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89-14</w:t>
            </w:r>
          </w:p>
        </w:tc>
        <w:tc>
          <w:tcPr>
            <w:tcW w:w="1134" w:type="dxa"/>
            <w:tcBorders>
              <w:top w:val="nil"/>
              <w:left w:val="nil"/>
              <w:bottom w:val="single" w:sz="8" w:space="0" w:color="C0C0C0"/>
              <w:right w:val="single" w:sz="8" w:space="0" w:color="C0C0C0"/>
            </w:tcBorders>
            <w:shd w:val="clear" w:color="auto" w:fill="auto"/>
          </w:tcPr>
          <w:p w14:paraId="3763555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7</w:t>
            </w:r>
          </w:p>
        </w:tc>
        <w:tc>
          <w:tcPr>
            <w:tcW w:w="1134" w:type="dxa"/>
            <w:tcBorders>
              <w:top w:val="nil"/>
              <w:left w:val="nil"/>
              <w:bottom w:val="single" w:sz="8" w:space="0" w:color="C0C0C0"/>
              <w:right w:val="single" w:sz="8" w:space="0" w:color="C0C0C0"/>
            </w:tcBorders>
            <w:shd w:val="clear" w:color="auto" w:fill="auto"/>
          </w:tcPr>
          <w:p w14:paraId="78CE67C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0.8669</w:t>
            </w:r>
          </w:p>
        </w:tc>
        <w:tc>
          <w:tcPr>
            <w:tcW w:w="850" w:type="dxa"/>
            <w:tcBorders>
              <w:top w:val="nil"/>
              <w:left w:val="nil"/>
              <w:bottom w:val="single" w:sz="8" w:space="0" w:color="C0C0C0"/>
              <w:right w:val="single" w:sz="8" w:space="0" w:color="C0C0C0"/>
            </w:tcBorders>
            <w:shd w:val="clear" w:color="auto" w:fill="auto"/>
          </w:tcPr>
          <w:p w14:paraId="21708128"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344141</w:t>
            </w:r>
          </w:p>
        </w:tc>
        <w:tc>
          <w:tcPr>
            <w:tcW w:w="763" w:type="dxa"/>
            <w:tcBorders>
              <w:top w:val="nil"/>
              <w:left w:val="nil"/>
              <w:bottom w:val="single" w:sz="8" w:space="0" w:color="C0C0C0"/>
              <w:right w:val="single" w:sz="8" w:space="0" w:color="C0C0C0"/>
            </w:tcBorders>
            <w:shd w:val="clear" w:color="auto" w:fill="auto"/>
          </w:tcPr>
          <w:p w14:paraId="7417AE2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416978</w:t>
            </w:r>
          </w:p>
        </w:tc>
      </w:tr>
      <w:tr w:rsidR="00C96521" w:rsidRPr="00C96521" w14:paraId="2A8550B4"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4FD2621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Germany </w:t>
            </w:r>
          </w:p>
        </w:tc>
        <w:tc>
          <w:tcPr>
            <w:tcW w:w="852" w:type="dxa"/>
            <w:tcBorders>
              <w:top w:val="nil"/>
              <w:left w:val="nil"/>
              <w:bottom w:val="single" w:sz="8" w:space="0" w:color="C0C0C0"/>
              <w:right w:val="single" w:sz="8" w:space="0" w:color="C0C0C0"/>
            </w:tcBorders>
            <w:shd w:val="clear" w:color="auto" w:fill="auto"/>
          </w:tcPr>
          <w:p w14:paraId="550AAAB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25,000</w:t>
            </w:r>
          </w:p>
        </w:tc>
        <w:tc>
          <w:tcPr>
            <w:tcW w:w="852" w:type="dxa"/>
            <w:tcBorders>
              <w:top w:val="nil"/>
              <w:left w:val="nil"/>
              <w:bottom w:val="single" w:sz="8" w:space="0" w:color="C0C0C0"/>
              <w:right w:val="single" w:sz="8" w:space="0" w:color="C0C0C0"/>
            </w:tcBorders>
            <w:shd w:val="clear" w:color="auto" w:fill="auto"/>
          </w:tcPr>
          <w:p w14:paraId="1544AA9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45,000</w:t>
            </w:r>
          </w:p>
        </w:tc>
        <w:tc>
          <w:tcPr>
            <w:tcW w:w="755" w:type="dxa"/>
            <w:tcBorders>
              <w:top w:val="nil"/>
              <w:left w:val="nil"/>
              <w:bottom w:val="single" w:sz="8" w:space="0" w:color="C0C0C0"/>
              <w:right w:val="single" w:sz="8" w:space="0" w:color="C0C0C0"/>
            </w:tcBorders>
            <w:shd w:val="clear" w:color="auto" w:fill="auto"/>
          </w:tcPr>
          <w:p w14:paraId="06522B58"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2005-2009</w:t>
            </w:r>
          </w:p>
        </w:tc>
        <w:tc>
          <w:tcPr>
            <w:tcW w:w="860" w:type="dxa"/>
            <w:tcBorders>
              <w:top w:val="nil"/>
              <w:left w:val="nil"/>
              <w:bottom w:val="single" w:sz="8" w:space="0" w:color="C0C0C0"/>
              <w:right w:val="single" w:sz="8" w:space="0" w:color="C0C0C0"/>
            </w:tcBorders>
            <w:shd w:val="clear" w:color="auto" w:fill="auto"/>
          </w:tcPr>
          <w:p w14:paraId="19558E7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2007</w:t>
            </w:r>
          </w:p>
        </w:tc>
        <w:tc>
          <w:tcPr>
            <w:tcW w:w="843" w:type="dxa"/>
            <w:tcBorders>
              <w:top w:val="nil"/>
              <w:left w:val="nil"/>
              <w:bottom w:val="single" w:sz="8" w:space="0" w:color="C0C0C0"/>
              <w:right w:val="single" w:sz="8" w:space="0" w:color="C0C0C0"/>
            </w:tcBorders>
            <w:shd w:val="clear" w:color="auto" w:fill="auto"/>
          </w:tcPr>
          <w:p w14:paraId="02460C6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0.9576</w:t>
            </w:r>
          </w:p>
        </w:tc>
        <w:tc>
          <w:tcPr>
            <w:tcW w:w="851" w:type="dxa"/>
            <w:tcBorders>
              <w:top w:val="nil"/>
              <w:left w:val="nil"/>
              <w:bottom w:val="single" w:sz="8" w:space="0" w:color="C0C0C0"/>
              <w:right w:val="single" w:sz="8" w:space="0" w:color="C0C0C0"/>
            </w:tcBorders>
            <w:shd w:val="clear" w:color="auto" w:fill="auto"/>
          </w:tcPr>
          <w:p w14:paraId="545650E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89-14</w:t>
            </w:r>
          </w:p>
        </w:tc>
        <w:tc>
          <w:tcPr>
            <w:tcW w:w="1134" w:type="dxa"/>
            <w:tcBorders>
              <w:top w:val="nil"/>
              <w:left w:val="nil"/>
              <w:bottom w:val="single" w:sz="8" w:space="0" w:color="C0C0C0"/>
              <w:right w:val="single" w:sz="8" w:space="0" w:color="C0C0C0"/>
            </w:tcBorders>
            <w:shd w:val="clear" w:color="auto" w:fill="auto"/>
          </w:tcPr>
          <w:p w14:paraId="0E69F84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9</w:t>
            </w:r>
          </w:p>
        </w:tc>
        <w:tc>
          <w:tcPr>
            <w:tcW w:w="1134" w:type="dxa"/>
            <w:tcBorders>
              <w:top w:val="nil"/>
              <w:left w:val="nil"/>
              <w:bottom w:val="single" w:sz="8" w:space="0" w:color="C0C0C0"/>
              <w:right w:val="single" w:sz="8" w:space="0" w:color="C0C0C0"/>
            </w:tcBorders>
            <w:shd w:val="clear" w:color="auto" w:fill="auto"/>
          </w:tcPr>
          <w:p w14:paraId="12665DD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0.6771</w:t>
            </w:r>
          </w:p>
        </w:tc>
        <w:tc>
          <w:tcPr>
            <w:tcW w:w="850" w:type="dxa"/>
            <w:tcBorders>
              <w:top w:val="nil"/>
              <w:left w:val="nil"/>
              <w:bottom w:val="single" w:sz="8" w:space="0" w:color="C0C0C0"/>
              <w:right w:val="single" w:sz="8" w:space="0" w:color="C0C0C0"/>
            </w:tcBorders>
            <w:shd w:val="clear" w:color="auto" w:fill="auto"/>
          </w:tcPr>
          <w:p w14:paraId="7C29B9D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16928</w:t>
            </w:r>
          </w:p>
        </w:tc>
        <w:tc>
          <w:tcPr>
            <w:tcW w:w="763" w:type="dxa"/>
            <w:tcBorders>
              <w:top w:val="nil"/>
              <w:left w:val="nil"/>
              <w:bottom w:val="single" w:sz="8" w:space="0" w:color="C0C0C0"/>
              <w:right w:val="single" w:sz="8" w:space="0" w:color="C0C0C0"/>
            </w:tcBorders>
            <w:shd w:val="clear" w:color="auto" w:fill="auto"/>
          </w:tcPr>
          <w:p w14:paraId="67CC7A8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30470</w:t>
            </w:r>
          </w:p>
        </w:tc>
      </w:tr>
      <w:tr w:rsidR="00C96521" w:rsidRPr="00C96521" w14:paraId="556A1ECF"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5775E40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Italy </w:t>
            </w:r>
          </w:p>
        </w:tc>
        <w:tc>
          <w:tcPr>
            <w:tcW w:w="852" w:type="dxa"/>
            <w:tcBorders>
              <w:top w:val="nil"/>
              <w:left w:val="nil"/>
              <w:bottom w:val="single" w:sz="8" w:space="0" w:color="C0C0C0"/>
              <w:right w:val="single" w:sz="8" w:space="0" w:color="C0C0C0"/>
            </w:tcBorders>
            <w:shd w:val="clear" w:color="auto" w:fill="auto"/>
          </w:tcPr>
          <w:p w14:paraId="60BABEA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150,000</w:t>
            </w:r>
          </w:p>
        </w:tc>
        <w:tc>
          <w:tcPr>
            <w:tcW w:w="852" w:type="dxa"/>
            <w:tcBorders>
              <w:top w:val="nil"/>
              <w:left w:val="nil"/>
              <w:bottom w:val="single" w:sz="8" w:space="0" w:color="C0C0C0"/>
              <w:right w:val="single" w:sz="8" w:space="0" w:color="C0C0C0"/>
            </w:tcBorders>
            <w:shd w:val="clear" w:color="auto" w:fill="auto"/>
          </w:tcPr>
          <w:p w14:paraId="773211F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300,000</w:t>
            </w:r>
          </w:p>
        </w:tc>
        <w:tc>
          <w:tcPr>
            <w:tcW w:w="755" w:type="dxa"/>
            <w:tcBorders>
              <w:top w:val="nil"/>
              <w:left w:val="nil"/>
              <w:bottom w:val="single" w:sz="8" w:space="0" w:color="C0C0C0"/>
              <w:right w:val="single" w:sz="8" w:space="0" w:color="C0C0C0"/>
            </w:tcBorders>
            <w:shd w:val="clear" w:color="auto" w:fill="auto"/>
          </w:tcPr>
          <w:p w14:paraId="56E935F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2015</w:t>
            </w:r>
          </w:p>
        </w:tc>
        <w:tc>
          <w:tcPr>
            <w:tcW w:w="860" w:type="dxa"/>
            <w:tcBorders>
              <w:top w:val="nil"/>
              <w:left w:val="nil"/>
              <w:bottom w:val="single" w:sz="8" w:space="0" w:color="C0C0C0"/>
              <w:right w:val="single" w:sz="8" w:space="0" w:color="C0C0C0"/>
            </w:tcBorders>
            <w:shd w:val="clear" w:color="auto" w:fill="auto"/>
          </w:tcPr>
          <w:p w14:paraId="4BC8D00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2015</w:t>
            </w:r>
          </w:p>
        </w:tc>
        <w:tc>
          <w:tcPr>
            <w:tcW w:w="843" w:type="dxa"/>
            <w:tcBorders>
              <w:top w:val="nil"/>
              <w:left w:val="nil"/>
              <w:bottom w:val="single" w:sz="8" w:space="0" w:color="C0C0C0"/>
              <w:right w:val="single" w:sz="8" w:space="0" w:color="C0C0C0"/>
            </w:tcBorders>
            <w:shd w:val="clear" w:color="auto" w:fill="auto"/>
          </w:tcPr>
          <w:p w14:paraId="71E0667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1.0025</w:t>
            </w:r>
          </w:p>
        </w:tc>
        <w:tc>
          <w:tcPr>
            <w:tcW w:w="851" w:type="dxa"/>
            <w:tcBorders>
              <w:top w:val="nil"/>
              <w:left w:val="nil"/>
              <w:bottom w:val="single" w:sz="8" w:space="0" w:color="C0C0C0"/>
              <w:right w:val="single" w:sz="8" w:space="0" w:color="C0C0C0"/>
            </w:tcBorders>
            <w:shd w:val="clear" w:color="auto" w:fill="auto"/>
          </w:tcPr>
          <w:p w14:paraId="48C7D49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00-14</w:t>
            </w:r>
          </w:p>
        </w:tc>
        <w:tc>
          <w:tcPr>
            <w:tcW w:w="1134" w:type="dxa"/>
            <w:tcBorders>
              <w:top w:val="nil"/>
              <w:left w:val="nil"/>
              <w:bottom w:val="single" w:sz="8" w:space="0" w:color="C0C0C0"/>
              <w:right w:val="single" w:sz="8" w:space="0" w:color="C0C0C0"/>
            </w:tcBorders>
            <w:shd w:val="clear" w:color="auto" w:fill="auto"/>
          </w:tcPr>
          <w:p w14:paraId="3533C4A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w:t>
            </w:r>
          </w:p>
        </w:tc>
        <w:tc>
          <w:tcPr>
            <w:tcW w:w="1134" w:type="dxa"/>
            <w:tcBorders>
              <w:top w:val="nil"/>
              <w:left w:val="nil"/>
              <w:bottom w:val="single" w:sz="8" w:space="0" w:color="C0C0C0"/>
              <w:right w:val="single" w:sz="8" w:space="0" w:color="C0C0C0"/>
            </w:tcBorders>
            <w:shd w:val="clear" w:color="auto" w:fill="auto"/>
          </w:tcPr>
          <w:p w14:paraId="1E0D0B8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1.0025</w:t>
            </w:r>
          </w:p>
        </w:tc>
        <w:tc>
          <w:tcPr>
            <w:tcW w:w="850" w:type="dxa"/>
            <w:tcBorders>
              <w:top w:val="nil"/>
              <w:left w:val="nil"/>
              <w:bottom w:val="single" w:sz="8" w:space="0" w:color="C0C0C0"/>
              <w:right w:val="single" w:sz="8" w:space="0" w:color="C0C0C0"/>
            </w:tcBorders>
            <w:shd w:val="clear" w:color="auto" w:fill="auto"/>
          </w:tcPr>
          <w:p w14:paraId="7580C682"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150375</w:t>
            </w:r>
          </w:p>
        </w:tc>
        <w:tc>
          <w:tcPr>
            <w:tcW w:w="763" w:type="dxa"/>
            <w:tcBorders>
              <w:top w:val="nil"/>
              <w:left w:val="nil"/>
              <w:bottom w:val="single" w:sz="8" w:space="0" w:color="C0C0C0"/>
              <w:right w:val="single" w:sz="8" w:space="0" w:color="C0C0C0"/>
            </w:tcBorders>
            <w:shd w:val="clear" w:color="auto" w:fill="auto"/>
          </w:tcPr>
          <w:p w14:paraId="684C627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300750</w:t>
            </w:r>
          </w:p>
        </w:tc>
      </w:tr>
      <w:tr w:rsidR="00C96521" w:rsidRPr="00C96521" w14:paraId="4830F091"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632CD22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Netherlands </w:t>
            </w:r>
          </w:p>
        </w:tc>
        <w:tc>
          <w:tcPr>
            <w:tcW w:w="852" w:type="dxa"/>
            <w:tcBorders>
              <w:top w:val="nil"/>
              <w:left w:val="nil"/>
              <w:bottom w:val="single" w:sz="8" w:space="0" w:color="C0C0C0"/>
              <w:right w:val="single" w:sz="8" w:space="0" w:color="C0C0C0"/>
            </w:tcBorders>
            <w:shd w:val="clear" w:color="auto" w:fill="auto"/>
          </w:tcPr>
          <w:p w14:paraId="4986EBA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4,763</w:t>
            </w:r>
          </w:p>
        </w:tc>
        <w:tc>
          <w:tcPr>
            <w:tcW w:w="852" w:type="dxa"/>
            <w:tcBorders>
              <w:top w:val="nil"/>
              <w:left w:val="nil"/>
              <w:bottom w:val="single" w:sz="8" w:space="0" w:color="C0C0C0"/>
              <w:right w:val="single" w:sz="8" w:space="0" w:color="C0C0C0"/>
            </w:tcBorders>
            <w:shd w:val="clear" w:color="auto" w:fill="auto"/>
          </w:tcPr>
          <w:p w14:paraId="580C069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5,715</w:t>
            </w:r>
          </w:p>
        </w:tc>
        <w:tc>
          <w:tcPr>
            <w:tcW w:w="755" w:type="dxa"/>
            <w:tcBorders>
              <w:top w:val="nil"/>
              <w:left w:val="nil"/>
              <w:bottom w:val="single" w:sz="8" w:space="0" w:color="C0C0C0"/>
              <w:right w:val="single" w:sz="8" w:space="0" w:color="C0C0C0"/>
            </w:tcBorders>
            <w:shd w:val="clear" w:color="auto" w:fill="auto"/>
          </w:tcPr>
          <w:p w14:paraId="6065B84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2008-2011</w:t>
            </w:r>
          </w:p>
        </w:tc>
        <w:tc>
          <w:tcPr>
            <w:tcW w:w="860" w:type="dxa"/>
            <w:tcBorders>
              <w:top w:val="nil"/>
              <w:left w:val="nil"/>
              <w:bottom w:val="single" w:sz="8" w:space="0" w:color="C0C0C0"/>
              <w:right w:val="single" w:sz="8" w:space="0" w:color="C0C0C0"/>
            </w:tcBorders>
            <w:shd w:val="clear" w:color="auto" w:fill="auto"/>
          </w:tcPr>
          <w:p w14:paraId="395B6B7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2010</w:t>
            </w:r>
          </w:p>
        </w:tc>
        <w:tc>
          <w:tcPr>
            <w:tcW w:w="843" w:type="dxa"/>
            <w:tcBorders>
              <w:top w:val="nil"/>
              <w:left w:val="nil"/>
              <w:bottom w:val="single" w:sz="8" w:space="0" w:color="C0C0C0"/>
              <w:right w:val="single" w:sz="8" w:space="0" w:color="C0C0C0"/>
            </w:tcBorders>
            <w:shd w:val="clear" w:color="auto" w:fill="auto"/>
          </w:tcPr>
          <w:p w14:paraId="033573E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0.9269</w:t>
            </w:r>
          </w:p>
        </w:tc>
        <w:tc>
          <w:tcPr>
            <w:tcW w:w="851" w:type="dxa"/>
            <w:tcBorders>
              <w:top w:val="nil"/>
              <w:left w:val="nil"/>
              <w:bottom w:val="single" w:sz="8" w:space="0" w:color="C0C0C0"/>
              <w:right w:val="single" w:sz="8" w:space="0" w:color="C0C0C0"/>
            </w:tcBorders>
            <w:shd w:val="clear" w:color="auto" w:fill="auto"/>
          </w:tcPr>
          <w:p w14:paraId="34ABC14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84-14</w:t>
            </w:r>
          </w:p>
        </w:tc>
        <w:tc>
          <w:tcPr>
            <w:tcW w:w="1134" w:type="dxa"/>
            <w:tcBorders>
              <w:top w:val="nil"/>
              <w:left w:val="nil"/>
              <w:bottom w:val="single" w:sz="8" w:space="0" w:color="C0C0C0"/>
              <w:right w:val="single" w:sz="8" w:space="0" w:color="C0C0C0"/>
            </w:tcBorders>
            <w:shd w:val="clear" w:color="auto" w:fill="auto"/>
          </w:tcPr>
          <w:p w14:paraId="3C21A2C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6</w:t>
            </w:r>
          </w:p>
        </w:tc>
        <w:tc>
          <w:tcPr>
            <w:tcW w:w="1134" w:type="dxa"/>
            <w:tcBorders>
              <w:top w:val="nil"/>
              <w:left w:val="nil"/>
              <w:bottom w:val="single" w:sz="8" w:space="0" w:color="C0C0C0"/>
              <w:right w:val="single" w:sz="8" w:space="0" w:color="C0C0C0"/>
            </w:tcBorders>
            <w:shd w:val="clear" w:color="auto" w:fill="auto"/>
          </w:tcPr>
          <w:p w14:paraId="716E4D5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0.6342</w:t>
            </w:r>
          </w:p>
        </w:tc>
        <w:tc>
          <w:tcPr>
            <w:tcW w:w="850" w:type="dxa"/>
            <w:tcBorders>
              <w:top w:val="nil"/>
              <w:left w:val="nil"/>
              <w:bottom w:val="single" w:sz="8" w:space="0" w:color="C0C0C0"/>
              <w:right w:val="single" w:sz="8" w:space="0" w:color="C0C0C0"/>
            </w:tcBorders>
            <w:shd w:val="clear" w:color="auto" w:fill="auto"/>
          </w:tcPr>
          <w:p w14:paraId="2F99BA0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3020</w:t>
            </w:r>
          </w:p>
        </w:tc>
        <w:tc>
          <w:tcPr>
            <w:tcW w:w="763" w:type="dxa"/>
            <w:tcBorders>
              <w:top w:val="nil"/>
              <w:left w:val="nil"/>
              <w:bottom w:val="single" w:sz="8" w:space="0" w:color="C0C0C0"/>
              <w:right w:val="single" w:sz="8" w:space="0" w:color="C0C0C0"/>
            </w:tcBorders>
            <w:shd w:val="clear" w:color="auto" w:fill="auto"/>
          </w:tcPr>
          <w:p w14:paraId="37836E7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3624</w:t>
            </w:r>
          </w:p>
        </w:tc>
      </w:tr>
      <w:tr w:rsidR="00C96521" w:rsidRPr="00C96521" w14:paraId="640B1D20"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1889CCC2"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Portugal </w:t>
            </w:r>
          </w:p>
        </w:tc>
        <w:tc>
          <w:tcPr>
            <w:tcW w:w="852" w:type="dxa"/>
            <w:tcBorders>
              <w:top w:val="nil"/>
              <w:left w:val="nil"/>
              <w:bottom w:val="single" w:sz="8" w:space="0" w:color="C0C0C0"/>
              <w:right w:val="single" w:sz="8" w:space="0" w:color="C0C0C0"/>
            </w:tcBorders>
            <w:shd w:val="clear" w:color="auto" w:fill="auto"/>
          </w:tcPr>
          <w:p w14:paraId="7980FF6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10,000</w:t>
            </w:r>
          </w:p>
        </w:tc>
        <w:tc>
          <w:tcPr>
            <w:tcW w:w="852" w:type="dxa"/>
            <w:tcBorders>
              <w:top w:val="nil"/>
              <w:left w:val="nil"/>
              <w:bottom w:val="single" w:sz="8" w:space="0" w:color="C0C0C0"/>
              <w:right w:val="single" w:sz="8" w:space="0" w:color="C0C0C0"/>
            </w:tcBorders>
            <w:shd w:val="clear" w:color="auto" w:fill="auto"/>
          </w:tcPr>
          <w:p w14:paraId="64D2CC7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50,000</w:t>
            </w:r>
          </w:p>
        </w:tc>
        <w:tc>
          <w:tcPr>
            <w:tcW w:w="755" w:type="dxa"/>
            <w:tcBorders>
              <w:top w:val="nil"/>
              <w:left w:val="nil"/>
              <w:bottom w:val="single" w:sz="8" w:space="0" w:color="C0C0C0"/>
              <w:right w:val="single" w:sz="8" w:space="0" w:color="C0C0C0"/>
            </w:tcBorders>
            <w:shd w:val="clear" w:color="auto" w:fill="auto"/>
          </w:tcPr>
          <w:p w14:paraId="05FBA89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2008-2012</w:t>
            </w:r>
          </w:p>
        </w:tc>
        <w:tc>
          <w:tcPr>
            <w:tcW w:w="860" w:type="dxa"/>
            <w:tcBorders>
              <w:top w:val="nil"/>
              <w:left w:val="nil"/>
              <w:bottom w:val="single" w:sz="8" w:space="0" w:color="C0C0C0"/>
              <w:right w:val="single" w:sz="8" w:space="0" w:color="C0C0C0"/>
            </w:tcBorders>
            <w:shd w:val="clear" w:color="auto" w:fill="auto"/>
          </w:tcPr>
          <w:p w14:paraId="227E44E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2010</w:t>
            </w:r>
          </w:p>
        </w:tc>
        <w:tc>
          <w:tcPr>
            <w:tcW w:w="843" w:type="dxa"/>
            <w:tcBorders>
              <w:top w:val="nil"/>
              <w:left w:val="nil"/>
              <w:bottom w:val="single" w:sz="8" w:space="0" w:color="C0C0C0"/>
              <w:right w:val="single" w:sz="8" w:space="0" w:color="C0C0C0"/>
            </w:tcBorders>
            <w:shd w:val="clear" w:color="auto" w:fill="auto"/>
          </w:tcPr>
          <w:p w14:paraId="6126FCC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0.9013</w:t>
            </w:r>
          </w:p>
        </w:tc>
        <w:tc>
          <w:tcPr>
            <w:tcW w:w="851" w:type="dxa"/>
            <w:tcBorders>
              <w:top w:val="nil"/>
              <w:left w:val="nil"/>
              <w:bottom w:val="single" w:sz="8" w:space="0" w:color="C0C0C0"/>
              <w:right w:val="single" w:sz="8" w:space="0" w:color="C0C0C0"/>
            </w:tcBorders>
            <w:shd w:val="clear" w:color="auto" w:fill="auto"/>
          </w:tcPr>
          <w:p w14:paraId="2FBD5A5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1984-14</w:t>
            </w:r>
          </w:p>
        </w:tc>
        <w:tc>
          <w:tcPr>
            <w:tcW w:w="1134" w:type="dxa"/>
            <w:tcBorders>
              <w:top w:val="nil"/>
              <w:left w:val="nil"/>
              <w:bottom w:val="single" w:sz="8" w:space="0" w:color="C0C0C0"/>
              <w:right w:val="single" w:sz="8" w:space="0" w:color="C0C0C0"/>
            </w:tcBorders>
            <w:shd w:val="clear" w:color="auto" w:fill="auto"/>
          </w:tcPr>
          <w:p w14:paraId="0E3F2D2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6</w:t>
            </w:r>
          </w:p>
        </w:tc>
        <w:tc>
          <w:tcPr>
            <w:tcW w:w="1134" w:type="dxa"/>
            <w:tcBorders>
              <w:top w:val="nil"/>
              <w:left w:val="nil"/>
              <w:bottom w:val="single" w:sz="8" w:space="0" w:color="C0C0C0"/>
              <w:right w:val="single" w:sz="8" w:space="0" w:color="C0C0C0"/>
            </w:tcBorders>
            <w:shd w:val="clear" w:color="auto" w:fill="auto"/>
          </w:tcPr>
          <w:p w14:paraId="28B3BC1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0.5361</w:t>
            </w:r>
          </w:p>
        </w:tc>
        <w:tc>
          <w:tcPr>
            <w:tcW w:w="850" w:type="dxa"/>
            <w:tcBorders>
              <w:top w:val="nil"/>
              <w:left w:val="nil"/>
              <w:bottom w:val="single" w:sz="8" w:space="0" w:color="C0C0C0"/>
              <w:right w:val="single" w:sz="8" w:space="0" w:color="C0C0C0"/>
            </w:tcBorders>
            <w:shd w:val="clear" w:color="auto" w:fill="auto"/>
          </w:tcPr>
          <w:p w14:paraId="1244459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5361</w:t>
            </w:r>
          </w:p>
        </w:tc>
        <w:tc>
          <w:tcPr>
            <w:tcW w:w="763" w:type="dxa"/>
            <w:tcBorders>
              <w:top w:val="nil"/>
              <w:left w:val="nil"/>
              <w:bottom w:val="single" w:sz="8" w:space="0" w:color="C0C0C0"/>
              <w:right w:val="single" w:sz="8" w:space="0" w:color="C0C0C0"/>
            </w:tcBorders>
            <w:shd w:val="clear" w:color="auto" w:fill="auto"/>
          </w:tcPr>
          <w:p w14:paraId="602E1C93"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26803</w:t>
            </w:r>
          </w:p>
        </w:tc>
      </w:tr>
      <w:tr w:rsidR="00C96521" w:rsidRPr="00C96521" w14:paraId="1FFEBD46"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196939C8"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Spain </w:t>
            </w:r>
          </w:p>
        </w:tc>
        <w:tc>
          <w:tcPr>
            <w:tcW w:w="852" w:type="dxa"/>
            <w:tcBorders>
              <w:top w:val="nil"/>
              <w:left w:val="nil"/>
              <w:bottom w:val="single" w:sz="8" w:space="0" w:color="C0C0C0"/>
              <w:right w:val="single" w:sz="8" w:space="0" w:color="C0C0C0"/>
            </w:tcBorders>
            <w:shd w:val="clear" w:color="auto" w:fill="auto"/>
          </w:tcPr>
          <w:p w14:paraId="74DA695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1,370,000</w:t>
            </w:r>
          </w:p>
        </w:tc>
        <w:tc>
          <w:tcPr>
            <w:tcW w:w="852" w:type="dxa"/>
            <w:tcBorders>
              <w:top w:val="nil"/>
              <w:left w:val="nil"/>
              <w:bottom w:val="single" w:sz="8" w:space="0" w:color="C0C0C0"/>
              <w:right w:val="single" w:sz="8" w:space="0" w:color="C0C0C0"/>
            </w:tcBorders>
            <w:shd w:val="clear" w:color="auto" w:fill="auto"/>
          </w:tcPr>
          <w:p w14:paraId="7A0958C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2,285,000</w:t>
            </w:r>
          </w:p>
        </w:tc>
        <w:tc>
          <w:tcPr>
            <w:tcW w:w="755" w:type="dxa"/>
            <w:tcBorders>
              <w:top w:val="nil"/>
              <w:left w:val="nil"/>
              <w:bottom w:val="single" w:sz="8" w:space="0" w:color="C0C0C0"/>
              <w:right w:val="single" w:sz="8" w:space="0" w:color="C0C0C0"/>
            </w:tcBorders>
            <w:shd w:val="clear" w:color="auto" w:fill="auto"/>
          </w:tcPr>
          <w:p w14:paraId="53A06A8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2004-2006</w:t>
            </w:r>
          </w:p>
        </w:tc>
        <w:tc>
          <w:tcPr>
            <w:tcW w:w="860" w:type="dxa"/>
            <w:tcBorders>
              <w:top w:val="nil"/>
              <w:left w:val="nil"/>
              <w:bottom w:val="single" w:sz="8" w:space="0" w:color="C0C0C0"/>
              <w:right w:val="single" w:sz="8" w:space="0" w:color="C0C0C0"/>
            </w:tcBorders>
            <w:shd w:val="clear" w:color="auto" w:fill="auto"/>
          </w:tcPr>
          <w:p w14:paraId="4C2427A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2005</w:t>
            </w:r>
          </w:p>
        </w:tc>
        <w:tc>
          <w:tcPr>
            <w:tcW w:w="843" w:type="dxa"/>
            <w:tcBorders>
              <w:top w:val="nil"/>
              <w:left w:val="nil"/>
              <w:bottom w:val="single" w:sz="8" w:space="0" w:color="C0C0C0"/>
              <w:right w:val="single" w:sz="8" w:space="0" w:color="C0C0C0"/>
            </w:tcBorders>
            <w:shd w:val="clear" w:color="auto" w:fill="auto"/>
          </w:tcPr>
          <w:p w14:paraId="2211B3E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0.9814</w:t>
            </w:r>
          </w:p>
        </w:tc>
        <w:tc>
          <w:tcPr>
            <w:tcW w:w="851" w:type="dxa"/>
            <w:tcBorders>
              <w:top w:val="nil"/>
              <w:left w:val="nil"/>
              <w:bottom w:val="single" w:sz="8" w:space="0" w:color="C0C0C0"/>
              <w:right w:val="single" w:sz="8" w:space="0" w:color="C0C0C0"/>
            </w:tcBorders>
            <w:shd w:val="clear" w:color="auto" w:fill="auto"/>
          </w:tcPr>
          <w:p w14:paraId="1C300315"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98-14</w:t>
            </w:r>
          </w:p>
        </w:tc>
        <w:tc>
          <w:tcPr>
            <w:tcW w:w="1134" w:type="dxa"/>
            <w:tcBorders>
              <w:top w:val="nil"/>
              <w:left w:val="nil"/>
              <w:bottom w:val="single" w:sz="8" w:space="0" w:color="C0C0C0"/>
              <w:right w:val="single" w:sz="8" w:space="0" w:color="C0C0C0"/>
            </w:tcBorders>
            <w:shd w:val="clear" w:color="auto" w:fill="auto"/>
          </w:tcPr>
          <w:p w14:paraId="78F305C1"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11</w:t>
            </w:r>
          </w:p>
        </w:tc>
        <w:tc>
          <w:tcPr>
            <w:tcW w:w="1134" w:type="dxa"/>
            <w:tcBorders>
              <w:top w:val="nil"/>
              <w:left w:val="nil"/>
              <w:bottom w:val="single" w:sz="8" w:space="0" w:color="C0C0C0"/>
              <w:right w:val="single" w:sz="8" w:space="0" w:color="C0C0C0"/>
            </w:tcBorders>
            <w:shd w:val="clear" w:color="auto" w:fill="auto"/>
          </w:tcPr>
          <w:p w14:paraId="1E30C81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0.8134</w:t>
            </w:r>
          </w:p>
        </w:tc>
        <w:tc>
          <w:tcPr>
            <w:tcW w:w="850" w:type="dxa"/>
            <w:tcBorders>
              <w:top w:val="nil"/>
              <w:left w:val="nil"/>
              <w:bottom w:val="single" w:sz="8" w:space="0" w:color="C0C0C0"/>
              <w:right w:val="single" w:sz="8" w:space="0" w:color="C0C0C0"/>
            </w:tcBorders>
            <w:shd w:val="clear" w:color="auto" w:fill="auto"/>
          </w:tcPr>
          <w:p w14:paraId="50798B8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1114364</w:t>
            </w:r>
          </w:p>
        </w:tc>
        <w:tc>
          <w:tcPr>
            <w:tcW w:w="763" w:type="dxa"/>
            <w:tcBorders>
              <w:top w:val="nil"/>
              <w:left w:val="nil"/>
              <w:bottom w:val="single" w:sz="8" w:space="0" w:color="C0C0C0"/>
              <w:right w:val="single" w:sz="8" w:space="0" w:color="C0C0C0"/>
            </w:tcBorders>
            <w:shd w:val="clear" w:color="auto" w:fill="auto"/>
          </w:tcPr>
          <w:p w14:paraId="61EB6E99"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1858629</w:t>
            </w:r>
          </w:p>
        </w:tc>
      </w:tr>
      <w:tr w:rsidR="00C96521" w:rsidRPr="00C96521" w14:paraId="0404342B"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0AAFEA2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 xml:space="preserve">Switzerland </w:t>
            </w:r>
          </w:p>
        </w:tc>
        <w:tc>
          <w:tcPr>
            <w:tcW w:w="852" w:type="dxa"/>
            <w:tcBorders>
              <w:top w:val="nil"/>
              <w:left w:val="nil"/>
              <w:bottom w:val="single" w:sz="8" w:space="0" w:color="C0C0C0"/>
              <w:right w:val="single" w:sz="8" w:space="0" w:color="C0C0C0"/>
            </w:tcBorders>
            <w:shd w:val="clear" w:color="auto" w:fill="auto"/>
          </w:tcPr>
          <w:p w14:paraId="19B72EE4"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1,000</w:t>
            </w:r>
          </w:p>
        </w:tc>
        <w:tc>
          <w:tcPr>
            <w:tcW w:w="852" w:type="dxa"/>
            <w:tcBorders>
              <w:top w:val="nil"/>
              <w:left w:val="nil"/>
              <w:bottom w:val="single" w:sz="8" w:space="0" w:color="C0C0C0"/>
              <w:right w:val="single" w:sz="8" w:space="0" w:color="C0C0C0"/>
            </w:tcBorders>
            <w:shd w:val="clear" w:color="auto" w:fill="auto"/>
          </w:tcPr>
          <w:p w14:paraId="238EAE4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2,500</w:t>
            </w:r>
          </w:p>
        </w:tc>
        <w:tc>
          <w:tcPr>
            <w:tcW w:w="755" w:type="dxa"/>
            <w:tcBorders>
              <w:top w:val="nil"/>
              <w:left w:val="nil"/>
              <w:bottom w:val="single" w:sz="8" w:space="0" w:color="C0C0C0"/>
              <w:right w:val="single" w:sz="8" w:space="0" w:color="C0C0C0"/>
            </w:tcBorders>
            <w:shd w:val="clear" w:color="auto" w:fill="auto"/>
          </w:tcPr>
          <w:p w14:paraId="33C1B922"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1993-1996</w:t>
            </w:r>
          </w:p>
        </w:tc>
        <w:tc>
          <w:tcPr>
            <w:tcW w:w="860" w:type="dxa"/>
            <w:tcBorders>
              <w:top w:val="nil"/>
              <w:left w:val="nil"/>
              <w:bottom w:val="single" w:sz="8" w:space="0" w:color="C0C0C0"/>
              <w:right w:val="single" w:sz="8" w:space="0" w:color="C0C0C0"/>
            </w:tcBorders>
            <w:shd w:val="clear" w:color="auto" w:fill="auto"/>
          </w:tcPr>
          <w:p w14:paraId="29E81C2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1995</w:t>
            </w:r>
          </w:p>
        </w:tc>
        <w:tc>
          <w:tcPr>
            <w:tcW w:w="843" w:type="dxa"/>
            <w:tcBorders>
              <w:top w:val="nil"/>
              <w:left w:val="nil"/>
              <w:bottom w:val="single" w:sz="8" w:space="0" w:color="C0C0C0"/>
              <w:right w:val="single" w:sz="8" w:space="0" w:color="C0C0C0"/>
            </w:tcBorders>
            <w:shd w:val="clear" w:color="auto" w:fill="auto"/>
          </w:tcPr>
          <w:p w14:paraId="488DC77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0.9469</w:t>
            </w:r>
          </w:p>
        </w:tc>
        <w:tc>
          <w:tcPr>
            <w:tcW w:w="851" w:type="dxa"/>
            <w:tcBorders>
              <w:top w:val="nil"/>
              <w:left w:val="nil"/>
              <w:bottom w:val="single" w:sz="8" w:space="0" w:color="C0C0C0"/>
              <w:right w:val="single" w:sz="8" w:space="0" w:color="C0C0C0"/>
            </w:tcBorders>
            <w:shd w:val="clear" w:color="auto" w:fill="auto"/>
          </w:tcPr>
          <w:p w14:paraId="022AB16C"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99-14</w:t>
            </w:r>
          </w:p>
        </w:tc>
        <w:tc>
          <w:tcPr>
            <w:tcW w:w="1134" w:type="dxa"/>
            <w:tcBorders>
              <w:top w:val="nil"/>
              <w:left w:val="nil"/>
              <w:bottom w:val="single" w:sz="8" w:space="0" w:color="C0C0C0"/>
              <w:right w:val="single" w:sz="8" w:space="0" w:color="C0C0C0"/>
            </w:tcBorders>
            <w:shd w:val="clear" w:color="auto" w:fill="auto"/>
          </w:tcPr>
          <w:p w14:paraId="3AE539C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21</w:t>
            </w:r>
          </w:p>
        </w:tc>
        <w:tc>
          <w:tcPr>
            <w:tcW w:w="1134" w:type="dxa"/>
            <w:tcBorders>
              <w:top w:val="nil"/>
              <w:left w:val="nil"/>
              <w:bottom w:val="single" w:sz="8" w:space="0" w:color="C0C0C0"/>
              <w:right w:val="single" w:sz="8" w:space="0" w:color="C0C0C0"/>
            </w:tcBorders>
            <w:shd w:val="clear" w:color="auto" w:fill="auto"/>
          </w:tcPr>
          <w:p w14:paraId="06E55977"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0.3180</w:t>
            </w:r>
          </w:p>
        </w:tc>
        <w:tc>
          <w:tcPr>
            <w:tcW w:w="850" w:type="dxa"/>
            <w:tcBorders>
              <w:top w:val="nil"/>
              <w:left w:val="nil"/>
              <w:bottom w:val="single" w:sz="8" w:space="0" w:color="C0C0C0"/>
              <w:right w:val="single" w:sz="8" w:space="0" w:color="C0C0C0"/>
            </w:tcBorders>
            <w:shd w:val="clear" w:color="auto" w:fill="auto"/>
          </w:tcPr>
          <w:p w14:paraId="27A5E52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318</w:t>
            </w:r>
          </w:p>
        </w:tc>
        <w:tc>
          <w:tcPr>
            <w:tcW w:w="763" w:type="dxa"/>
            <w:tcBorders>
              <w:top w:val="nil"/>
              <w:left w:val="nil"/>
              <w:bottom w:val="single" w:sz="8" w:space="0" w:color="C0C0C0"/>
              <w:right w:val="single" w:sz="8" w:space="0" w:color="C0C0C0"/>
            </w:tcBorders>
            <w:shd w:val="clear" w:color="auto" w:fill="auto"/>
          </w:tcPr>
          <w:p w14:paraId="2253CDA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795</w:t>
            </w:r>
          </w:p>
        </w:tc>
      </w:tr>
      <w:tr w:rsidR="00C96521" w:rsidRPr="00C96521" w14:paraId="55F5CC65" w14:textId="77777777" w:rsidTr="00C96521">
        <w:trPr>
          <w:trHeight w:val="270"/>
        </w:trPr>
        <w:tc>
          <w:tcPr>
            <w:tcW w:w="1083" w:type="dxa"/>
            <w:tcBorders>
              <w:top w:val="nil"/>
              <w:left w:val="single" w:sz="8" w:space="0" w:color="C0C0C0"/>
              <w:bottom w:val="single" w:sz="8" w:space="0" w:color="C0C0C0"/>
              <w:right w:val="single" w:sz="8" w:space="0" w:color="C0C0C0"/>
            </w:tcBorders>
            <w:shd w:val="clear" w:color="auto" w:fill="auto"/>
          </w:tcPr>
          <w:p w14:paraId="3051FC3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UK</w:t>
            </w:r>
          </w:p>
        </w:tc>
        <w:tc>
          <w:tcPr>
            <w:tcW w:w="852" w:type="dxa"/>
            <w:tcBorders>
              <w:top w:val="nil"/>
              <w:left w:val="nil"/>
              <w:bottom w:val="single" w:sz="8" w:space="0" w:color="C0C0C0"/>
              <w:right w:val="single" w:sz="8" w:space="0" w:color="C0C0C0"/>
            </w:tcBorders>
            <w:shd w:val="clear" w:color="auto" w:fill="auto"/>
          </w:tcPr>
          <w:p w14:paraId="54456BF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5,300</w:t>
            </w:r>
          </w:p>
        </w:tc>
        <w:tc>
          <w:tcPr>
            <w:tcW w:w="852" w:type="dxa"/>
            <w:tcBorders>
              <w:top w:val="nil"/>
              <w:left w:val="nil"/>
              <w:bottom w:val="single" w:sz="8" w:space="0" w:color="C0C0C0"/>
              <w:right w:val="single" w:sz="8" w:space="0" w:color="C0C0C0"/>
            </w:tcBorders>
            <w:shd w:val="clear" w:color="auto" w:fill="auto"/>
          </w:tcPr>
          <w:p w14:paraId="064D0150"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5,300</w:t>
            </w:r>
          </w:p>
        </w:tc>
        <w:tc>
          <w:tcPr>
            <w:tcW w:w="755" w:type="dxa"/>
            <w:tcBorders>
              <w:top w:val="nil"/>
              <w:left w:val="nil"/>
              <w:bottom w:val="single" w:sz="8" w:space="0" w:color="C0C0C0"/>
              <w:right w:val="single" w:sz="8" w:space="0" w:color="C0C0C0"/>
            </w:tcBorders>
            <w:shd w:val="clear" w:color="auto" w:fill="auto"/>
          </w:tcPr>
          <w:p w14:paraId="53380E36"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1999-2016</w:t>
            </w:r>
          </w:p>
        </w:tc>
        <w:tc>
          <w:tcPr>
            <w:tcW w:w="860" w:type="dxa"/>
            <w:tcBorders>
              <w:top w:val="nil"/>
              <w:left w:val="nil"/>
              <w:bottom w:val="single" w:sz="8" w:space="0" w:color="C0C0C0"/>
              <w:right w:val="single" w:sz="8" w:space="0" w:color="C0C0C0"/>
            </w:tcBorders>
            <w:shd w:val="clear" w:color="auto" w:fill="auto"/>
          </w:tcPr>
          <w:p w14:paraId="288617A4"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2015</w:t>
            </w:r>
          </w:p>
        </w:tc>
        <w:tc>
          <w:tcPr>
            <w:tcW w:w="843" w:type="dxa"/>
            <w:tcBorders>
              <w:top w:val="nil"/>
              <w:left w:val="nil"/>
              <w:bottom w:val="single" w:sz="8" w:space="0" w:color="C0C0C0"/>
              <w:right w:val="single" w:sz="8" w:space="0" w:color="C0C0C0"/>
            </w:tcBorders>
            <w:shd w:val="clear" w:color="auto" w:fill="auto"/>
          </w:tcPr>
          <w:p w14:paraId="3B45C93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0.9373</w:t>
            </w:r>
          </w:p>
        </w:tc>
        <w:tc>
          <w:tcPr>
            <w:tcW w:w="851" w:type="dxa"/>
            <w:tcBorders>
              <w:top w:val="nil"/>
              <w:left w:val="nil"/>
              <w:bottom w:val="single" w:sz="8" w:space="0" w:color="C0C0C0"/>
              <w:right w:val="single" w:sz="8" w:space="0" w:color="C0C0C0"/>
            </w:tcBorders>
            <w:shd w:val="clear" w:color="auto" w:fill="auto"/>
          </w:tcPr>
          <w:p w14:paraId="7F46211E"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66-14</w:t>
            </w:r>
          </w:p>
        </w:tc>
        <w:tc>
          <w:tcPr>
            <w:tcW w:w="1134" w:type="dxa"/>
            <w:tcBorders>
              <w:top w:val="nil"/>
              <w:left w:val="nil"/>
              <w:bottom w:val="single" w:sz="8" w:space="0" w:color="C0C0C0"/>
              <w:right w:val="single" w:sz="8" w:space="0" w:color="C0C0C0"/>
            </w:tcBorders>
            <w:shd w:val="clear" w:color="auto" w:fill="auto"/>
          </w:tcPr>
          <w:p w14:paraId="407174AF"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1</w:t>
            </w:r>
          </w:p>
        </w:tc>
        <w:tc>
          <w:tcPr>
            <w:tcW w:w="1134" w:type="dxa"/>
            <w:tcBorders>
              <w:top w:val="nil"/>
              <w:left w:val="nil"/>
              <w:bottom w:val="single" w:sz="8" w:space="0" w:color="C0C0C0"/>
              <w:right w:val="single" w:sz="8" w:space="0" w:color="C0C0C0"/>
            </w:tcBorders>
            <w:shd w:val="clear" w:color="auto" w:fill="auto"/>
          </w:tcPr>
          <w:p w14:paraId="5B962FEB"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0.9373</w:t>
            </w:r>
          </w:p>
        </w:tc>
        <w:tc>
          <w:tcPr>
            <w:tcW w:w="850" w:type="dxa"/>
            <w:tcBorders>
              <w:top w:val="nil"/>
              <w:left w:val="nil"/>
              <w:bottom w:val="single" w:sz="8" w:space="0" w:color="C0C0C0"/>
              <w:right w:val="single" w:sz="8" w:space="0" w:color="C0C0C0"/>
            </w:tcBorders>
            <w:shd w:val="clear" w:color="auto" w:fill="auto"/>
          </w:tcPr>
          <w:p w14:paraId="2BB93C1D"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4968</w:t>
            </w:r>
          </w:p>
        </w:tc>
        <w:tc>
          <w:tcPr>
            <w:tcW w:w="763" w:type="dxa"/>
            <w:tcBorders>
              <w:top w:val="nil"/>
              <w:left w:val="nil"/>
              <w:bottom w:val="single" w:sz="8" w:space="0" w:color="C0C0C0"/>
              <w:right w:val="single" w:sz="8" w:space="0" w:color="C0C0C0"/>
            </w:tcBorders>
            <w:shd w:val="clear" w:color="auto" w:fill="auto"/>
          </w:tcPr>
          <w:p w14:paraId="7C43F408" w14:textId="77777777" w:rsidR="00C96521" w:rsidRPr="00C96521" w:rsidRDefault="00C96521" w:rsidP="00C96521">
            <w:pPr>
              <w:widowControl/>
              <w:autoSpaceDE/>
              <w:autoSpaceDN/>
              <w:adjustRightInd/>
              <w:spacing w:line="276" w:lineRule="auto"/>
              <w:rPr>
                <w:rFonts w:eastAsia="MS Mincho" w:cs="Arial"/>
                <w:sz w:val="16"/>
                <w:szCs w:val="16"/>
                <w:lang w:val="en-GB" w:eastAsia="ja-JP"/>
              </w:rPr>
            </w:pPr>
            <w:r w:rsidRPr="00C96521">
              <w:rPr>
                <w:rFonts w:eastAsia="MS Mincho" w:cs="Arial"/>
                <w:sz w:val="16"/>
                <w:szCs w:val="16"/>
                <w:lang w:val="en-GB" w:eastAsia="ja-JP"/>
              </w:rPr>
              <w:t>4968</w:t>
            </w:r>
          </w:p>
        </w:tc>
      </w:tr>
    </w:tbl>
    <w:p w14:paraId="51AF1156" w14:textId="77777777" w:rsidR="00C96521" w:rsidRPr="00C96521" w:rsidRDefault="00C96521" w:rsidP="00C96521">
      <w:pPr>
        <w:widowControl/>
        <w:autoSpaceDE/>
        <w:autoSpaceDN/>
        <w:adjustRightInd/>
        <w:spacing w:line="276" w:lineRule="auto"/>
        <w:ind w:left="360" w:hanging="360"/>
        <w:rPr>
          <w:rFonts w:eastAsia="MS Mincho" w:cs="Arial"/>
          <w:i/>
          <w:sz w:val="16"/>
          <w:szCs w:val="16"/>
          <w:lang w:val="en-GB" w:eastAsia="ja-JP"/>
        </w:rPr>
      </w:pPr>
      <w:r w:rsidRPr="00C96521">
        <w:rPr>
          <w:rFonts w:eastAsia="MS Mincho" w:cs="Arial"/>
          <w:i/>
          <w:sz w:val="16"/>
          <w:szCs w:val="16"/>
          <w:lang w:val="en-GB" w:eastAsia="ja-JP"/>
        </w:rPr>
        <w:t>(1) the median year within the period over which the population size was estimated</w:t>
      </w:r>
    </w:p>
    <w:p w14:paraId="4438F77E" w14:textId="77777777" w:rsidR="00C96521" w:rsidRPr="00C96521" w:rsidRDefault="00C96521" w:rsidP="00C96521">
      <w:pPr>
        <w:widowControl/>
        <w:autoSpaceDE/>
        <w:autoSpaceDN/>
        <w:adjustRightInd/>
        <w:spacing w:line="276" w:lineRule="auto"/>
        <w:ind w:left="360" w:hanging="360"/>
        <w:rPr>
          <w:rFonts w:eastAsia="MS Mincho" w:cs="Arial"/>
          <w:i/>
          <w:sz w:val="16"/>
          <w:szCs w:val="16"/>
          <w:lang w:val="en-GB" w:eastAsia="ja-JP"/>
        </w:rPr>
      </w:pPr>
      <w:r w:rsidRPr="00C96521">
        <w:rPr>
          <w:rFonts w:eastAsia="MS Mincho" w:cs="Arial"/>
          <w:i/>
          <w:sz w:val="16"/>
          <w:szCs w:val="16"/>
          <w:lang w:val="en-GB" w:eastAsia="ja-JP"/>
        </w:rPr>
        <w:t>(2) as given in Figures 12 to 14</w:t>
      </w:r>
    </w:p>
    <w:p w14:paraId="587B8226" w14:textId="77777777" w:rsidR="00C96521" w:rsidRPr="00C96521" w:rsidRDefault="00C96521" w:rsidP="00C96521">
      <w:pPr>
        <w:widowControl/>
        <w:autoSpaceDE/>
        <w:autoSpaceDN/>
        <w:adjustRightInd/>
        <w:spacing w:line="276" w:lineRule="auto"/>
        <w:ind w:left="360" w:hanging="360"/>
        <w:rPr>
          <w:rFonts w:eastAsia="MS Mincho" w:cs="Arial"/>
          <w:i/>
          <w:sz w:val="16"/>
          <w:szCs w:val="16"/>
          <w:lang w:val="en-GB" w:eastAsia="ja-JP"/>
        </w:rPr>
      </w:pPr>
      <w:r w:rsidRPr="00C96521">
        <w:rPr>
          <w:rFonts w:eastAsia="MS Mincho" w:cs="Arial"/>
          <w:i/>
          <w:sz w:val="16"/>
          <w:szCs w:val="16"/>
          <w:lang w:val="en-GB" w:eastAsia="ja-JP"/>
        </w:rPr>
        <w:t>(3) period over which the slope was calculated (given in legends of Figures 12 to 14)</w:t>
      </w:r>
    </w:p>
    <w:p w14:paraId="153CE2CB" w14:textId="77777777" w:rsidR="00C96521" w:rsidRPr="00C96521" w:rsidRDefault="00C96521" w:rsidP="00C96521">
      <w:pPr>
        <w:widowControl/>
        <w:autoSpaceDE/>
        <w:autoSpaceDN/>
        <w:adjustRightInd/>
        <w:spacing w:line="276" w:lineRule="auto"/>
        <w:ind w:left="360" w:hanging="360"/>
        <w:rPr>
          <w:rFonts w:eastAsia="MS Mincho" w:cs="Arial"/>
          <w:i/>
          <w:sz w:val="16"/>
          <w:szCs w:val="16"/>
          <w:lang w:val="en-GB" w:eastAsia="ja-JP"/>
        </w:rPr>
      </w:pPr>
      <w:r w:rsidRPr="00C96521">
        <w:rPr>
          <w:rFonts w:eastAsia="MS Mincho" w:cs="Arial"/>
          <w:i/>
          <w:sz w:val="16"/>
          <w:szCs w:val="16"/>
          <w:lang w:val="en-GB" w:eastAsia="ja-JP"/>
        </w:rPr>
        <w:t>(4) time elapsed (in years) between median year and 2016</w:t>
      </w:r>
    </w:p>
    <w:p w14:paraId="5BD54A4E" w14:textId="77777777" w:rsidR="00C96521" w:rsidRPr="00C96521" w:rsidRDefault="00C96521" w:rsidP="00C96521">
      <w:pPr>
        <w:widowControl/>
        <w:autoSpaceDE/>
        <w:autoSpaceDN/>
        <w:adjustRightInd/>
        <w:spacing w:line="276" w:lineRule="auto"/>
        <w:ind w:left="360" w:rightChars="-45" w:right="-81" w:hanging="360"/>
        <w:rPr>
          <w:rFonts w:eastAsia="MS Mincho" w:cs="Arial"/>
          <w:i/>
          <w:sz w:val="16"/>
          <w:szCs w:val="16"/>
          <w:vertAlign w:val="superscript"/>
          <w:lang w:val="en-GB" w:eastAsia="ja-JP"/>
        </w:rPr>
      </w:pPr>
      <w:r w:rsidRPr="00C96521">
        <w:rPr>
          <w:rFonts w:eastAsia="MS Mincho" w:cs="Arial"/>
          <w:i/>
          <w:sz w:val="16"/>
          <w:szCs w:val="16"/>
          <w:lang w:val="en-GB" w:eastAsia="ja-JP"/>
        </w:rPr>
        <w:t>(5) rate of change in population size during the period of concern, calculated as: multiplicative slope</w:t>
      </w:r>
      <w:r w:rsidRPr="00C96521">
        <w:rPr>
          <w:rFonts w:eastAsia="MS Mincho" w:cs="Arial"/>
          <w:i/>
          <w:sz w:val="16"/>
          <w:szCs w:val="16"/>
          <w:vertAlign w:val="superscript"/>
          <w:lang w:val="en-GB" w:eastAsia="ja-JP"/>
        </w:rPr>
        <w:t>[number of years elapsed]</w:t>
      </w:r>
    </w:p>
    <w:p w14:paraId="209073E5" w14:textId="77777777" w:rsidR="00C96521" w:rsidRPr="00C96521" w:rsidRDefault="00C96521" w:rsidP="00C96521">
      <w:pPr>
        <w:widowControl/>
        <w:autoSpaceDE/>
        <w:autoSpaceDN/>
        <w:adjustRightInd/>
        <w:spacing w:line="276" w:lineRule="auto"/>
        <w:ind w:left="360" w:hanging="360"/>
        <w:rPr>
          <w:rFonts w:eastAsia="MS Mincho" w:cs="Arial"/>
          <w:i/>
          <w:sz w:val="16"/>
          <w:szCs w:val="16"/>
          <w:lang w:val="en-GB" w:eastAsia="ja-JP"/>
        </w:rPr>
      </w:pPr>
      <w:r w:rsidRPr="00C96521">
        <w:rPr>
          <w:rFonts w:eastAsia="MS Mincho" w:cs="Arial"/>
          <w:i/>
          <w:sz w:val="16"/>
          <w:szCs w:val="16"/>
          <w:lang w:val="en-GB" w:eastAsia="ja-JP"/>
        </w:rPr>
        <w:t xml:space="preserve">(6) population size in 2016, calculated as: initial population size </w:t>
      </w:r>
      <w:r w:rsidRPr="00C96521">
        <w:rPr>
          <w:rFonts w:eastAsia="MS Mincho" w:cs="Arial"/>
          <w:i/>
          <w:sz w:val="16"/>
          <w:szCs w:val="16"/>
          <w:lang w:val="en-GB" w:eastAsia="ja-JP"/>
        </w:rPr>
        <w:sym w:font="Symbol" w:char="F0B4"/>
      </w:r>
      <w:r w:rsidRPr="00C96521">
        <w:rPr>
          <w:rFonts w:eastAsia="MS Mincho" w:cs="Arial"/>
          <w:i/>
          <w:sz w:val="16"/>
          <w:szCs w:val="16"/>
          <w:lang w:val="en-GB" w:eastAsia="ja-JP"/>
        </w:rPr>
        <w:t xml:space="preserve"> rate of change</w:t>
      </w:r>
    </w:p>
    <w:p w14:paraId="60BADEB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7BFE4FF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Some publications (Escandell 2011, Spina and Volponi 2008) present recovery maps in which it appears that some birds ringed in islands located east of Spain (for example, the Balearic Islands and Colombretes) are recovered in Italy during spring migration, and some birds ringed in Italy are recovered in western Europe (France, Spain, Portugal), although it is not known if ringing occurred during the breeding period and/or during migration. These observations suggest that at least a part of the Italian population may use the western flyway during both spring and autumn migrations, so making those birds available for hunting on the western flyway. </w:t>
      </w:r>
    </w:p>
    <w:p w14:paraId="664DC55D"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0996184" w14:textId="0CF50B19"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In a second scenario, Italy was partly included by adding the area located north of a line from La Spezia to Bologna (alpine chain excluded), as most of the recoveries located in western Europe of doves ringed in Italy were from this area. No data are available to on the percentage of the Italian turtle-dove breeding population in this region. As it accounts for 21</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of the national area, this same ratio was used.</w:t>
      </w:r>
    </w:p>
    <w:p w14:paraId="273EF1E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34D2E271" w14:textId="3CD0C770"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Based on the Migration Atlas Spina and Volponi (2008), a hypothesis was used that among all birds ringed and recovered in Italy, those recovered in the northern part of the country were more likely to contribute to the hunting bag associated with the western flyway. Using this hypothesis, and as the vast majority of recoveries in Italy are obtained through hunting, a rough calculation based on the map showing national recoveries showed 19 recoveries out of 102 above the Spezia-Bologna line, leading to an estimate of 18.6</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 xml:space="preserve">of the national hunting bag. </w:t>
      </w:r>
    </w:p>
    <w:p w14:paraId="1945D36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6CB1146" w14:textId="77777777" w:rsidR="00C96521" w:rsidRPr="00C96521" w:rsidRDefault="00C96521" w:rsidP="00C96521">
      <w:pPr>
        <w:widowControl/>
        <w:autoSpaceDE/>
        <w:autoSpaceDN/>
        <w:adjustRightInd/>
        <w:spacing w:line="276" w:lineRule="auto"/>
        <w:rPr>
          <w:rFonts w:eastAsia="MS Mincho" w:cs="Arial"/>
          <w:b/>
          <w:sz w:val="20"/>
          <w:szCs w:val="20"/>
          <w:lang w:val="en-GB" w:eastAsia="ja-JP"/>
        </w:rPr>
      </w:pPr>
      <w:r w:rsidRPr="00C96521">
        <w:rPr>
          <w:rFonts w:eastAsia="MS Mincho" w:cs="Arial"/>
          <w:b/>
          <w:sz w:val="20"/>
          <w:szCs w:val="20"/>
          <w:lang w:val="en-GB" w:eastAsia="ja-JP"/>
        </w:rPr>
        <w:t>Method</w:t>
      </w:r>
    </w:p>
    <w:p w14:paraId="5762668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7503F01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aim was to estimate the maximum harvestable population allowed by population growth.</w:t>
      </w:r>
    </w:p>
    <w:p w14:paraId="331E217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5F65874" w14:textId="77777777" w:rsidR="00C96521" w:rsidRPr="00C96521" w:rsidRDefault="00C96521" w:rsidP="00C96521">
      <w:pPr>
        <w:widowControl/>
        <w:autoSpaceDE/>
        <w:autoSpaceDN/>
        <w:adjustRightInd/>
        <w:spacing w:line="276" w:lineRule="auto"/>
        <w:rPr>
          <w:rFonts w:eastAsia="MS Mincho"/>
          <w:b/>
          <w:sz w:val="20"/>
          <w:szCs w:val="22"/>
          <w:lang w:val="en-GB" w:eastAsia="ja-JP"/>
        </w:rPr>
      </w:pPr>
      <w:r w:rsidRPr="00C96521">
        <w:rPr>
          <w:rFonts w:eastAsia="MS Mincho" w:cs="Arial"/>
          <w:sz w:val="20"/>
          <w:szCs w:val="20"/>
          <w:lang w:val="en-GB" w:eastAsia="ja-JP"/>
        </w:rPr>
        <w:t xml:space="preserve">It can be estimated as: </w:t>
      </w:r>
      <w:r w:rsidRPr="00C96521">
        <w:rPr>
          <w:rFonts w:eastAsia="MS Mincho"/>
          <w:b/>
          <w:sz w:val="20"/>
          <w:szCs w:val="22"/>
          <w:lang w:val="en-GB" w:eastAsia="ja-JP"/>
        </w:rPr>
        <w:t>P = Nb(λ</w:t>
      </w:r>
      <w:r w:rsidRPr="00C96521">
        <w:rPr>
          <w:rFonts w:eastAsia="MS Mincho"/>
          <w:b/>
          <w:sz w:val="20"/>
          <w:szCs w:val="22"/>
          <w:vertAlign w:val="subscript"/>
          <w:lang w:val="en-GB" w:eastAsia="ja-JP"/>
        </w:rPr>
        <w:t>max</w:t>
      </w:r>
      <w:r w:rsidRPr="00C96521">
        <w:rPr>
          <w:rFonts w:eastAsia="MS Mincho"/>
          <w:b/>
          <w:sz w:val="20"/>
          <w:szCs w:val="22"/>
          <w:lang w:val="en-GB" w:eastAsia="ja-JP"/>
        </w:rPr>
        <w:t xml:space="preserve"> – 1) </w:t>
      </w:r>
    </w:p>
    <w:p w14:paraId="76AC108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203530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P</w:t>
      </w:r>
      <w:r w:rsidRPr="00C96521">
        <w:rPr>
          <w:rFonts w:eastAsia="MS Mincho" w:cs="Arial"/>
          <w:sz w:val="20"/>
          <w:szCs w:val="20"/>
          <w:lang w:val="en-GB" w:eastAsia="ja-JP"/>
        </w:rPr>
        <w:t xml:space="preserve"> - potential maximum harvestable population fraction</w:t>
      </w:r>
    </w:p>
    <w:p w14:paraId="149505B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340A0777" w14:textId="4A69549F"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N</w:t>
      </w:r>
      <w:r w:rsidRPr="00C96521">
        <w:rPr>
          <w:rFonts w:eastAsia="MS Mincho" w:cs="Arial"/>
          <w:sz w:val="20"/>
          <w:szCs w:val="20"/>
          <w:lang w:val="en-GB" w:eastAsia="ja-JP"/>
        </w:rPr>
        <w:t xml:space="preserve"> - total population size, before the hunting season starts. Total population size includes adults and juveniles produced in the relevant year. To estimate the 2016 adult population size, the most recent estimates available for </w:t>
      </w:r>
      <w:r w:rsidR="007910C0">
        <w:rPr>
          <w:rFonts w:eastAsia="MS Mincho" w:cs="Arial"/>
          <w:sz w:val="20"/>
          <w:szCs w:val="20"/>
          <w:lang w:val="en-GB" w:eastAsia="ja-JP"/>
        </w:rPr>
        <w:t>T</w:t>
      </w:r>
      <w:r w:rsidRPr="00C96521">
        <w:rPr>
          <w:rFonts w:eastAsia="MS Mincho" w:cs="Arial"/>
          <w:sz w:val="20"/>
          <w:szCs w:val="20"/>
          <w:lang w:val="en-GB" w:eastAsia="ja-JP"/>
        </w:rPr>
        <w:t xml:space="preserve">urtle </w:t>
      </w:r>
      <w:r w:rsidR="007910C0">
        <w:rPr>
          <w:rFonts w:eastAsia="MS Mincho" w:cs="Arial"/>
          <w:sz w:val="20"/>
          <w:szCs w:val="20"/>
          <w:lang w:val="en-GB" w:eastAsia="ja-JP"/>
        </w:rPr>
        <w:t>D</w:t>
      </w:r>
      <w:r w:rsidR="007910C0" w:rsidRPr="00C96521">
        <w:rPr>
          <w:rFonts w:eastAsia="MS Mincho" w:cs="Arial"/>
          <w:sz w:val="20"/>
          <w:szCs w:val="20"/>
          <w:lang w:val="en-GB" w:eastAsia="ja-JP"/>
        </w:rPr>
        <w:t xml:space="preserve">ove </w:t>
      </w:r>
      <w:r w:rsidRPr="00C96521">
        <w:rPr>
          <w:rFonts w:eastAsia="MS Mincho" w:cs="Arial"/>
          <w:sz w:val="20"/>
          <w:szCs w:val="20"/>
          <w:lang w:val="en-GB" w:eastAsia="ja-JP"/>
        </w:rPr>
        <w:t>population size in each of the countries were corrected by the yearly multiplicative trend slope. To estimate the juvenile population size, the breeding population (in pairs; all adults were considered to breed, which may not be the case) was multiplied by a productivity estimate (number of flying juveniles produced per pair per year). Two different estimates were used as lower and upper intervals: 1.3 (calculated in the 1990s in the UK by Browne and Aebischer 2004) and 2.71 (calculated in Spain by Fontoura and Dias 1995).</w:t>
      </w:r>
    </w:p>
    <w:p w14:paraId="7FCD37F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7EE919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b</w:t>
      </w:r>
      <w:r w:rsidRPr="00C96521">
        <w:rPr>
          <w:rFonts w:eastAsia="MS Mincho" w:cs="Arial"/>
          <w:sz w:val="20"/>
          <w:szCs w:val="20"/>
          <w:lang w:val="en-GB" w:eastAsia="ja-JP"/>
        </w:rPr>
        <w:t xml:space="preserve"> - correction factor accounting for the effect of density on demographic performance. Initially, Wade (1998) recommended setting </w:t>
      </w:r>
      <w:r w:rsidRPr="00C96521">
        <w:rPr>
          <w:rFonts w:eastAsia="MS Mincho" w:cs="Arial"/>
          <w:b/>
          <w:sz w:val="20"/>
          <w:szCs w:val="20"/>
          <w:lang w:val="en-GB" w:eastAsia="ja-JP"/>
        </w:rPr>
        <w:t xml:space="preserve">b </w:t>
      </w:r>
      <w:r w:rsidRPr="00C96521">
        <w:rPr>
          <w:rFonts w:eastAsia="MS Mincho" w:cs="Arial"/>
          <w:sz w:val="20"/>
          <w:szCs w:val="20"/>
          <w:lang w:val="en-GB" w:eastAsia="ja-JP"/>
        </w:rPr>
        <w:t>at the default value of 0.5. However, more recently, Dillingham and Fletcher (2008) suggested that, without further information, it may be reasonable to use a value of 0.1 for threatened or endangered species (0.5 for Least Concern species). 0.1 is used in this model.</w:t>
      </w:r>
    </w:p>
    <w:p w14:paraId="4F90DA3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310681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λ</w:t>
      </w:r>
      <w:r w:rsidRPr="00C96521">
        <w:rPr>
          <w:rFonts w:eastAsia="MS Mincho" w:cs="Arial"/>
          <w:b/>
          <w:sz w:val="20"/>
          <w:szCs w:val="20"/>
          <w:vertAlign w:val="subscript"/>
          <w:lang w:val="en-GB" w:eastAsia="ja-JP"/>
        </w:rPr>
        <w:t>max</w:t>
      </w:r>
      <w:r w:rsidRPr="00C96521">
        <w:rPr>
          <w:rFonts w:eastAsia="MS Mincho" w:cs="Arial"/>
          <w:sz w:val="20"/>
          <w:szCs w:val="20"/>
          <w:lang w:val="en-GB" w:eastAsia="ja-JP"/>
        </w:rPr>
        <w:t xml:space="preserve"> - maximal growth rate.</w:t>
      </w:r>
    </w:p>
    <w:p w14:paraId="27761AB7"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78EBA895"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03AF65A0"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λ</w:t>
      </w:r>
      <w:r w:rsidRPr="00C96521">
        <w:rPr>
          <w:rFonts w:eastAsia="MS Mincho" w:cs="Arial"/>
          <w:b/>
          <w:sz w:val="20"/>
          <w:szCs w:val="20"/>
          <w:vertAlign w:val="subscript"/>
          <w:lang w:val="en-GB" w:eastAsia="ja-JP"/>
        </w:rPr>
        <w:t>max</w:t>
      </w:r>
      <w:r w:rsidRPr="00C96521">
        <w:rPr>
          <w:rFonts w:eastAsia="MS Mincho" w:cs="Arial"/>
          <w:sz w:val="20"/>
          <w:szCs w:val="20"/>
          <w:lang w:val="en-GB" w:eastAsia="ja-JP"/>
        </w:rPr>
        <w:t xml:space="preserve"> is estimated following Niel and Lebreton (2005) by solving numerically:</w:t>
      </w:r>
    </w:p>
    <w:p w14:paraId="7ADA6A96"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2837F6ED" w14:textId="77777777" w:rsidR="00C96521" w:rsidRPr="00C96521" w:rsidRDefault="00C96521" w:rsidP="00C96521">
      <w:pPr>
        <w:widowControl/>
        <w:autoSpaceDE/>
        <w:autoSpaceDN/>
        <w:adjustRightInd/>
        <w:spacing w:line="276" w:lineRule="auto"/>
        <w:ind w:left="708" w:firstLine="708"/>
        <w:rPr>
          <w:rFonts w:eastAsia="MS Mincho"/>
          <w:b/>
          <w:sz w:val="20"/>
          <w:szCs w:val="22"/>
          <w:lang w:val="en-GB" w:eastAsia="ja-JP"/>
        </w:rPr>
      </w:pPr>
      <w:r w:rsidRPr="00C96521">
        <w:rPr>
          <w:rFonts w:eastAsia="MS Mincho"/>
          <w:b/>
          <w:sz w:val="20"/>
          <w:szCs w:val="22"/>
          <w:lang w:val="en-GB" w:eastAsia="ja-JP"/>
        </w:rPr>
        <w:t>λ</w:t>
      </w:r>
      <w:r w:rsidRPr="00C96521">
        <w:rPr>
          <w:rFonts w:eastAsia="MS Mincho"/>
          <w:b/>
          <w:sz w:val="20"/>
          <w:szCs w:val="22"/>
          <w:vertAlign w:val="subscript"/>
          <w:lang w:val="en-GB" w:eastAsia="ja-JP"/>
        </w:rPr>
        <w:t>max</w:t>
      </w:r>
      <w:r w:rsidRPr="00C96521">
        <w:rPr>
          <w:rFonts w:eastAsia="MS Mincho"/>
          <w:b/>
          <w:sz w:val="20"/>
          <w:szCs w:val="22"/>
          <w:lang w:val="en-GB" w:eastAsia="ja-JP"/>
        </w:rPr>
        <w:t xml:space="preserve"> = exp([a + So/( λ</w:t>
      </w:r>
      <w:r w:rsidRPr="00C96521">
        <w:rPr>
          <w:rFonts w:eastAsia="MS Mincho"/>
          <w:b/>
          <w:sz w:val="20"/>
          <w:szCs w:val="22"/>
          <w:vertAlign w:val="subscript"/>
          <w:lang w:val="en-GB" w:eastAsia="ja-JP"/>
        </w:rPr>
        <w:t>max</w:t>
      </w:r>
      <w:r w:rsidRPr="00C96521">
        <w:rPr>
          <w:rFonts w:eastAsia="MS Mincho"/>
          <w:b/>
          <w:sz w:val="20"/>
          <w:szCs w:val="22"/>
          <w:lang w:val="en-GB" w:eastAsia="ja-JP"/>
        </w:rPr>
        <w:t>- So)]</w:t>
      </w:r>
      <w:r w:rsidRPr="00C96521">
        <w:rPr>
          <w:rFonts w:eastAsia="MS Mincho"/>
          <w:b/>
          <w:sz w:val="20"/>
          <w:szCs w:val="22"/>
          <w:vertAlign w:val="superscript"/>
          <w:lang w:val="en-GB" w:eastAsia="ja-JP"/>
        </w:rPr>
        <w:t>-1</w:t>
      </w:r>
      <w:r w:rsidRPr="00C96521">
        <w:rPr>
          <w:rFonts w:eastAsia="MS Mincho"/>
          <w:b/>
          <w:sz w:val="20"/>
          <w:szCs w:val="22"/>
          <w:lang w:val="en-GB" w:eastAsia="ja-JP"/>
        </w:rPr>
        <w:t>)</w:t>
      </w:r>
    </w:p>
    <w:p w14:paraId="0608B473" w14:textId="77777777" w:rsidR="00C96521" w:rsidRPr="00C96521" w:rsidRDefault="00C96521" w:rsidP="00C96521">
      <w:pPr>
        <w:widowControl/>
        <w:autoSpaceDE/>
        <w:autoSpaceDN/>
        <w:adjustRightInd/>
        <w:spacing w:line="276" w:lineRule="auto"/>
        <w:ind w:left="708" w:firstLine="708"/>
        <w:rPr>
          <w:rFonts w:eastAsia="MS Mincho"/>
          <w:sz w:val="20"/>
          <w:szCs w:val="22"/>
          <w:lang w:val="en-GB" w:eastAsia="ja-JP"/>
        </w:rPr>
      </w:pPr>
    </w:p>
    <w:p w14:paraId="16FF44CB" w14:textId="09340A9A"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a</w:t>
      </w:r>
      <w:r w:rsidRPr="00C96521">
        <w:rPr>
          <w:rFonts w:eastAsia="MS Mincho" w:cs="Arial"/>
          <w:sz w:val="20"/>
          <w:szCs w:val="20"/>
          <w:lang w:val="en-GB" w:eastAsia="ja-JP"/>
        </w:rPr>
        <w:t xml:space="preserve"> - average age at first reproduction. In the absence of published data, it was considered that 100</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 xml:space="preserve">of birds first breed at one year. </w:t>
      </w:r>
    </w:p>
    <w:p w14:paraId="59FEEF3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42D1303"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b/>
          <w:sz w:val="20"/>
          <w:szCs w:val="20"/>
          <w:lang w:val="en-GB" w:eastAsia="ja-JP"/>
        </w:rPr>
        <w:t>So</w:t>
      </w:r>
      <w:r w:rsidRPr="00C96521">
        <w:rPr>
          <w:rFonts w:eastAsia="MS Mincho" w:cs="Arial"/>
          <w:sz w:val="20"/>
          <w:szCs w:val="20"/>
          <w:lang w:val="en-GB" w:eastAsia="ja-JP"/>
        </w:rPr>
        <w:t xml:space="preserve"> - adult survival rate. Estimates of survival rates are available for France and the UK.</w:t>
      </w:r>
    </w:p>
    <w:p w14:paraId="703F2CB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2A40F8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For France, apparent adult survival rates came from a study at the CMR station located on Oléron Island (France, south-west) and monitored since 1998. The model accounted for transience effect on survival (due to permanent emigration), considering a distinct survival rate for transient and resident individuals. Both these survival rates could vary between year but recapture probability </w:t>
      </w:r>
      <w:r w:rsidRPr="00C96521">
        <w:rPr>
          <w:rFonts w:eastAsia="MS Mincho" w:cs="Arial"/>
          <w:b/>
          <w:sz w:val="20"/>
          <w:szCs w:val="20"/>
          <w:lang w:val="en-GB" w:eastAsia="ja-JP"/>
        </w:rPr>
        <w:t>p</w:t>
      </w:r>
      <w:r w:rsidRPr="00C96521">
        <w:rPr>
          <w:rFonts w:eastAsia="MS Mincho" w:cs="Arial"/>
          <w:sz w:val="20"/>
          <w:szCs w:val="20"/>
          <w:lang w:val="en-GB" w:eastAsia="ja-JP"/>
        </w:rPr>
        <w:t xml:space="preserve"> held constant (model</w:t>
      </w:r>
      <w:r w:rsidRPr="00C96521">
        <w:rPr>
          <w:rFonts w:eastAsia="MS Mincho" w:cs="Arial"/>
          <w:b/>
          <w:sz w:val="20"/>
          <w:szCs w:val="20"/>
          <w:lang w:val="en-GB" w:eastAsia="ja-JP"/>
        </w:rPr>
        <w:t xml:space="preserve"> ϕtp</w:t>
      </w:r>
      <w:r w:rsidRPr="00C96521">
        <w:rPr>
          <w:rFonts w:eastAsia="MS Mincho" w:cs="Arial"/>
          <w:sz w:val="20"/>
          <w:szCs w:val="20"/>
          <w:lang w:val="en-GB" w:eastAsia="ja-JP"/>
        </w:rPr>
        <w:t xml:space="preserve">). An average value of </w:t>
      </w:r>
      <w:r w:rsidRPr="00C96521">
        <w:rPr>
          <w:rFonts w:eastAsia="MS Mincho" w:cs="Arial"/>
          <w:b/>
          <w:sz w:val="20"/>
          <w:szCs w:val="20"/>
          <w:lang w:val="en-GB" w:eastAsia="ja-JP"/>
        </w:rPr>
        <w:t>So</w:t>
      </w:r>
      <w:r w:rsidRPr="00C96521">
        <w:rPr>
          <w:rFonts w:eastAsia="MS Mincho" w:cs="Arial"/>
          <w:sz w:val="20"/>
          <w:szCs w:val="20"/>
          <w:lang w:val="en-GB" w:eastAsia="ja-JP"/>
        </w:rPr>
        <w:t xml:space="preserve"> for resident individuals was used with Mark software (“Output/Specific model output/Variance components/Real parameter estimates”), set to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0.593.</w:t>
      </w:r>
    </w:p>
    <w:p w14:paraId="2AF5536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08CDB8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As apparent survival rate is likely to underestimates true survival, an alternative approach was also applied by using the averaged upper 95% interval confidence of resident survival rates obtained through the same model (from 1998 to 2016). From this,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0.748. </w:t>
      </w:r>
    </w:p>
    <w:p w14:paraId="56CE865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C0559B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For UK, survival estimates found in Siriwardena </w:t>
      </w:r>
      <w:r w:rsidRPr="00C96521">
        <w:rPr>
          <w:rFonts w:eastAsia="MS Mincho" w:cs="Arial"/>
          <w:i/>
          <w:sz w:val="20"/>
          <w:szCs w:val="20"/>
          <w:lang w:val="en-GB" w:eastAsia="ja-JP"/>
        </w:rPr>
        <w:t>et al</w:t>
      </w:r>
      <w:r w:rsidRPr="00C96521">
        <w:rPr>
          <w:rFonts w:eastAsia="MS Mincho" w:cs="Arial"/>
          <w:sz w:val="20"/>
          <w:szCs w:val="20"/>
          <w:lang w:val="en-GB" w:eastAsia="ja-JP"/>
        </w:rPr>
        <w:t xml:space="preserve"> (1999) were used, obtained through ring recoveries data (and so being a more realistic representation of true survival rate). Two adult survival rates were given, one when the population was considered as stable,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0.623, and one when the population was declining, and set to 52.5%. As an intermediate approach compared to France, I used the value of </w:t>
      </w:r>
      <w:r w:rsidRPr="00C96521">
        <w:rPr>
          <w:rFonts w:eastAsia="MS Mincho" w:cs="Arial"/>
          <w:b/>
          <w:sz w:val="20"/>
          <w:szCs w:val="20"/>
          <w:lang w:val="en-GB" w:eastAsia="ja-JP"/>
        </w:rPr>
        <w:t xml:space="preserve">So </w:t>
      </w:r>
      <w:r w:rsidRPr="00C96521">
        <w:rPr>
          <w:rFonts w:eastAsia="MS Mincho" w:cs="Arial"/>
          <w:sz w:val="20"/>
          <w:szCs w:val="20"/>
          <w:lang w:val="en-GB" w:eastAsia="ja-JP"/>
        </w:rPr>
        <w:t>= 0.623.</w:t>
      </w:r>
    </w:p>
    <w:p w14:paraId="04501A6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10118F21" w14:textId="75E57EEF"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The potential maximum harvestable population fraction (P) according to different group of hypotheses were estimated. In the first group of scenarios, Italy was not included, while in a second group, data were included as previously described. In each group, productivity and adult survival could have different values. There were </w:t>
      </w:r>
      <w:r w:rsidR="007910C0">
        <w:rPr>
          <w:rFonts w:eastAsia="MS Mincho" w:cs="Arial"/>
          <w:sz w:val="20"/>
          <w:szCs w:val="20"/>
          <w:lang w:val="en-GB" w:eastAsia="ja-JP"/>
        </w:rPr>
        <w:t>six</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different scenarios in each group (Figure 19).</w:t>
      </w:r>
    </w:p>
    <w:p w14:paraId="0CAC90D3" w14:textId="77777777" w:rsidR="00C96521" w:rsidRPr="00C96521" w:rsidRDefault="00C96521" w:rsidP="00C96521">
      <w:pPr>
        <w:widowControl/>
        <w:autoSpaceDE/>
        <w:autoSpaceDN/>
        <w:adjustRightInd/>
        <w:spacing w:line="276" w:lineRule="auto"/>
        <w:ind w:firstLine="708"/>
        <w:rPr>
          <w:rFonts w:eastAsia="MS Mincho"/>
          <w:sz w:val="20"/>
          <w:szCs w:val="22"/>
          <w:lang w:val="en-GB" w:eastAsia="ja-JP"/>
        </w:rPr>
      </w:pPr>
    </w:p>
    <w:p w14:paraId="533CAC18" w14:textId="77777777" w:rsidR="00C96521" w:rsidRPr="00C96521" w:rsidRDefault="00C96521" w:rsidP="00C96521">
      <w:pPr>
        <w:widowControl/>
        <w:autoSpaceDE/>
        <w:autoSpaceDN/>
        <w:adjustRightInd/>
        <w:spacing w:line="276" w:lineRule="auto"/>
        <w:ind w:firstLine="708"/>
        <w:rPr>
          <w:rFonts w:eastAsia="MS Mincho"/>
          <w:sz w:val="20"/>
          <w:szCs w:val="22"/>
          <w:lang w:val="en-GB" w:eastAsia="ja-JP"/>
        </w:rPr>
      </w:pPr>
    </w:p>
    <w:p w14:paraId="59A2EC75" w14:textId="77777777" w:rsidR="00C96521" w:rsidRPr="00C96521" w:rsidRDefault="00C96521" w:rsidP="00C96521">
      <w:pPr>
        <w:widowControl/>
        <w:autoSpaceDE/>
        <w:autoSpaceDN/>
        <w:adjustRightInd/>
        <w:spacing w:before="120" w:line="276" w:lineRule="auto"/>
        <w:rPr>
          <w:rFonts w:eastAsia="MS Mincho"/>
          <w:i/>
          <w:sz w:val="20"/>
          <w:szCs w:val="20"/>
          <w:lang w:val="en-GB" w:eastAsia="ja-JP"/>
        </w:rPr>
      </w:pPr>
      <w:r w:rsidRPr="00C96521">
        <w:rPr>
          <w:rFonts w:eastAsia="MS Mincho"/>
          <w:i/>
          <w:sz w:val="22"/>
          <w:szCs w:val="22"/>
          <w:lang w:val="en-GB" w:eastAsia="ja-JP"/>
        </w:rPr>
        <w:br w:type="page"/>
      </w:r>
      <w:r w:rsidRPr="00C96521">
        <w:rPr>
          <w:rFonts w:eastAsia="MS Mincho"/>
          <w:i/>
          <w:sz w:val="20"/>
          <w:szCs w:val="20"/>
          <w:lang w:val="en-GB" w:eastAsia="ja-JP"/>
        </w:rPr>
        <w:lastRenderedPageBreak/>
        <w:t xml:space="preserve"> </w:t>
      </w:r>
    </w:p>
    <w:p w14:paraId="58F605B4" w14:textId="270EA014" w:rsidR="00C96521" w:rsidRPr="00CB5111" w:rsidRDefault="00C96521" w:rsidP="00CB5111">
      <w:pPr>
        <w:widowControl/>
        <w:autoSpaceDE/>
        <w:autoSpaceDN/>
        <w:adjustRightInd/>
        <w:spacing w:line="276" w:lineRule="auto"/>
        <w:ind w:firstLine="708"/>
        <w:rPr>
          <w:rFonts w:eastAsia="MS Mincho"/>
          <w:sz w:val="20"/>
          <w:szCs w:val="20"/>
          <w:lang w:val="en-GB" w:eastAsia="ja-JP"/>
        </w:rPr>
      </w:pPr>
      <w:r w:rsidRPr="00C96521">
        <w:rPr>
          <w:rFonts w:eastAsia="MS Mincho"/>
          <w:noProof/>
          <w:sz w:val="20"/>
          <w:szCs w:val="20"/>
        </w:rPr>
        <mc:AlternateContent>
          <mc:Choice Requires="wpc">
            <w:drawing>
              <wp:anchor distT="0" distB="0" distL="114300" distR="114300" simplePos="0" relativeHeight="251660800" behindDoc="0" locked="0" layoutInCell="1" allowOverlap="1" wp14:anchorId="79916F28" wp14:editId="5B623E7A">
                <wp:simplePos x="0" y="0"/>
                <wp:positionH relativeFrom="column">
                  <wp:posOffset>228600</wp:posOffset>
                </wp:positionH>
                <wp:positionV relativeFrom="paragraph">
                  <wp:posOffset>81280</wp:posOffset>
                </wp:positionV>
                <wp:extent cx="5143500" cy="4895850"/>
                <wp:effectExtent l="0" t="11430" r="3175" b="7620"/>
                <wp:wrapSquare wrapText="bothSides"/>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 name="Rectangle 104"/>
                        <wps:cNvSpPr>
                          <a:spLocks noChangeArrowheads="1"/>
                        </wps:cNvSpPr>
                        <wps:spPr bwMode="auto">
                          <a:xfrm>
                            <a:off x="249238" y="0"/>
                            <a:ext cx="4824413" cy="4895850"/>
                          </a:xfrm>
                          <a:prstGeom prst="rect">
                            <a:avLst/>
                          </a:prstGeom>
                          <a:solidFill>
                            <a:srgbClr val="EAEAEA"/>
                          </a:solidFill>
                          <a:ln w="9525">
                            <a:solidFill>
                              <a:srgbClr val="000000"/>
                            </a:solidFill>
                            <a:miter lim="800000"/>
                            <a:headEnd/>
                            <a:tailEnd/>
                          </a:ln>
                        </wps:spPr>
                        <wps:bodyPr rot="0" vert="horz" wrap="square" lIns="91440" tIns="45720" rIns="91440" bIns="45720" anchor="ctr" anchorCtr="0" upright="1">
                          <a:noAutofit/>
                        </wps:bodyPr>
                      </wps:wsp>
                      <wps:wsp>
                        <wps:cNvPr id="12" name="Rectangle 105"/>
                        <wps:cNvSpPr>
                          <a:spLocks noChangeArrowheads="1"/>
                        </wps:cNvSpPr>
                        <wps:spPr bwMode="auto">
                          <a:xfrm>
                            <a:off x="2119313" y="71438"/>
                            <a:ext cx="2811463" cy="1944688"/>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6" name="Text Box 106"/>
                        <wps:cNvSpPr txBox="1">
                          <a:spLocks noChangeArrowheads="1"/>
                        </wps:cNvSpPr>
                        <wps:spPr bwMode="auto">
                          <a:xfrm>
                            <a:off x="1905000" y="115888"/>
                            <a:ext cx="323850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9ADD6" w14:textId="77777777" w:rsidR="00C46CCB" w:rsidRPr="008D569D" w:rsidRDefault="00C46CCB" w:rsidP="00C96521">
                              <w:pPr>
                                <w:jc w:val="center"/>
                                <w:rPr>
                                  <w:rFonts w:cs="Arial"/>
                                  <w:b/>
                                  <w:bCs/>
                                  <w:color w:val="000000"/>
                                  <w:szCs w:val="18"/>
                                  <w:vertAlign w:val="subscript"/>
                                </w:rPr>
                              </w:pPr>
                              <w:r>
                                <w:rPr>
                                  <w:rFonts w:cs="Arial"/>
                                  <w:b/>
                                  <w:bCs/>
                                  <w:color w:val="000000"/>
                                  <w:szCs w:val="18"/>
                                </w:rPr>
                                <w:t xml:space="preserve">Step 2: post breeding </w:t>
                              </w:r>
                              <w:r w:rsidRPr="008D569D">
                                <w:rPr>
                                  <w:rFonts w:cs="Arial"/>
                                  <w:b/>
                                  <w:bCs/>
                                  <w:color w:val="000000"/>
                                  <w:szCs w:val="18"/>
                                </w:rPr>
                                <w:t>population size in 2016</w:t>
                              </w:r>
                            </w:p>
                          </w:txbxContent>
                        </wps:txbx>
                        <wps:bodyPr rot="0" vert="horz" wrap="square" lIns="91440" tIns="45720" rIns="91440" bIns="45720" anchor="t" anchorCtr="0" upright="1">
                          <a:noAutofit/>
                        </wps:bodyPr>
                      </wps:wsp>
                      <wps:wsp>
                        <wps:cNvPr id="23" name="Rectangle 107"/>
                        <wps:cNvSpPr>
                          <a:spLocks noChangeArrowheads="1"/>
                        </wps:cNvSpPr>
                        <wps:spPr bwMode="auto">
                          <a:xfrm>
                            <a:off x="706438" y="2068513"/>
                            <a:ext cx="3887788" cy="2770188"/>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4" name="Rectangle 108"/>
                        <wps:cNvSpPr>
                          <a:spLocks noChangeArrowheads="1"/>
                        </wps:cNvSpPr>
                        <wps:spPr bwMode="auto">
                          <a:xfrm>
                            <a:off x="341313" y="71438"/>
                            <a:ext cx="1733550" cy="1944688"/>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5" name="Text Box 109"/>
                        <wps:cNvSpPr txBox="1">
                          <a:spLocks noChangeArrowheads="1"/>
                        </wps:cNvSpPr>
                        <wps:spPr bwMode="auto">
                          <a:xfrm>
                            <a:off x="0" y="139700"/>
                            <a:ext cx="2303463"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EBBE3" w14:textId="77777777" w:rsidR="00C46CCB" w:rsidRDefault="00C46CCB" w:rsidP="00C96521">
                              <w:pPr>
                                <w:jc w:val="center"/>
                                <w:rPr>
                                  <w:rFonts w:cs="Arial"/>
                                  <w:b/>
                                  <w:bCs/>
                                  <w:color w:val="000000"/>
                                  <w:szCs w:val="18"/>
                                  <w:vertAlign w:val="subscript"/>
                                </w:rPr>
                              </w:pPr>
                              <w:r>
                                <w:rPr>
                                  <w:rFonts w:cs="Arial"/>
                                  <w:b/>
                                  <w:bCs/>
                                  <w:color w:val="000000"/>
                                  <w:szCs w:val="18"/>
                                </w:rPr>
                                <w:t xml:space="preserve">Step 1: </w:t>
                              </w:r>
                              <w:r>
                                <w:rPr>
                                  <w:rFonts w:cs="Arial"/>
                                  <w:b/>
                                  <w:bCs/>
                                  <w:color w:val="000000"/>
                                  <w:szCs w:val="18"/>
                                  <w:lang w:val="el-GR"/>
                                </w:rPr>
                                <w:t>λ</w:t>
                              </w:r>
                              <w:r>
                                <w:rPr>
                                  <w:rFonts w:cs="Arial"/>
                                  <w:b/>
                                  <w:bCs/>
                                  <w:color w:val="000000"/>
                                  <w:szCs w:val="18"/>
                                  <w:vertAlign w:val="subscript"/>
                                </w:rPr>
                                <w:t>max</w:t>
                              </w:r>
                            </w:p>
                          </w:txbxContent>
                        </wps:txbx>
                        <wps:bodyPr rot="0" vert="horz" wrap="square" lIns="91440" tIns="45720" rIns="91440" bIns="45720" anchor="t" anchorCtr="0" upright="1">
                          <a:noAutofit/>
                        </wps:bodyPr>
                      </wps:wsp>
                      <wps:wsp>
                        <wps:cNvPr id="28" name="Text Box 110"/>
                        <wps:cNvSpPr txBox="1">
                          <a:spLocks noChangeArrowheads="1"/>
                        </wps:cNvSpPr>
                        <wps:spPr bwMode="auto">
                          <a:xfrm>
                            <a:off x="896938" y="2087563"/>
                            <a:ext cx="338455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AE8CD" w14:textId="77777777" w:rsidR="00C46CCB" w:rsidRDefault="00C46CCB" w:rsidP="00C96521">
                              <w:pPr>
                                <w:jc w:val="center"/>
                                <w:rPr>
                                  <w:rFonts w:cs="Arial"/>
                                  <w:b/>
                                  <w:bCs/>
                                  <w:color w:val="000000"/>
                                  <w:szCs w:val="18"/>
                                  <w:vertAlign w:val="subscript"/>
                                </w:rPr>
                              </w:pPr>
                              <w:r>
                                <w:rPr>
                                  <w:rFonts w:cs="Arial"/>
                                  <w:b/>
                                  <w:bCs/>
                                  <w:color w:val="000000"/>
                                  <w:szCs w:val="18"/>
                                </w:rPr>
                                <w:t>Step 3: estimation of P</w:t>
                              </w:r>
                            </w:p>
                          </w:txbxContent>
                        </wps:txbx>
                        <wps:bodyPr rot="0" vert="horz" wrap="square" lIns="91440" tIns="45720" rIns="91440" bIns="45720" anchor="t" anchorCtr="0" upright="1">
                          <a:noAutofit/>
                        </wps:bodyPr>
                      </wps:wsp>
                      <wps:wsp>
                        <wps:cNvPr id="30" name="Text Box 111"/>
                        <wps:cNvSpPr txBox="1">
                          <a:spLocks noChangeArrowheads="1"/>
                        </wps:cNvSpPr>
                        <wps:spPr bwMode="auto">
                          <a:xfrm>
                            <a:off x="427038" y="415925"/>
                            <a:ext cx="4699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2CB1EBB2" w14:textId="77777777" w:rsidR="00C46CCB" w:rsidRDefault="00C46CCB" w:rsidP="00C96521">
                              <w:pPr>
                                <w:jc w:val="center"/>
                                <w:rPr>
                                  <w:rFonts w:cs="Arial"/>
                                  <w:color w:val="000000"/>
                                  <w:szCs w:val="18"/>
                                </w:rPr>
                              </w:pPr>
                              <w:r>
                                <w:rPr>
                                  <w:rFonts w:cs="Arial"/>
                                  <w:color w:val="000000"/>
                                  <w:szCs w:val="18"/>
                                </w:rPr>
                                <w:t>So1</w:t>
                              </w:r>
                            </w:p>
                          </w:txbxContent>
                        </wps:txbx>
                        <wps:bodyPr rot="0" vert="horz" wrap="square" lIns="91440" tIns="45720" rIns="91440" bIns="45720" anchor="t" anchorCtr="0" upright="1">
                          <a:noAutofit/>
                        </wps:bodyPr>
                      </wps:wsp>
                      <wps:wsp>
                        <wps:cNvPr id="35" name="Text Box 112"/>
                        <wps:cNvSpPr txBox="1">
                          <a:spLocks noChangeArrowheads="1"/>
                        </wps:cNvSpPr>
                        <wps:spPr bwMode="auto">
                          <a:xfrm>
                            <a:off x="969963" y="415925"/>
                            <a:ext cx="4699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40ABE2CE" w14:textId="77777777" w:rsidR="00C46CCB" w:rsidRDefault="00C46CCB" w:rsidP="00C96521">
                              <w:pPr>
                                <w:jc w:val="center"/>
                                <w:rPr>
                                  <w:rFonts w:cs="Arial"/>
                                  <w:color w:val="000000"/>
                                  <w:szCs w:val="18"/>
                                </w:rPr>
                              </w:pPr>
                              <w:r>
                                <w:rPr>
                                  <w:rFonts w:cs="Arial"/>
                                  <w:color w:val="000000"/>
                                  <w:szCs w:val="18"/>
                                </w:rPr>
                                <w:t>So2</w:t>
                              </w:r>
                            </w:p>
                          </w:txbxContent>
                        </wps:txbx>
                        <wps:bodyPr rot="0" vert="horz" wrap="square" lIns="91440" tIns="45720" rIns="91440" bIns="45720" anchor="t" anchorCtr="0" upright="1">
                          <a:noAutofit/>
                        </wps:bodyPr>
                      </wps:wsp>
                      <wps:wsp>
                        <wps:cNvPr id="36" name="Text Box 113"/>
                        <wps:cNvSpPr txBox="1">
                          <a:spLocks noChangeArrowheads="1"/>
                        </wps:cNvSpPr>
                        <wps:spPr bwMode="auto">
                          <a:xfrm>
                            <a:off x="1492250" y="414338"/>
                            <a:ext cx="4699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D28DC31" w14:textId="77777777" w:rsidR="00C46CCB" w:rsidRDefault="00C46CCB" w:rsidP="00C96521">
                              <w:pPr>
                                <w:jc w:val="center"/>
                                <w:rPr>
                                  <w:rFonts w:cs="Arial"/>
                                  <w:color w:val="000000"/>
                                  <w:szCs w:val="18"/>
                                </w:rPr>
                              </w:pPr>
                              <w:r>
                                <w:rPr>
                                  <w:rFonts w:cs="Arial"/>
                                  <w:color w:val="000000"/>
                                  <w:szCs w:val="18"/>
                                </w:rPr>
                                <w:t>So3</w:t>
                              </w:r>
                            </w:p>
                          </w:txbxContent>
                        </wps:txbx>
                        <wps:bodyPr rot="0" vert="horz" wrap="square" lIns="91440" tIns="45720" rIns="91440" bIns="45720" anchor="t" anchorCtr="0" upright="1">
                          <a:noAutofit/>
                        </wps:bodyPr>
                      </wps:wsp>
                      <wps:wsp>
                        <wps:cNvPr id="37" name="Text Box 114"/>
                        <wps:cNvSpPr txBox="1">
                          <a:spLocks noChangeArrowheads="1"/>
                        </wps:cNvSpPr>
                        <wps:spPr bwMode="auto">
                          <a:xfrm>
                            <a:off x="465138" y="987425"/>
                            <a:ext cx="1406525"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43941818" w14:textId="77777777" w:rsidR="00C46CCB" w:rsidRDefault="00C46CCB" w:rsidP="00C96521">
                              <w:pPr>
                                <w:jc w:val="center"/>
                                <w:rPr>
                                  <w:rFonts w:cs="Arial"/>
                                  <w:color w:val="000000"/>
                                  <w:szCs w:val="18"/>
                                </w:rPr>
                              </w:pPr>
                              <w:r>
                                <w:rPr>
                                  <w:rFonts w:cs="Arial"/>
                                  <w:color w:val="000000"/>
                                  <w:szCs w:val="18"/>
                                </w:rPr>
                                <w:t>a</w:t>
                              </w:r>
                            </w:p>
                          </w:txbxContent>
                        </wps:txbx>
                        <wps:bodyPr rot="0" vert="horz" wrap="square" lIns="91440" tIns="45720" rIns="91440" bIns="45720" anchor="t" anchorCtr="0" upright="1">
                          <a:noAutofit/>
                        </wps:bodyPr>
                      </wps:wsp>
                      <wps:wsp>
                        <wps:cNvPr id="38" name="Text Box 115"/>
                        <wps:cNvSpPr txBox="1">
                          <a:spLocks noChangeArrowheads="1"/>
                        </wps:cNvSpPr>
                        <wps:spPr bwMode="auto">
                          <a:xfrm>
                            <a:off x="455613" y="1589088"/>
                            <a:ext cx="4572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236D37D2"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max1</w:t>
                              </w:r>
                            </w:p>
                          </w:txbxContent>
                        </wps:txbx>
                        <wps:bodyPr rot="0" vert="horz" wrap="square" lIns="91440" tIns="45720" rIns="91440" bIns="45720" anchor="t" anchorCtr="0" upright="1">
                          <a:noAutofit/>
                        </wps:bodyPr>
                      </wps:wsp>
                      <wps:wsp>
                        <wps:cNvPr id="39" name="Text Box 116"/>
                        <wps:cNvSpPr txBox="1">
                          <a:spLocks noChangeArrowheads="1"/>
                        </wps:cNvSpPr>
                        <wps:spPr bwMode="auto">
                          <a:xfrm>
                            <a:off x="979488" y="1584325"/>
                            <a:ext cx="4572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0034ABB"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max2</w:t>
                              </w:r>
                            </w:p>
                          </w:txbxContent>
                        </wps:txbx>
                        <wps:bodyPr rot="0" vert="horz" wrap="square" lIns="91440" tIns="45720" rIns="91440" bIns="45720" anchor="t" anchorCtr="0" upright="1">
                          <a:noAutofit/>
                        </wps:bodyPr>
                      </wps:wsp>
                      <wps:wsp>
                        <wps:cNvPr id="42" name="Text Box 117"/>
                        <wps:cNvSpPr txBox="1">
                          <a:spLocks noChangeArrowheads="1"/>
                        </wps:cNvSpPr>
                        <wps:spPr bwMode="auto">
                          <a:xfrm>
                            <a:off x="1498600" y="1589088"/>
                            <a:ext cx="4572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0956C0CD"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max3</w:t>
                              </w:r>
                            </w:p>
                          </w:txbxContent>
                        </wps:txbx>
                        <wps:bodyPr rot="0" vert="horz" wrap="square" lIns="91440" tIns="45720" rIns="91440" bIns="45720" anchor="t" anchorCtr="0" upright="1">
                          <a:noAutofit/>
                        </wps:bodyPr>
                      </wps:wsp>
                      <wps:wsp>
                        <wps:cNvPr id="43" name="Text Box 118"/>
                        <wps:cNvSpPr txBox="1">
                          <a:spLocks noChangeArrowheads="1"/>
                        </wps:cNvSpPr>
                        <wps:spPr bwMode="auto">
                          <a:xfrm>
                            <a:off x="2263775" y="409575"/>
                            <a:ext cx="2447925"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02F3C48" w14:textId="77777777" w:rsidR="00C46CCB" w:rsidRDefault="00C46CCB" w:rsidP="00C96521">
                              <w:pPr>
                                <w:jc w:val="center"/>
                                <w:rPr>
                                  <w:rFonts w:cs="Arial"/>
                                  <w:color w:val="000000"/>
                                  <w:szCs w:val="18"/>
                                </w:rPr>
                              </w:pPr>
                              <w:r>
                                <w:rPr>
                                  <w:rFonts w:cs="Arial"/>
                                  <w:color w:val="000000"/>
                                  <w:szCs w:val="18"/>
                                </w:rPr>
                                <w:t>N pre-breeding (N)</w:t>
                              </w:r>
                            </w:p>
                          </w:txbxContent>
                        </wps:txbx>
                        <wps:bodyPr rot="0" vert="horz" wrap="square" lIns="91440" tIns="45720" rIns="91440" bIns="45720" anchor="t" anchorCtr="0" upright="1">
                          <a:noAutofit/>
                        </wps:bodyPr>
                      </wps:wsp>
                      <wps:wsp>
                        <wps:cNvPr id="44" name="Text Box 119"/>
                        <wps:cNvSpPr txBox="1">
                          <a:spLocks noChangeArrowheads="1"/>
                        </wps:cNvSpPr>
                        <wps:spPr bwMode="auto">
                          <a:xfrm>
                            <a:off x="2406650" y="998538"/>
                            <a:ext cx="1081088"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0F287EC2" w14:textId="77777777" w:rsidR="00C46CCB" w:rsidRDefault="00C46CCB" w:rsidP="00C96521">
                              <w:pPr>
                                <w:rPr>
                                  <w:rFonts w:cs="Arial"/>
                                  <w:color w:val="000000"/>
                                  <w:szCs w:val="18"/>
                                  <w:vertAlign w:val="subscript"/>
                                </w:rPr>
                              </w:pPr>
                              <w:r>
                                <w:rPr>
                                  <w:rFonts w:cs="Arial"/>
                                  <w:color w:val="000000"/>
                                  <w:szCs w:val="18"/>
                                </w:rPr>
                                <w:t>Productivity1</w:t>
                              </w:r>
                            </w:p>
                          </w:txbxContent>
                        </wps:txbx>
                        <wps:bodyPr rot="0" vert="horz" wrap="square" lIns="91440" tIns="45720" rIns="91440" bIns="45720" anchor="t" anchorCtr="0" upright="1">
                          <a:noAutofit/>
                        </wps:bodyPr>
                      </wps:wsp>
                      <wps:wsp>
                        <wps:cNvPr id="45" name="Text Box 120"/>
                        <wps:cNvSpPr txBox="1">
                          <a:spLocks noChangeArrowheads="1"/>
                        </wps:cNvSpPr>
                        <wps:spPr bwMode="auto">
                          <a:xfrm>
                            <a:off x="3632200" y="993775"/>
                            <a:ext cx="107950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F93A1D5" w14:textId="77777777" w:rsidR="00C46CCB" w:rsidRDefault="00C46CCB" w:rsidP="00C96521">
                              <w:pPr>
                                <w:rPr>
                                  <w:rFonts w:cs="Arial"/>
                                  <w:color w:val="000000"/>
                                  <w:szCs w:val="18"/>
                                  <w:vertAlign w:val="subscript"/>
                                </w:rPr>
                              </w:pPr>
                              <w:r>
                                <w:rPr>
                                  <w:rFonts w:cs="Arial"/>
                                  <w:color w:val="000000"/>
                                  <w:szCs w:val="18"/>
                                </w:rPr>
                                <w:t>Productivity2</w:t>
                              </w:r>
                            </w:p>
                          </w:txbxContent>
                        </wps:txbx>
                        <wps:bodyPr rot="0" vert="horz" wrap="square" lIns="91440" tIns="45720" rIns="91440" bIns="45720" anchor="t" anchorCtr="0" upright="1">
                          <a:noAutofit/>
                        </wps:bodyPr>
                      </wps:wsp>
                      <wps:wsp>
                        <wps:cNvPr id="46" name="Text Box 121"/>
                        <wps:cNvSpPr txBox="1">
                          <a:spLocks noChangeArrowheads="1"/>
                        </wps:cNvSpPr>
                        <wps:spPr bwMode="auto">
                          <a:xfrm>
                            <a:off x="2190750" y="1617663"/>
                            <a:ext cx="1285875"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7DB43B8C" w14:textId="77777777" w:rsidR="00C46CCB" w:rsidRDefault="00C46CCB" w:rsidP="00C96521">
                              <w:pPr>
                                <w:jc w:val="center"/>
                                <w:rPr>
                                  <w:rFonts w:cs="Arial"/>
                                  <w:color w:val="000000"/>
                                  <w:szCs w:val="18"/>
                                  <w:vertAlign w:val="subscript"/>
                                </w:rPr>
                              </w:pPr>
                              <w:r>
                                <w:rPr>
                                  <w:rFonts w:cs="Arial"/>
                                  <w:color w:val="000000"/>
                                  <w:szCs w:val="18"/>
                                </w:rPr>
                                <w:t>N post-breeding (N1)</w:t>
                              </w:r>
                            </w:p>
                          </w:txbxContent>
                        </wps:txbx>
                        <wps:bodyPr rot="0" vert="horz" wrap="square" lIns="91440" tIns="45720" rIns="91440" bIns="45720" anchor="t" anchorCtr="0" upright="1">
                          <a:noAutofit/>
                        </wps:bodyPr>
                      </wps:wsp>
                      <wps:wsp>
                        <wps:cNvPr id="47" name="Text Box 122"/>
                        <wps:cNvSpPr txBox="1">
                          <a:spLocks noChangeArrowheads="1"/>
                        </wps:cNvSpPr>
                        <wps:spPr bwMode="auto">
                          <a:xfrm>
                            <a:off x="3536950" y="1612900"/>
                            <a:ext cx="1319213"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065D5B88" w14:textId="77777777" w:rsidR="00C46CCB" w:rsidRDefault="00C46CCB" w:rsidP="00C96521">
                              <w:pPr>
                                <w:jc w:val="center"/>
                                <w:rPr>
                                  <w:rFonts w:cs="Arial"/>
                                  <w:color w:val="000000"/>
                                  <w:szCs w:val="18"/>
                                  <w:vertAlign w:val="subscript"/>
                                </w:rPr>
                              </w:pPr>
                              <w:r>
                                <w:rPr>
                                  <w:rFonts w:cs="Arial"/>
                                  <w:color w:val="000000"/>
                                  <w:szCs w:val="18"/>
                                </w:rPr>
                                <w:t>N post-breeding (N2)</w:t>
                              </w:r>
                            </w:p>
                          </w:txbxContent>
                        </wps:txbx>
                        <wps:bodyPr rot="0" vert="horz" wrap="square" lIns="91440" tIns="45720" rIns="91440" bIns="45720" anchor="t" anchorCtr="0" upright="1">
                          <a:noAutofit/>
                        </wps:bodyPr>
                      </wps:wsp>
                      <wps:wsp>
                        <wps:cNvPr id="48" name="Text Box 123"/>
                        <wps:cNvSpPr txBox="1">
                          <a:spLocks noChangeArrowheads="1"/>
                        </wps:cNvSpPr>
                        <wps:spPr bwMode="auto">
                          <a:xfrm>
                            <a:off x="1338263" y="2319338"/>
                            <a:ext cx="2447925" cy="8524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468D12A6" w14:textId="77777777" w:rsidR="00C46CCB" w:rsidRDefault="00C46CCB" w:rsidP="00C96521">
                              <w:pPr>
                                <w:jc w:val="center"/>
                                <w:rPr>
                                  <w:rFonts w:cs="Arial"/>
                                  <w:color w:val="000000"/>
                                  <w:szCs w:val="18"/>
                                </w:rPr>
                              </w:pPr>
                              <w:r>
                                <w:rPr>
                                  <w:rFonts w:cs="Arial"/>
                                  <w:color w:val="000000"/>
                                  <w:szCs w:val="18"/>
                                </w:rPr>
                                <w:t>B</w:t>
                              </w:r>
                            </w:p>
                            <w:p w14:paraId="2D114485" w14:textId="77777777" w:rsidR="00C46CCB" w:rsidRDefault="00C46CCB" w:rsidP="00C96521">
                              <w:pPr>
                                <w:jc w:val="center"/>
                                <w:rPr>
                                  <w:rFonts w:cs="Arial"/>
                                  <w:color w:val="000000"/>
                                  <w:szCs w:val="18"/>
                                </w:rPr>
                              </w:pPr>
                            </w:p>
                            <w:p w14:paraId="0A7E7078" w14:textId="77777777" w:rsidR="00C46CCB" w:rsidRDefault="00C46CCB" w:rsidP="00C96521">
                              <w:pPr>
                                <w:jc w:val="center"/>
                                <w:rPr>
                                  <w:rFonts w:cs="Arial"/>
                                  <w:color w:val="000000"/>
                                  <w:szCs w:val="18"/>
                                </w:rPr>
                              </w:pPr>
                            </w:p>
                            <w:p w14:paraId="2FAD7061" w14:textId="77777777" w:rsidR="00C46CCB" w:rsidRDefault="00C46CCB" w:rsidP="00C96521">
                              <w:pPr>
                                <w:jc w:val="center"/>
                                <w:rPr>
                                  <w:rFonts w:cs="Arial"/>
                                  <w:color w:val="000000"/>
                                  <w:szCs w:val="18"/>
                                </w:rPr>
                              </w:pPr>
                            </w:p>
                          </w:txbxContent>
                        </wps:txbx>
                        <wps:bodyPr rot="0" vert="horz" wrap="square" lIns="91440" tIns="45720" rIns="91440" bIns="45720" anchor="t" anchorCtr="0" upright="1">
                          <a:noAutofit/>
                        </wps:bodyPr>
                      </wps:wsp>
                      <wps:wsp>
                        <wps:cNvPr id="49" name="Line 124"/>
                        <wps:cNvCnPr>
                          <a:cxnSpLocks noChangeShapeType="1"/>
                        </wps:cNvCnPr>
                        <wps:spPr bwMode="auto">
                          <a:xfrm>
                            <a:off x="681038" y="715963"/>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Line 125"/>
                        <wps:cNvCnPr>
                          <a:cxnSpLocks noChangeShapeType="1"/>
                        </wps:cNvCnPr>
                        <wps:spPr bwMode="auto">
                          <a:xfrm>
                            <a:off x="1150938" y="719138"/>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 name="Line 126"/>
                        <wps:cNvCnPr>
                          <a:cxnSpLocks noChangeShapeType="1"/>
                        </wps:cNvCnPr>
                        <wps:spPr bwMode="auto">
                          <a:xfrm>
                            <a:off x="1689100" y="715963"/>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Text Box 127"/>
                        <wps:cNvSpPr txBox="1">
                          <a:spLocks noChangeArrowheads="1"/>
                        </wps:cNvSpPr>
                        <wps:spPr bwMode="auto">
                          <a:xfrm>
                            <a:off x="1390650" y="2947988"/>
                            <a:ext cx="576263"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D0957"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max1</w:t>
                              </w:r>
                            </w:p>
                          </w:txbxContent>
                        </wps:txbx>
                        <wps:bodyPr rot="0" vert="horz" wrap="square" lIns="91440" tIns="45720" rIns="91440" bIns="45720" anchor="t" anchorCtr="0" upright="1">
                          <a:noAutofit/>
                        </wps:bodyPr>
                      </wps:wsp>
                      <wps:wsp>
                        <wps:cNvPr id="53" name="Text Box 128"/>
                        <wps:cNvSpPr txBox="1">
                          <a:spLocks noChangeArrowheads="1"/>
                        </wps:cNvSpPr>
                        <wps:spPr bwMode="auto">
                          <a:xfrm>
                            <a:off x="2359025" y="2943225"/>
                            <a:ext cx="576263"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C08C1"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max2</w:t>
                              </w:r>
                            </w:p>
                          </w:txbxContent>
                        </wps:txbx>
                        <wps:bodyPr rot="0" vert="horz" wrap="square" lIns="91440" tIns="45720" rIns="91440" bIns="45720" anchor="t" anchorCtr="0" upright="1">
                          <a:noAutofit/>
                        </wps:bodyPr>
                      </wps:wsp>
                      <wps:wsp>
                        <wps:cNvPr id="54" name="Text Box 129"/>
                        <wps:cNvSpPr txBox="1">
                          <a:spLocks noChangeArrowheads="1"/>
                        </wps:cNvSpPr>
                        <wps:spPr bwMode="auto">
                          <a:xfrm>
                            <a:off x="3282950" y="2943225"/>
                            <a:ext cx="576263"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885CA"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max3</w:t>
                              </w:r>
                            </w:p>
                          </w:txbxContent>
                        </wps:txbx>
                        <wps:bodyPr rot="0" vert="horz" wrap="square" lIns="91440" tIns="45720" rIns="91440" bIns="45720" anchor="t" anchorCtr="0" upright="1">
                          <a:noAutofit/>
                        </wps:bodyPr>
                      </wps:wsp>
                      <wps:wsp>
                        <wps:cNvPr id="55" name="Text Box 130"/>
                        <wps:cNvSpPr txBox="1">
                          <a:spLocks noChangeArrowheads="1"/>
                        </wps:cNvSpPr>
                        <wps:spPr bwMode="auto">
                          <a:xfrm>
                            <a:off x="3900488" y="3789363"/>
                            <a:ext cx="593725"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48180A1"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max3</w:t>
                              </w:r>
                            </w:p>
                          </w:txbxContent>
                        </wps:txbx>
                        <wps:bodyPr rot="0" vert="horz" wrap="square" lIns="91440" tIns="45720" rIns="91440" bIns="45720" anchor="t" anchorCtr="0" upright="1">
                          <a:noAutofit/>
                        </wps:bodyPr>
                      </wps:wsp>
                      <wps:wsp>
                        <wps:cNvPr id="56" name="AutoShape 131"/>
                        <wps:cNvCnPr>
                          <a:cxnSpLocks noChangeShapeType="1"/>
                          <a:stCxn id="52" idx="2"/>
                          <a:endCxn id="70" idx="0"/>
                        </wps:cNvCnPr>
                        <wps:spPr bwMode="auto">
                          <a:xfrm flipH="1">
                            <a:off x="1091406" y="3176588"/>
                            <a:ext cx="587375" cy="612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AutoShape 132"/>
                        <wps:cNvCnPr>
                          <a:cxnSpLocks noChangeShapeType="1"/>
                          <a:stCxn id="53" idx="2"/>
                          <a:endCxn id="72" idx="0"/>
                        </wps:cNvCnPr>
                        <wps:spPr bwMode="auto">
                          <a:xfrm flipH="1">
                            <a:off x="1674813" y="3171825"/>
                            <a:ext cx="972344" cy="615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AutoShape 133"/>
                        <wps:cNvCnPr>
                          <a:cxnSpLocks noChangeShapeType="1"/>
                          <a:stCxn id="54" idx="2"/>
                          <a:endCxn id="55" idx="0"/>
                        </wps:cNvCnPr>
                        <wps:spPr bwMode="auto">
                          <a:xfrm>
                            <a:off x="3571081" y="3171825"/>
                            <a:ext cx="627063" cy="61753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Line 134"/>
                        <wps:cNvCnPr>
                          <a:cxnSpLocks noChangeShapeType="1"/>
                        </wps:cNvCnPr>
                        <wps:spPr bwMode="auto">
                          <a:xfrm>
                            <a:off x="681038" y="1293813"/>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135"/>
                        <wps:cNvCnPr>
                          <a:cxnSpLocks noChangeShapeType="1"/>
                        </wps:cNvCnPr>
                        <wps:spPr bwMode="auto">
                          <a:xfrm>
                            <a:off x="1150938" y="1296988"/>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136"/>
                        <wps:cNvCnPr>
                          <a:cxnSpLocks noChangeShapeType="1"/>
                        </wps:cNvCnPr>
                        <wps:spPr bwMode="auto">
                          <a:xfrm>
                            <a:off x="1704975" y="1293813"/>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Line 137"/>
                        <wps:cNvCnPr>
                          <a:cxnSpLocks noChangeShapeType="1"/>
                        </wps:cNvCnPr>
                        <wps:spPr bwMode="auto">
                          <a:xfrm>
                            <a:off x="3054350" y="703263"/>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Line 138"/>
                        <wps:cNvCnPr>
                          <a:cxnSpLocks noChangeShapeType="1"/>
                        </wps:cNvCnPr>
                        <wps:spPr bwMode="auto">
                          <a:xfrm>
                            <a:off x="3990975" y="700088"/>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Line 139"/>
                        <wps:cNvCnPr>
                          <a:cxnSpLocks noChangeShapeType="1"/>
                        </wps:cNvCnPr>
                        <wps:spPr bwMode="auto">
                          <a:xfrm>
                            <a:off x="3055938" y="1298575"/>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Line 140"/>
                        <wps:cNvCnPr>
                          <a:cxnSpLocks noChangeShapeType="1"/>
                        </wps:cNvCnPr>
                        <wps:spPr bwMode="auto">
                          <a:xfrm>
                            <a:off x="3992563" y="1295400"/>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Text Box 141"/>
                        <wps:cNvSpPr txBox="1">
                          <a:spLocks noChangeArrowheads="1"/>
                        </wps:cNvSpPr>
                        <wps:spPr bwMode="auto">
                          <a:xfrm>
                            <a:off x="2051050" y="2679700"/>
                            <a:ext cx="430213"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0900E" w14:textId="77777777" w:rsidR="00C46CCB" w:rsidRDefault="00C46CCB" w:rsidP="00C96521">
                              <w:pPr>
                                <w:rPr>
                                  <w:rFonts w:cs="Arial"/>
                                  <w:color w:val="000000"/>
                                  <w:szCs w:val="18"/>
                                </w:rPr>
                              </w:pPr>
                              <w:r>
                                <w:rPr>
                                  <w:rFonts w:cs="Arial"/>
                                  <w:color w:val="000000"/>
                                  <w:szCs w:val="18"/>
                                </w:rPr>
                                <w:t>N1</w:t>
                              </w:r>
                            </w:p>
                          </w:txbxContent>
                        </wps:txbx>
                        <wps:bodyPr rot="0" vert="horz" wrap="square" lIns="91440" tIns="45720" rIns="91440" bIns="45720" anchor="t" anchorCtr="0" upright="1">
                          <a:noAutofit/>
                        </wps:bodyPr>
                      </wps:wsp>
                      <wps:wsp>
                        <wps:cNvPr id="67" name="Text Box 142"/>
                        <wps:cNvSpPr txBox="1">
                          <a:spLocks noChangeArrowheads="1"/>
                        </wps:cNvSpPr>
                        <wps:spPr bwMode="auto">
                          <a:xfrm>
                            <a:off x="2841625" y="2674938"/>
                            <a:ext cx="43180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354AE" w14:textId="77777777" w:rsidR="00C46CCB" w:rsidRDefault="00C46CCB" w:rsidP="00C96521">
                              <w:pPr>
                                <w:rPr>
                                  <w:rFonts w:cs="Arial"/>
                                  <w:color w:val="000000"/>
                                  <w:szCs w:val="18"/>
                                </w:rPr>
                              </w:pPr>
                              <w:r>
                                <w:rPr>
                                  <w:rFonts w:cs="Arial"/>
                                  <w:color w:val="000000"/>
                                  <w:szCs w:val="18"/>
                                </w:rPr>
                                <w:t>N2</w:t>
                              </w:r>
                            </w:p>
                          </w:txbxContent>
                        </wps:txbx>
                        <wps:bodyPr rot="0" vert="horz" wrap="square" lIns="91440" tIns="45720" rIns="91440" bIns="45720" anchor="t" anchorCtr="0" upright="1">
                          <a:noAutofit/>
                        </wps:bodyPr>
                      </wps:wsp>
                      <wps:wsp>
                        <wps:cNvPr id="68" name="Text Box 143"/>
                        <wps:cNvSpPr txBox="1">
                          <a:spLocks noChangeArrowheads="1"/>
                        </wps:cNvSpPr>
                        <wps:spPr bwMode="auto">
                          <a:xfrm>
                            <a:off x="3260725" y="3792538"/>
                            <a:ext cx="593725"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9A4911E"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max2</w:t>
                              </w:r>
                            </w:p>
                          </w:txbxContent>
                        </wps:txbx>
                        <wps:bodyPr rot="0" vert="horz" wrap="square" lIns="91440" tIns="45720" rIns="91440" bIns="45720" anchor="t" anchorCtr="0" upright="1">
                          <a:noAutofit/>
                        </wps:bodyPr>
                      </wps:wsp>
                      <wps:wsp>
                        <wps:cNvPr id="69" name="Text Box 144"/>
                        <wps:cNvSpPr txBox="1">
                          <a:spLocks noChangeArrowheads="1"/>
                        </wps:cNvSpPr>
                        <wps:spPr bwMode="auto">
                          <a:xfrm>
                            <a:off x="2625725" y="3792538"/>
                            <a:ext cx="593725"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9601A1E"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max1</w:t>
                              </w:r>
                            </w:p>
                          </w:txbxContent>
                        </wps:txbx>
                        <wps:bodyPr rot="0" vert="horz" wrap="square" lIns="91440" tIns="45720" rIns="91440" bIns="45720" anchor="t" anchorCtr="0" upright="1">
                          <a:noAutofit/>
                        </wps:bodyPr>
                      </wps:wsp>
                      <wps:wsp>
                        <wps:cNvPr id="70" name="Text Box 145"/>
                        <wps:cNvSpPr txBox="1">
                          <a:spLocks noChangeArrowheads="1"/>
                        </wps:cNvSpPr>
                        <wps:spPr bwMode="auto">
                          <a:xfrm>
                            <a:off x="825500" y="3789363"/>
                            <a:ext cx="531813"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26D6D228"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max1</w:t>
                              </w:r>
                            </w:p>
                          </w:txbxContent>
                        </wps:txbx>
                        <wps:bodyPr rot="0" vert="horz" wrap="square" lIns="91440" tIns="45720" rIns="91440" bIns="45720" anchor="t" anchorCtr="0" upright="1">
                          <a:noAutofit/>
                        </wps:bodyPr>
                      </wps:wsp>
                      <wps:wsp>
                        <wps:cNvPr id="71" name="Text Box 146"/>
                        <wps:cNvSpPr txBox="1">
                          <a:spLocks noChangeArrowheads="1"/>
                        </wps:cNvSpPr>
                        <wps:spPr bwMode="auto">
                          <a:xfrm>
                            <a:off x="1978025" y="3787775"/>
                            <a:ext cx="531813"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A491988"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max3</w:t>
                              </w:r>
                            </w:p>
                          </w:txbxContent>
                        </wps:txbx>
                        <wps:bodyPr rot="0" vert="horz" wrap="square" lIns="91440" tIns="45720" rIns="91440" bIns="45720" anchor="t" anchorCtr="0" upright="1">
                          <a:noAutofit/>
                        </wps:bodyPr>
                      </wps:wsp>
                      <wps:wsp>
                        <wps:cNvPr id="72" name="Text Box 147"/>
                        <wps:cNvSpPr txBox="1">
                          <a:spLocks noChangeArrowheads="1"/>
                        </wps:cNvSpPr>
                        <wps:spPr bwMode="auto">
                          <a:xfrm>
                            <a:off x="1408113" y="3787775"/>
                            <a:ext cx="531813" cy="374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01653773"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max2</w:t>
                              </w:r>
                            </w:p>
                          </w:txbxContent>
                        </wps:txbx>
                        <wps:bodyPr rot="0" vert="horz" wrap="square" lIns="91440" tIns="45720" rIns="91440" bIns="45720" anchor="t" anchorCtr="0" upright="1">
                          <a:noAutofit/>
                        </wps:bodyPr>
                      </wps:wsp>
                      <wps:wsp>
                        <wps:cNvPr id="73" name="AutoShape 148"/>
                        <wps:cNvCnPr>
                          <a:cxnSpLocks noChangeShapeType="1"/>
                          <a:stCxn id="54" idx="2"/>
                          <a:endCxn id="71" idx="0"/>
                        </wps:cNvCnPr>
                        <wps:spPr bwMode="auto">
                          <a:xfrm flipH="1">
                            <a:off x="2243931" y="3171825"/>
                            <a:ext cx="1327150" cy="615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AutoShape 149"/>
                        <wps:cNvCnPr>
                          <a:cxnSpLocks noChangeShapeType="1"/>
                          <a:stCxn id="52" idx="2"/>
                          <a:endCxn id="69" idx="0"/>
                        </wps:cNvCnPr>
                        <wps:spPr bwMode="auto">
                          <a:xfrm>
                            <a:off x="1678781" y="3176588"/>
                            <a:ext cx="1243806" cy="615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50"/>
                        <wps:cNvCnPr>
                          <a:cxnSpLocks noChangeShapeType="1"/>
                          <a:stCxn id="53" idx="2"/>
                          <a:endCxn id="68" idx="0"/>
                        </wps:cNvCnPr>
                        <wps:spPr bwMode="auto">
                          <a:xfrm>
                            <a:off x="2647156" y="3171825"/>
                            <a:ext cx="910431" cy="62071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51"/>
                        <wps:cNvSpPr txBox="1">
                          <a:spLocks noChangeArrowheads="1"/>
                        </wps:cNvSpPr>
                        <wps:spPr bwMode="auto">
                          <a:xfrm>
                            <a:off x="896938" y="4519613"/>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230CDD5E" w14:textId="77777777" w:rsidR="00C46CCB" w:rsidRDefault="00C46CCB" w:rsidP="00C96521">
                              <w:pPr>
                                <w:jc w:val="center"/>
                                <w:rPr>
                                  <w:rFonts w:cs="Arial"/>
                                  <w:color w:val="000000"/>
                                  <w:szCs w:val="18"/>
                                </w:rPr>
                              </w:pPr>
                              <w:r>
                                <w:rPr>
                                  <w:rFonts w:cs="Arial"/>
                                  <w:color w:val="000000"/>
                                  <w:szCs w:val="18"/>
                                </w:rPr>
                                <w:t>P1</w:t>
                              </w:r>
                            </w:p>
                          </w:txbxContent>
                        </wps:txbx>
                        <wps:bodyPr rot="0" vert="horz" wrap="square" lIns="91440" tIns="45720" rIns="91440" bIns="45720" anchor="t" anchorCtr="0" upright="1">
                          <a:noAutofit/>
                        </wps:bodyPr>
                      </wps:wsp>
                      <wps:wsp>
                        <wps:cNvPr id="77" name="Text Box 152"/>
                        <wps:cNvSpPr txBox="1">
                          <a:spLocks noChangeArrowheads="1"/>
                        </wps:cNvSpPr>
                        <wps:spPr bwMode="auto">
                          <a:xfrm>
                            <a:off x="1506538" y="4513263"/>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F952788" w14:textId="77777777" w:rsidR="00C46CCB" w:rsidRDefault="00C46CCB" w:rsidP="00C96521">
                              <w:pPr>
                                <w:jc w:val="center"/>
                                <w:rPr>
                                  <w:rFonts w:cs="Arial"/>
                                  <w:color w:val="000000"/>
                                  <w:szCs w:val="18"/>
                                </w:rPr>
                              </w:pPr>
                              <w:r>
                                <w:rPr>
                                  <w:rFonts w:cs="Arial"/>
                                  <w:color w:val="000000"/>
                                  <w:szCs w:val="18"/>
                                </w:rPr>
                                <w:t>P2</w:t>
                              </w:r>
                            </w:p>
                          </w:txbxContent>
                        </wps:txbx>
                        <wps:bodyPr rot="0" vert="horz" wrap="square" lIns="91440" tIns="45720" rIns="91440" bIns="45720" anchor="t" anchorCtr="0" upright="1">
                          <a:noAutofit/>
                        </wps:bodyPr>
                      </wps:wsp>
                      <wps:wsp>
                        <wps:cNvPr id="78" name="Text Box 153"/>
                        <wps:cNvSpPr txBox="1">
                          <a:spLocks noChangeArrowheads="1"/>
                        </wps:cNvSpPr>
                        <wps:spPr bwMode="auto">
                          <a:xfrm>
                            <a:off x="2087563" y="4529138"/>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581A5D37" w14:textId="77777777" w:rsidR="00C46CCB" w:rsidRDefault="00C46CCB" w:rsidP="00C96521">
                              <w:pPr>
                                <w:jc w:val="center"/>
                                <w:rPr>
                                  <w:rFonts w:cs="Arial"/>
                                  <w:color w:val="000000"/>
                                  <w:szCs w:val="18"/>
                                </w:rPr>
                              </w:pPr>
                              <w:r>
                                <w:rPr>
                                  <w:rFonts w:cs="Arial"/>
                                  <w:color w:val="000000"/>
                                  <w:szCs w:val="18"/>
                                </w:rPr>
                                <w:t>P3</w:t>
                              </w:r>
                            </w:p>
                          </w:txbxContent>
                        </wps:txbx>
                        <wps:bodyPr rot="0" vert="horz" wrap="square" lIns="91440" tIns="45720" rIns="91440" bIns="45720" anchor="t" anchorCtr="0" upright="1">
                          <a:noAutofit/>
                        </wps:bodyPr>
                      </wps:wsp>
                      <wps:wsp>
                        <wps:cNvPr id="79" name="Text Box 154"/>
                        <wps:cNvSpPr txBox="1">
                          <a:spLocks noChangeArrowheads="1"/>
                        </wps:cNvSpPr>
                        <wps:spPr bwMode="auto">
                          <a:xfrm>
                            <a:off x="2711450" y="4525963"/>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0676F02F" w14:textId="77777777" w:rsidR="00C46CCB" w:rsidRDefault="00C46CCB" w:rsidP="00C96521">
                              <w:pPr>
                                <w:jc w:val="center"/>
                                <w:rPr>
                                  <w:rFonts w:cs="Arial"/>
                                  <w:color w:val="000000"/>
                                  <w:szCs w:val="18"/>
                                </w:rPr>
                              </w:pPr>
                              <w:r>
                                <w:rPr>
                                  <w:rFonts w:cs="Arial"/>
                                  <w:color w:val="000000"/>
                                  <w:szCs w:val="18"/>
                                </w:rPr>
                                <w:t>P4</w:t>
                              </w:r>
                            </w:p>
                          </w:txbxContent>
                        </wps:txbx>
                        <wps:bodyPr rot="0" vert="horz" wrap="square" lIns="91440" tIns="45720" rIns="91440" bIns="45720" anchor="t" anchorCtr="0" upright="1">
                          <a:noAutofit/>
                        </wps:bodyPr>
                      </wps:wsp>
                      <wps:wsp>
                        <wps:cNvPr id="80" name="Text Box 155"/>
                        <wps:cNvSpPr txBox="1">
                          <a:spLocks noChangeArrowheads="1"/>
                        </wps:cNvSpPr>
                        <wps:spPr bwMode="auto">
                          <a:xfrm>
                            <a:off x="3332163" y="4525963"/>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BE8EF74" w14:textId="77777777" w:rsidR="00C46CCB" w:rsidRDefault="00C46CCB" w:rsidP="00C96521">
                              <w:pPr>
                                <w:jc w:val="center"/>
                                <w:rPr>
                                  <w:rFonts w:cs="Arial"/>
                                  <w:color w:val="000000"/>
                                  <w:szCs w:val="18"/>
                                </w:rPr>
                              </w:pPr>
                              <w:r>
                                <w:rPr>
                                  <w:rFonts w:cs="Arial"/>
                                  <w:color w:val="000000"/>
                                  <w:szCs w:val="18"/>
                                </w:rPr>
                                <w:t>P5</w:t>
                              </w:r>
                            </w:p>
                          </w:txbxContent>
                        </wps:txbx>
                        <wps:bodyPr rot="0" vert="horz" wrap="square" lIns="91440" tIns="45720" rIns="91440" bIns="45720" anchor="t" anchorCtr="0" upright="1">
                          <a:noAutofit/>
                        </wps:bodyPr>
                      </wps:wsp>
                      <wps:wsp>
                        <wps:cNvPr id="81" name="Text Box 156"/>
                        <wps:cNvSpPr txBox="1">
                          <a:spLocks noChangeArrowheads="1"/>
                        </wps:cNvSpPr>
                        <wps:spPr bwMode="auto">
                          <a:xfrm>
                            <a:off x="3946525" y="4522788"/>
                            <a:ext cx="374650" cy="238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5236E758" w14:textId="77777777" w:rsidR="00C46CCB" w:rsidRDefault="00C46CCB" w:rsidP="00C96521">
                              <w:pPr>
                                <w:jc w:val="center"/>
                                <w:rPr>
                                  <w:rFonts w:cs="Arial"/>
                                  <w:color w:val="000000"/>
                                  <w:szCs w:val="18"/>
                                </w:rPr>
                              </w:pPr>
                              <w:r>
                                <w:rPr>
                                  <w:rFonts w:cs="Arial"/>
                                  <w:color w:val="000000"/>
                                  <w:szCs w:val="18"/>
                                </w:rPr>
                                <w:t>P6</w:t>
                              </w:r>
                            </w:p>
                          </w:txbxContent>
                        </wps:txbx>
                        <wps:bodyPr rot="0" vert="horz" wrap="square" lIns="91440" tIns="45720" rIns="91440" bIns="45720" anchor="t" anchorCtr="0" upright="1">
                          <a:noAutofit/>
                        </wps:bodyPr>
                      </wps:wsp>
                      <wps:wsp>
                        <wps:cNvPr id="82" name="Line 157"/>
                        <wps:cNvCnPr>
                          <a:cxnSpLocks noChangeShapeType="1"/>
                        </wps:cNvCnPr>
                        <wps:spPr bwMode="auto">
                          <a:xfrm>
                            <a:off x="1046163" y="4210050"/>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Line 158"/>
                        <wps:cNvCnPr>
                          <a:cxnSpLocks noChangeShapeType="1"/>
                        </wps:cNvCnPr>
                        <wps:spPr bwMode="auto">
                          <a:xfrm>
                            <a:off x="1708150" y="4217988"/>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Line 159"/>
                        <wps:cNvCnPr>
                          <a:cxnSpLocks noChangeShapeType="1"/>
                        </wps:cNvCnPr>
                        <wps:spPr bwMode="auto">
                          <a:xfrm>
                            <a:off x="2284413" y="4219575"/>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Line 160"/>
                        <wps:cNvCnPr>
                          <a:cxnSpLocks noChangeShapeType="1"/>
                        </wps:cNvCnPr>
                        <wps:spPr bwMode="auto">
                          <a:xfrm>
                            <a:off x="2924175" y="4217988"/>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Line 161"/>
                        <wps:cNvCnPr>
                          <a:cxnSpLocks noChangeShapeType="1"/>
                        </wps:cNvCnPr>
                        <wps:spPr bwMode="auto">
                          <a:xfrm>
                            <a:off x="3529013" y="4210050"/>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Line 162"/>
                        <wps:cNvCnPr>
                          <a:cxnSpLocks noChangeShapeType="1"/>
                        </wps:cNvCnPr>
                        <wps:spPr bwMode="auto">
                          <a:xfrm>
                            <a:off x="4157663" y="4210050"/>
                            <a:ext cx="0" cy="252413"/>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9916F28" id="Canvas 102" o:spid="_x0000_s1028" editas="canvas" style="position:absolute;left:0;text-align:left;margin-left:18pt;margin-top:6.4pt;width:405pt;height:385.5pt;z-index:251660800" coordsize="51435,48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">
                <v:shape id="_x0000_s1029" type="#_x0000_t75" style="position:absolute;width:51435;height:48958;visibility:visible;mso-wrap-style:square">
                  <v:fill o:detectmouseclick="t"/>
                  <v:path o:connecttype="none"/>
                </v:shape>
                <v:rect id="Rectangle 104" o:spid="_x0000_s1030" style="position:absolute;left:2492;width:48244;height:48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" fillcolor="#eaeaea"/>
                <v:rect id="Rectangle 105" o:spid="_x0000_s1031" style="position:absolute;left:21193;top:714;width:28114;height:19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"/>
                <v:shape id="Text Box 106" o:spid="_x0000_s1032" type="#_x0000_t202" style="position:absolute;left:19050;top:1158;width:323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" filled="f" fillcolor="#bbe0e3" stroked="f">
                  <v:textbox>
                    <w:txbxContent>
                      <w:p w14:paraId="4BD9ADD6" w14:textId="77777777" w:rsidR="00C46CCB" w:rsidRPr="008D569D" w:rsidRDefault="00C46CCB" w:rsidP="00C96521">
                        <w:pPr>
                          <w:jc w:val="center"/>
                          <w:rPr>
                            <w:rFonts w:cs="Arial"/>
                            <w:b/>
                            <w:bCs/>
                            <w:color w:val="000000"/>
                            <w:szCs w:val="18"/>
                            <w:vertAlign w:val="subscript"/>
                          </w:rPr>
                        </w:pPr>
                        <w:r>
                          <w:rPr>
                            <w:rFonts w:cs="Arial"/>
                            <w:b/>
                            <w:bCs/>
                            <w:color w:val="000000"/>
                            <w:szCs w:val="18"/>
                          </w:rPr>
                          <w:t xml:space="preserve">Step 2: post breeding </w:t>
                        </w:r>
                        <w:r w:rsidRPr="008D569D">
                          <w:rPr>
                            <w:rFonts w:cs="Arial"/>
                            <w:b/>
                            <w:bCs/>
                            <w:color w:val="000000"/>
                            <w:szCs w:val="18"/>
                          </w:rPr>
                          <w:t>population size in 2016</w:t>
                        </w:r>
                      </w:p>
                    </w:txbxContent>
                  </v:textbox>
                </v:shape>
                <v:rect id="Rectangle 107" o:spid="_x0000_s1033" style="position:absolute;left:7064;top:20685;width:38878;height:27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"/>
                <v:rect id="Rectangle 108" o:spid="_x0000_s1034" style="position:absolute;left:3413;top:714;width:17335;height:19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"/>
                <v:shape id="Text Box 109" o:spid="_x0000_s1035" type="#_x0000_t202" style="position:absolute;top:1397;width:2303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8EEBBE3" w14:textId="77777777" w:rsidR="00C46CCB" w:rsidRDefault="00C46CCB" w:rsidP="00C96521">
                        <w:pPr>
                          <w:jc w:val="center"/>
                          <w:rPr>
                            <w:rFonts w:cs="Arial"/>
                            <w:b/>
                            <w:bCs/>
                            <w:color w:val="000000"/>
                            <w:szCs w:val="18"/>
                            <w:vertAlign w:val="subscript"/>
                          </w:rPr>
                        </w:pPr>
                        <w:r>
                          <w:rPr>
                            <w:rFonts w:cs="Arial"/>
                            <w:b/>
                            <w:bCs/>
                            <w:color w:val="000000"/>
                            <w:szCs w:val="18"/>
                          </w:rPr>
                          <w:t xml:space="preserve">Step 1: </w:t>
                        </w:r>
                        <w:r>
                          <w:rPr>
                            <w:rFonts w:cs="Arial"/>
                            <w:b/>
                            <w:bCs/>
                            <w:color w:val="000000"/>
                            <w:szCs w:val="18"/>
                            <w:lang w:val="el-GR"/>
                          </w:rPr>
                          <w:t>λ</w:t>
                        </w:r>
                        <w:r>
                          <w:rPr>
                            <w:rFonts w:cs="Arial"/>
                            <w:b/>
                            <w:bCs/>
                            <w:color w:val="000000"/>
                            <w:szCs w:val="18"/>
                            <w:vertAlign w:val="subscript"/>
                          </w:rPr>
                          <w:t>max</w:t>
                        </w:r>
                      </w:p>
                    </w:txbxContent>
                  </v:textbox>
                </v:shape>
                <v:shape id="Text Box 110" o:spid="_x0000_s1036" type="#_x0000_t202" style="position:absolute;left:8969;top:20875;width:3384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" filled="f" fillcolor="#bbe0e3" stroked="f">
                  <v:textbox>
                    <w:txbxContent>
                      <w:p w14:paraId="79AAE8CD" w14:textId="77777777" w:rsidR="00C46CCB" w:rsidRDefault="00C46CCB" w:rsidP="00C96521">
                        <w:pPr>
                          <w:jc w:val="center"/>
                          <w:rPr>
                            <w:rFonts w:cs="Arial"/>
                            <w:b/>
                            <w:bCs/>
                            <w:color w:val="000000"/>
                            <w:szCs w:val="18"/>
                            <w:vertAlign w:val="subscript"/>
                          </w:rPr>
                        </w:pPr>
                        <w:r>
                          <w:rPr>
                            <w:rFonts w:cs="Arial"/>
                            <w:b/>
                            <w:bCs/>
                            <w:color w:val="000000"/>
                            <w:szCs w:val="18"/>
                          </w:rPr>
                          <w:t>Step 3: estimation of P</w:t>
                        </w:r>
                      </w:p>
                    </w:txbxContent>
                  </v:textbox>
                </v:shape>
                <v:shape id="Text Box 111" o:spid="_x0000_s1037" type="#_x0000_t202" style="position:absolute;left:4270;top:4159;width:469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" filled="f" fillcolor="#bbe0e3">
                  <v:textbox>
                    <w:txbxContent>
                      <w:p w14:paraId="2CB1EBB2" w14:textId="77777777" w:rsidR="00C46CCB" w:rsidRDefault="00C46CCB" w:rsidP="00C96521">
                        <w:pPr>
                          <w:jc w:val="center"/>
                          <w:rPr>
                            <w:rFonts w:cs="Arial"/>
                            <w:color w:val="000000"/>
                            <w:szCs w:val="18"/>
                          </w:rPr>
                        </w:pPr>
                        <w:r>
                          <w:rPr>
                            <w:rFonts w:cs="Arial"/>
                            <w:color w:val="000000"/>
                            <w:szCs w:val="18"/>
                          </w:rPr>
                          <w:t>So1</w:t>
                        </w:r>
                      </w:p>
                    </w:txbxContent>
                  </v:textbox>
                </v:shape>
                <v:shape id="Text Box 112" o:spid="_x0000_s1038" type="#_x0000_t202" style="position:absolute;left:9699;top:4159;width:469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" filled="f" fillcolor="#bbe0e3">
                  <v:textbox>
                    <w:txbxContent>
                      <w:p w14:paraId="40ABE2CE" w14:textId="77777777" w:rsidR="00C46CCB" w:rsidRDefault="00C46CCB" w:rsidP="00C96521">
                        <w:pPr>
                          <w:jc w:val="center"/>
                          <w:rPr>
                            <w:rFonts w:cs="Arial"/>
                            <w:color w:val="000000"/>
                            <w:szCs w:val="18"/>
                          </w:rPr>
                        </w:pPr>
                        <w:r>
                          <w:rPr>
                            <w:rFonts w:cs="Arial"/>
                            <w:color w:val="000000"/>
                            <w:szCs w:val="18"/>
                          </w:rPr>
                          <w:t>So2</w:t>
                        </w:r>
                      </w:p>
                    </w:txbxContent>
                  </v:textbox>
                </v:shape>
                <v:shape id="Text Box 113" o:spid="_x0000_s1039" type="#_x0000_t202" style="position:absolute;left:14922;top:4143;width:469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" filled="f" fillcolor="#bbe0e3">
                  <v:textbox>
                    <w:txbxContent>
                      <w:p w14:paraId="1D28DC31" w14:textId="77777777" w:rsidR="00C46CCB" w:rsidRDefault="00C46CCB" w:rsidP="00C96521">
                        <w:pPr>
                          <w:jc w:val="center"/>
                          <w:rPr>
                            <w:rFonts w:cs="Arial"/>
                            <w:color w:val="000000"/>
                            <w:szCs w:val="18"/>
                          </w:rPr>
                        </w:pPr>
                        <w:r>
                          <w:rPr>
                            <w:rFonts w:cs="Arial"/>
                            <w:color w:val="000000"/>
                            <w:szCs w:val="18"/>
                          </w:rPr>
                          <w:t>So3</w:t>
                        </w:r>
                      </w:p>
                    </w:txbxContent>
                  </v:textbox>
                </v:shape>
                <v:shape id="Text Box 114" o:spid="_x0000_s1040" type="#_x0000_t202" style="position:absolute;left:4651;top:9874;width:1406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" filled="f" fillcolor="#bbe0e3">
                  <v:textbox>
                    <w:txbxContent>
                      <w:p w14:paraId="43941818" w14:textId="77777777" w:rsidR="00C46CCB" w:rsidRDefault="00C46CCB" w:rsidP="00C96521">
                        <w:pPr>
                          <w:jc w:val="center"/>
                          <w:rPr>
                            <w:rFonts w:cs="Arial"/>
                            <w:color w:val="000000"/>
                            <w:szCs w:val="18"/>
                          </w:rPr>
                        </w:pPr>
                        <w:r>
                          <w:rPr>
                            <w:rFonts w:cs="Arial"/>
                            <w:color w:val="000000"/>
                            <w:szCs w:val="18"/>
                          </w:rPr>
                          <w:t>a</w:t>
                        </w:r>
                      </w:p>
                    </w:txbxContent>
                  </v:textbox>
                </v:shape>
                <v:shape id="Text Box 115" o:spid="_x0000_s1041" type="#_x0000_t202" style="position:absolute;left:4556;top:15890;width:4572;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" filled="f" fillcolor="#bbe0e3">
                  <v:textbox>
                    <w:txbxContent>
                      <w:p w14:paraId="236D37D2"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max1</w:t>
                        </w:r>
                      </w:p>
                    </w:txbxContent>
                  </v:textbox>
                </v:shape>
                <v:shape id="Text Box 116" o:spid="_x0000_s1042" type="#_x0000_t202" style="position:absolute;left:9794;top:15843;width:457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" filled="f" fillcolor="#bbe0e3">
                  <v:textbox>
                    <w:txbxContent>
                      <w:p w14:paraId="30034ABB"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max2</w:t>
                        </w:r>
                      </w:p>
                    </w:txbxContent>
                  </v:textbox>
                </v:shape>
                <v:shape id="Text Box 117" o:spid="_x0000_s1043" type="#_x0000_t202" style="position:absolute;left:14986;top:15890;width:4572;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" filled="f" fillcolor="#bbe0e3">
                  <v:textbox>
                    <w:txbxContent>
                      <w:p w14:paraId="0956C0CD"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max3</w:t>
                        </w:r>
                      </w:p>
                    </w:txbxContent>
                  </v:textbox>
                </v:shape>
                <v:shape id="Text Box 118" o:spid="_x0000_s1044" type="#_x0000_t202" style="position:absolute;left:22637;top:4095;width:24480;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" filled="f" fillcolor="#bbe0e3">
                  <v:textbox>
                    <w:txbxContent>
                      <w:p w14:paraId="602F3C48" w14:textId="77777777" w:rsidR="00C46CCB" w:rsidRDefault="00C46CCB" w:rsidP="00C96521">
                        <w:pPr>
                          <w:jc w:val="center"/>
                          <w:rPr>
                            <w:rFonts w:cs="Arial"/>
                            <w:color w:val="000000"/>
                            <w:szCs w:val="18"/>
                          </w:rPr>
                        </w:pPr>
                        <w:r>
                          <w:rPr>
                            <w:rFonts w:cs="Arial"/>
                            <w:color w:val="000000"/>
                            <w:szCs w:val="18"/>
                          </w:rPr>
                          <w:t>N pre-breeding (N)</w:t>
                        </w:r>
                      </w:p>
                    </w:txbxContent>
                  </v:textbox>
                </v:shape>
                <v:shape id="Text Box 119" o:spid="_x0000_s1045" type="#_x0000_t202" style="position:absolute;left:24066;top:9985;width:10811;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" filled="f" fillcolor="#bbe0e3">
                  <v:textbox>
                    <w:txbxContent>
                      <w:p w14:paraId="0F287EC2" w14:textId="77777777" w:rsidR="00C46CCB" w:rsidRDefault="00C46CCB" w:rsidP="00C96521">
                        <w:pPr>
                          <w:rPr>
                            <w:rFonts w:cs="Arial"/>
                            <w:color w:val="000000"/>
                            <w:szCs w:val="18"/>
                            <w:vertAlign w:val="subscript"/>
                          </w:rPr>
                        </w:pPr>
                        <w:r>
                          <w:rPr>
                            <w:rFonts w:cs="Arial"/>
                            <w:color w:val="000000"/>
                            <w:szCs w:val="18"/>
                          </w:rPr>
                          <w:t>Productivity1</w:t>
                        </w:r>
                      </w:p>
                    </w:txbxContent>
                  </v:textbox>
                </v:shape>
                <v:shape id="Text Box 120" o:spid="_x0000_s1046" type="#_x0000_t202" style="position:absolute;left:36322;top:9937;width:10795;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" filled="f" fillcolor="#bbe0e3">
                  <v:textbox>
                    <w:txbxContent>
                      <w:p w14:paraId="1F93A1D5" w14:textId="77777777" w:rsidR="00C46CCB" w:rsidRDefault="00C46CCB" w:rsidP="00C96521">
                        <w:pPr>
                          <w:rPr>
                            <w:rFonts w:cs="Arial"/>
                            <w:color w:val="000000"/>
                            <w:szCs w:val="18"/>
                            <w:vertAlign w:val="subscript"/>
                          </w:rPr>
                        </w:pPr>
                        <w:r>
                          <w:rPr>
                            <w:rFonts w:cs="Arial"/>
                            <w:color w:val="000000"/>
                            <w:szCs w:val="18"/>
                          </w:rPr>
                          <w:t>Productivity2</w:t>
                        </w:r>
                      </w:p>
                    </w:txbxContent>
                  </v:textbox>
                </v:shape>
                <v:shape id="Text Box 121" o:spid="_x0000_s1047" type="#_x0000_t202" style="position:absolute;left:21907;top:16176;width:1285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" filled="f" fillcolor="#bbe0e3">
                  <v:textbox>
                    <w:txbxContent>
                      <w:p w14:paraId="7DB43B8C" w14:textId="77777777" w:rsidR="00C46CCB" w:rsidRDefault="00C46CCB" w:rsidP="00C96521">
                        <w:pPr>
                          <w:jc w:val="center"/>
                          <w:rPr>
                            <w:rFonts w:cs="Arial"/>
                            <w:color w:val="000000"/>
                            <w:szCs w:val="18"/>
                            <w:vertAlign w:val="subscript"/>
                          </w:rPr>
                        </w:pPr>
                        <w:r>
                          <w:rPr>
                            <w:rFonts w:cs="Arial"/>
                            <w:color w:val="000000"/>
                            <w:szCs w:val="18"/>
                          </w:rPr>
                          <w:t>N post-breeding (N1)</w:t>
                        </w:r>
                      </w:p>
                    </w:txbxContent>
                  </v:textbox>
                </v:shape>
                <v:shape id="Text Box 122" o:spid="_x0000_s1048" type="#_x0000_t202" style="position:absolute;left:35369;top:16129;width:1319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" filled="f" fillcolor="#bbe0e3">
                  <v:textbox>
                    <w:txbxContent>
                      <w:p w14:paraId="065D5B88" w14:textId="77777777" w:rsidR="00C46CCB" w:rsidRDefault="00C46CCB" w:rsidP="00C96521">
                        <w:pPr>
                          <w:jc w:val="center"/>
                          <w:rPr>
                            <w:rFonts w:cs="Arial"/>
                            <w:color w:val="000000"/>
                            <w:szCs w:val="18"/>
                            <w:vertAlign w:val="subscript"/>
                          </w:rPr>
                        </w:pPr>
                        <w:r>
                          <w:rPr>
                            <w:rFonts w:cs="Arial"/>
                            <w:color w:val="000000"/>
                            <w:szCs w:val="18"/>
                          </w:rPr>
                          <w:t>N post-breeding (N2)</w:t>
                        </w:r>
                      </w:p>
                    </w:txbxContent>
                  </v:textbox>
                </v:shape>
                <v:shape id="Text Box 123" o:spid="_x0000_s1049" type="#_x0000_t202" style="position:absolute;left:13382;top:23193;width:24479;height:8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" filled="f" fillcolor="#bbe0e3">
                  <v:textbox>
                    <w:txbxContent>
                      <w:p w14:paraId="468D12A6" w14:textId="77777777" w:rsidR="00C46CCB" w:rsidRDefault="00C46CCB" w:rsidP="00C96521">
                        <w:pPr>
                          <w:jc w:val="center"/>
                          <w:rPr>
                            <w:rFonts w:cs="Arial"/>
                            <w:color w:val="000000"/>
                            <w:szCs w:val="18"/>
                          </w:rPr>
                        </w:pPr>
                        <w:r>
                          <w:rPr>
                            <w:rFonts w:cs="Arial"/>
                            <w:color w:val="000000"/>
                            <w:szCs w:val="18"/>
                          </w:rPr>
                          <w:t>B</w:t>
                        </w:r>
                      </w:p>
                      <w:p w14:paraId="2D114485" w14:textId="77777777" w:rsidR="00C46CCB" w:rsidRDefault="00C46CCB" w:rsidP="00C96521">
                        <w:pPr>
                          <w:jc w:val="center"/>
                          <w:rPr>
                            <w:rFonts w:cs="Arial"/>
                            <w:color w:val="000000"/>
                            <w:szCs w:val="18"/>
                          </w:rPr>
                        </w:pPr>
                      </w:p>
                      <w:p w14:paraId="0A7E7078" w14:textId="77777777" w:rsidR="00C46CCB" w:rsidRDefault="00C46CCB" w:rsidP="00C96521">
                        <w:pPr>
                          <w:jc w:val="center"/>
                          <w:rPr>
                            <w:rFonts w:cs="Arial"/>
                            <w:color w:val="000000"/>
                            <w:szCs w:val="18"/>
                          </w:rPr>
                        </w:pPr>
                      </w:p>
                      <w:p w14:paraId="2FAD7061" w14:textId="77777777" w:rsidR="00C46CCB" w:rsidRDefault="00C46CCB" w:rsidP="00C96521">
                        <w:pPr>
                          <w:jc w:val="center"/>
                          <w:rPr>
                            <w:rFonts w:cs="Arial"/>
                            <w:color w:val="000000"/>
                            <w:szCs w:val="18"/>
                          </w:rPr>
                        </w:pPr>
                      </w:p>
                    </w:txbxContent>
                  </v:textbox>
                </v:shape>
                <v:line id="Line 124" o:spid="_x0000_s1050" style="position:absolute;visibility:visible;mso-wrap-style:square" from="6810,7159" to="6810,9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" strokeweight="1.25pt">
                  <v:stroke endarrow="block"/>
                </v:line>
                <v:line id="Line 125" o:spid="_x0000_s1051" style="position:absolute;visibility:visible;mso-wrap-style:square" from="11509,7191" to="11509,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" strokeweight="1.25pt">
                  <v:stroke endarrow="block"/>
                </v:line>
                <v:line id="Line 126" o:spid="_x0000_s1052" style="position:absolute;visibility:visible;mso-wrap-style:square" from="16891,7159" to="16891,9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" strokeweight="1.25pt">
                  <v:stroke endarrow="block"/>
                </v:line>
                <v:shape id="Text Box 127" o:spid="_x0000_s1053" type="#_x0000_t202" style="position:absolute;left:13906;top:29479;width:576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" filled="f" fillcolor="#bbe0e3" stroked="f">
                  <v:textbox>
                    <w:txbxContent>
                      <w:p w14:paraId="2BBD0957"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max1</w:t>
                        </w:r>
                      </w:p>
                    </w:txbxContent>
                  </v:textbox>
                </v:shape>
                <v:shape id="Text Box 128" o:spid="_x0000_s1054" type="#_x0000_t202" style="position:absolute;left:23590;top:29432;width:57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" filled="f" fillcolor="#bbe0e3" stroked="f">
                  <v:textbox>
                    <w:txbxContent>
                      <w:p w14:paraId="0E1C08C1"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max2</w:t>
                        </w:r>
                      </w:p>
                    </w:txbxContent>
                  </v:textbox>
                </v:shape>
                <v:shape id="Text Box 129" o:spid="_x0000_s1055" type="#_x0000_t202" style="position:absolute;left:32829;top:29432;width:576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" filled="f" fillcolor="#bbe0e3" stroked="f">
                  <v:textbox>
                    <w:txbxContent>
                      <w:p w14:paraId="648885CA" w14:textId="77777777" w:rsidR="00C46CCB" w:rsidRDefault="00C46CCB" w:rsidP="00C96521">
                        <w:pPr>
                          <w:rPr>
                            <w:rFonts w:cs="Arial"/>
                            <w:color w:val="000000"/>
                            <w:szCs w:val="18"/>
                            <w:vertAlign w:val="subscript"/>
                          </w:rPr>
                        </w:pPr>
                        <w:r>
                          <w:rPr>
                            <w:rFonts w:cs="Arial"/>
                            <w:color w:val="000000"/>
                            <w:szCs w:val="18"/>
                            <w:lang w:val="el-GR"/>
                          </w:rPr>
                          <w:t>λ</w:t>
                        </w:r>
                        <w:r>
                          <w:rPr>
                            <w:rFonts w:cs="Arial"/>
                            <w:color w:val="000000"/>
                            <w:szCs w:val="18"/>
                            <w:vertAlign w:val="subscript"/>
                          </w:rPr>
                          <w:t>max3</w:t>
                        </w:r>
                      </w:p>
                    </w:txbxContent>
                  </v:textbox>
                </v:shape>
                <v:shape id="Text Box 130" o:spid="_x0000_s1056" type="#_x0000_t202" style="position:absolute;left:39004;top:37893;width:5938;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" filled="f" fillcolor="#bbe0e3">
                  <v:textbox>
                    <w:txbxContent>
                      <w:p w14:paraId="648180A1"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max3</w:t>
                        </w:r>
                      </w:p>
                    </w:txbxContent>
                  </v:textbox>
                </v:shape>
                <v:shapetype id="_x0000_t32" coordsize="21600,21600" o:spt="32" o:oned="t" path="m,l21600,21600e" filled="f">
                  <v:path arrowok="t" fillok="f" o:connecttype="none"/>
                  <o:lock v:ext="edit" shapetype="t"/>
                </v:shapetype>
                <v:shape id="AutoShape 131" o:spid="_x0000_s1057" type="#_x0000_t32" style="position:absolute;left:10914;top:31765;width:5873;height:61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">
                  <v:stroke endarrow="block"/>
                </v:shape>
                <v:shape id="AutoShape 132" o:spid="_x0000_s1058" type="#_x0000_t32" style="position:absolute;left:16748;top:31718;width:9723;height:6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">
                  <v:stroke endarrow="block"/>
                </v:shape>
                <v:shape id="AutoShape 133" o:spid="_x0000_s1059" type="#_x0000_t32" style="position:absolute;left:35710;top:31718;width:6271;height:61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">
                  <v:stroke endarrow="block"/>
                </v:shape>
                <v:line id="Line 134" o:spid="_x0000_s1060" style="position:absolute;visibility:visible;mso-wrap-style:square" from="6810,12938" to="6810,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" strokeweight="1.25pt">
                  <v:stroke endarrow="block"/>
                </v:line>
                <v:line id="Line 135" o:spid="_x0000_s1061" style="position:absolute;visibility:visible;mso-wrap-style:square" from="11509,12969" to="11509,1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" strokeweight="1.25pt">
                  <v:stroke endarrow="block"/>
                </v:line>
                <v:line id="Line 136" o:spid="_x0000_s1062" style="position:absolute;visibility:visible;mso-wrap-style:square" from="17049,12938" to="17049,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" strokeweight="1.25pt">
                  <v:stroke endarrow="block"/>
                </v:line>
                <v:line id="Line 137" o:spid="_x0000_s1063" style="position:absolute;visibility:visible;mso-wrap-style:square" from="30543,7032" to="30543,9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" strokeweight="1.25pt">
                  <v:stroke endarrow="block"/>
                </v:line>
                <v:line id="Line 138" o:spid="_x0000_s1064" style="position:absolute;visibility:visible;mso-wrap-style:square" from="39909,7000" to="3990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" strokeweight="1.25pt">
                  <v:stroke endarrow="block"/>
                </v:line>
                <v:line id="Line 139" o:spid="_x0000_s1065" style="position:absolute;visibility:visible;mso-wrap-style:square" from="30559,12985" to="30559,15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" strokeweight="1.25pt">
                  <v:stroke endarrow="block"/>
                </v:line>
                <v:line id="Line 140" o:spid="_x0000_s1066" style="position:absolute;visibility:visible;mso-wrap-style:square" from="39925,12954" to="39925,15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" strokeweight="1.25pt">
                  <v:stroke endarrow="block"/>
                </v:line>
                <v:shape id="Text Box 141" o:spid="_x0000_s1067" type="#_x0000_t202" style="position:absolute;left:20510;top:26797;width:430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" filled="f" fillcolor="#bbe0e3" stroked="f">
                  <v:textbox>
                    <w:txbxContent>
                      <w:p w14:paraId="5730900E" w14:textId="77777777" w:rsidR="00C46CCB" w:rsidRDefault="00C46CCB" w:rsidP="00C96521">
                        <w:pPr>
                          <w:rPr>
                            <w:rFonts w:cs="Arial"/>
                            <w:color w:val="000000"/>
                            <w:szCs w:val="18"/>
                          </w:rPr>
                        </w:pPr>
                        <w:r>
                          <w:rPr>
                            <w:rFonts w:cs="Arial"/>
                            <w:color w:val="000000"/>
                            <w:szCs w:val="18"/>
                          </w:rPr>
                          <w:t>N1</w:t>
                        </w:r>
                      </w:p>
                    </w:txbxContent>
                  </v:textbox>
                </v:shape>
                <v:shape id="Text Box 142" o:spid="_x0000_s1068" type="#_x0000_t202" style="position:absolute;left:28416;top:26749;width:431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7D1354AE" w14:textId="77777777" w:rsidR="00C46CCB" w:rsidRDefault="00C46CCB" w:rsidP="00C96521">
                        <w:pPr>
                          <w:rPr>
                            <w:rFonts w:cs="Arial"/>
                            <w:color w:val="000000"/>
                            <w:szCs w:val="18"/>
                          </w:rPr>
                        </w:pPr>
                        <w:r>
                          <w:rPr>
                            <w:rFonts w:cs="Arial"/>
                            <w:color w:val="000000"/>
                            <w:szCs w:val="18"/>
                          </w:rPr>
                          <w:t>N2</w:t>
                        </w:r>
                      </w:p>
                    </w:txbxContent>
                  </v:textbox>
                </v:shape>
                <v:shape id="Text Box 143" o:spid="_x0000_s1069" type="#_x0000_t202" style="position:absolute;left:32607;top:37925;width:5937;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" filled="f" fillcolor="#bbe0e3">
                  <v:textbox>
                    <w:txbxContent>
                      <w:p w14:paraId="69A4911E"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max2</w:t>
                        </w:r>
                      </w:p>
                    </w:txbxContent>
                  </v:textbox>
                </v:shape>
                <v:shape id="Text Box 144" o:spid="_x0000_s1070" type="#_x0000_t202" style="position:absolute;left:26257;top:37925;width:5937;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" filled="f" fillcolor="#bbe0e3">
                  <v:textbox>
                    <w:txbxContent>
                      <w:p w14:paraId="69601A1E" w14:textId="77777777" w:rsidR="00C46CCB" w:rsidRDefault="00C46CCB" w:rsidP="00C96521">
                        <w:pPr>
                          <w:jc w:val="center"/>
                          <w:rPr>
                            <w:rFonts w:cs="Arial"/>
                            <w:color w:val="000000"/>
                            <w:szCs w:val="18"/>
                          </w:rPr>
                        </w:pPr>
                        <w:r>
                          <w:rPr>
                            <w:rFonts w:cs="Arial"/>
                            <w:color w:val="000000"/>
                            <w:szCs w:val="18"/>
                          </w:rPr>
                          <w:t xml:space="preserve">N2; </w:t>
                        </w:r>
                        <w:r>
                          <w:rPr>
                            <w:rFonts w:cs="Arial"/>
                            <w:color w:val="000000"/>
                            <w:szCs w:val="18"/>
                            <w:lang w:val="el-GR"/>
                          </w:rPr>
                          <w:t>λ</w:t>
                        </w:r>
                        <w:r>
                          <w:rPr>
                            <w:rFonts w:cs="Arial"/>
                            <w:color w:val="000000"/>
                            <w:szCs w:val="18"/>
                          </w:rPr>
                          <w:t>max1</w:t>
                        </w:r>
                      </w:p>
                    </w:txbxContent>
                  </v:textbox>
                </v:shape>
                <v:shape id="Text Box 145" o:spid="_x0000_s1071" type="#_x0000_t202" style="position:absolute;left:8255;top:37893;width:5318;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" filled="f" fillcolor="#bbe0e3">
                  <v:textbox>
                    <w:txbxContent>
                      <w:p w14:paraId="26D6D228"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max1</w:t>
                        </w:r>
                      </w:p>
                    </w:txbxContent>
                  </v:textbox>
                </v:shape>
                <v:shape id="Text Box 146" o:spid="_x0000_s1072" type="#_x0000_t202" style="position:absolute;left:19780;top:37877;width:5318;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" filled="f" fillcolor="#bbe0e3">
                  <v:textbox>
                    <w:txbxContent>
                      <w:p w14:paraId="1A491988"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max3</w:t>
                        </w:r>
                      </w:p>
                    </w:txbxContent>
                  </v:textbox>
                </v:shape>
                <v:shape id="Text Box 147" o:spid="_x0000_s1073" type="#_x0000_t202" style="position:absolute;left:14081;top:37877;width:5318;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" filled="f" fillcolor="#bbe0e3">
                  <v:textbox>
                    <w:txbxContent>
                      <w:p w14:paraId="01653773" w14:textId="77777777" w:rsidR="00C46CCB" w:rsidRDefault="00C46CCB" w:rsidP="00C96521">
                        <w:pPr>
                          <w:jc w:val="center"/>
                          <w:rPr>
                            <w:rFonts w:cs="Arial"/>
                            <w:color w:val="000000"/>
                            <w:szCs w:val="18"/>
                          </w:rPr>
                        </w:pPr>
                        <w:r>
                          <w:rPr>
                            <w:rFonts w:cs="Arial"/>
                            <w:color w:val="000000"/>
                            <w:szCs w:val="18"/>
                          </w:rPr>
                          <w:t xml:space="preserve">N1; </w:t>
                        </w:r>
                        <w:r>
                          <w:rPr>
                            <w:rFonts w:cs="Arial"/>
                            <w:color w:val="000000"/>
                            <w:szCs w:val="18"/>
                            <w:lang w:val="el-GR"/>
                          </w:rPr>
                          <w:t>λ</w:t>
                        </w:r>
                        <w:r>
                          <w:rPr>
                            <w:rFonts w:cs="Arial"/>
                            <w:color w:val="000000"/>
                            <w:szCs w:val="18"/>
                          </w:rPr>
                          <w:t>max2</w:t>
                        </w:r>
                      </w:p>
                    </w:txbxContent>
                  </v:textbox>
                </v:shape>
                <v:shape id="AutoShape 148" o:spid="_x0000_s1074" type="#_x0000_t32" style="position:absolute;left:22439;top:31718;width:13271;height:6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">
                  <v:stroke endarrow="block"/>
                </v:shape>
                <v:shape id="AutoShape 149" o:spid="_x0000_s1075" type="#_x0000_t32" style="position:absolute;left:16787;top:31765;width:12438;height:6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50" o:spid="_x0000_s1076" type="#_x0000_t32" style="position:absolute;left:26471;top:31718;width:9104;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Text Box 151" o:spid="_x0000_s1077" type="#_x0000_t202" style="position:absolute;left:8969;top:45196;width:374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" filled="f" fillcolor="#bbe0e3">
                  <v:textbox>
                    <w:txbxContent>
                      <w:p w14:paraId="230CDD5E" w14:textId="77777777" w:rsidR="00C46CCB" w:rsidRDefault="00C46CCB" w:rsidP="00C96521">
                        <w:pPr>
                          <w:jc w:val="center"/>
                          <w:rPr>
                            <w:rFonts w:cs="Arial"/>
                            <w:color w:val="000000"/>
                            <w:szCs w:val="18"/>
                          </w:rPr>
                        </w:pPr>
                        <w:r>
                          <w:rPr>
                            <w:rFonts w:cs="Arial"/>
                            <w:color w:val="000000"/>
                            <w:szCs w:val="18"/>
                          </w:rPr>
                          <w:t>P1</w:t>
                        </w:r>
                      </w:p>
                    </w:txbxContent>
                  </v:textbox>
                </v:shape>
                <v:shape id="Text Box 152" o:spid="_x0000_s1078" type="#_x0000_t202" style="position:absolute;left:15065;top:45132;width:374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" filled="f" fillcolor="#bbe0e3">
                  <v:textbox>
                    <w:txbxContent>
                      <w:p w14:paraId="3F952788" w14:textId="77777777" w:rsidR="00C46CCB" w:rsidRDefault="00C46CCB" w:rsidP="00C96521">
                        <w:pPr>
                          <w:jc w:val="center"/>
                          <w:rPr>
                            <w:rFonts w:cs="Arial"/>
                            <w:color w:val="000000"/>
                            <w:szCs w:val="18"/>
                          </w:rPr>
                        </w:pPr>
                        <w:r>
                          <w:rPr>
                            <w:rFonts w:cs="Arial"/>
                            <w:color w:val="000000"/>
                            <w:szCs w:val="18"/>
                          </w:rPr>
                          <w:t>P2</w:t>
                        </w:r>
                      </w:p>
                    </w:txbxContent>
                  </v:textbox>
                </v:shape>
                <v:shape id="Text Box 153" o:spid="_x0000_s1079" type="#_x0000_t202" style="position:absolute;left:20875;top:45291;width:3747;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" filled="f" fillcolor="#bbe0e3">
                  <v:textbox>
                    <w:txbxContent>
                      <w:p w14:paraId="581A5D37" w14:textId="77777777" w:rsidR="00C46CCB" w:rsidRDefault="00C46CCB" w:rsidP="00C96521">
                        <w:pPr>
                          <w:jc w:val="center"/>
                          <w:rPr>
                            <w:rFonts w:cs="Arial"/>
                            <w:color w:val="000000"/>
                            <w:szCs w:val="18"/>
                          </w:rPr>
                        </w:pPr>
                        <w:r>
                          <w:rPr>
                            <w:rFonts w:cs="Arial"/>
                            <w:color w:val="000000"/>
                            <w:szCs w:val="18"/>
                          </w:rPr>
                          <w:t>P3</w:t>
                        </w:r>
                      </w:p>
                    </w:txbxContent>
                  </v:textbox>
                </v:shape>
                <v:shape id="Text Box 154" o:spid="_x0000_s1080" type="#_x0000_t202" style="position:absolute;left:27114;top:45259;width:3747;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" filled="f" fillcolor="#bbe0e3">
                  <v:textbox>
                    <w:txbxContent>
                      <w:p w14:paraId="0676F02F" w14:textId="77777777" w:rsidR="00C46CCB" w:rsidRDefault="00C46CCB" w:rsidP="00C96521">
                        <w:pPr>
                          <w:jc w:val="center"/>
                          <w:rPr>
                            <w:rFonts w:cs="Arial"/>
                            <w:color w:val="000000"/>
                            <w:szCs w:val="18"/>
                          </w:rPr>
                        </w:pPr>
                        <w:r>
                          <w:rPr>
                            <w:rFonts w:cs="Arial"/>
                            <w:color w:val="000000"/>
                            <w:szCs w:val="18"/>
                          </w:rPr>
                          <w:t>P4</w:t>
                        </w:r>
                      </w:p>
                    </w:txbxContent>
                  </v:textbox>
                </v:shape>
                <v:shape id="Text Box 155" o:spid="_x0000_s1081" type="#_x0000_t202" style="position:absolute;left:33321;top:45259;width:3747;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" filled="f" fillcolor="#bbe0e3">
                  <v:textbox>
                    <w:txbxContent>
                      <w:p w14:paraId="1BE8EF74" w14:textId="77777777" w:rsidR="00C46CCB" w:rsidRDefault="00C46CCB" w:rsidP="00C96521">
                        <w:pPr>
                          <w:jc w:val="center"/>
                          <w:rPr>
                            <w:rFonts w:cs="Arial"/>
                            <w:color w:val="000000"/>
                            <w:szCs w:val="18"/>
                          </w:rPr>
                        </w:pPr>
                        <w:r>
                          <w:rPr>
                            <w:rFonts w:cs="Arial"/>
                            <w:color w:val="000000"/>
                            <w:szCs w:val="18"/>
                          </w:rPr>
                          <w:t>P5</w:t>
                        </w:r>
                      </w:p>
                    </w:txbxContent>
                  </v:textbox>
                </v:shape>
                <v:shape id="Text Box 156" o:spid="_x0000_s1082" type="#_x0000_t202" style="position:absolute;left:39465;top:45227;width:3746;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" filled="f" fillcolor="#bbe0e3">
                  <v:textbox>
                    <w:txbxContent>
                      <w:p w14:paraId="5236E758" w14:textId="77777777" w:rsidR="00C46CCB" w:rsidRDefault="00C46CCB" w:rsidP="00C96521">
                        <w:pPr>
                          <w:jc w:val="center"/>
                          <w:rPr>
                            <w:rFonts w:cs="Arial"/>
                            <w:color w:val="000000"/>
                            <w:szCs w:val="18"/>
                          </w:rPr>
                        </w:pPr>
                        <w:r>
                          <w:rPr>
                            <w:rFonts w:cs="Arial"/>
                            <w:color w:val="000000"/>
                            <w:szCs w:val="18"/>
                          </w:rPr>
                          <w:t>P6</w:t>
                        </w:r>
                      </w:p>
                    </w:txbxContent>
                  </v:textbox>
                </v:shape>
                <v:line id="Line 157" o:spid="_x0000_s1083" style="position:absolute;visibility:visible;mso-wrap-style:square" from="10461,42100" to="10461,44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" strokeweight="1.25pt">
                  <v:stroke endarrow="block"/>
                </v:line>
                <v:line id="Line 158" o:spid="_x0000_s1084" style="position:absolute;visibility:visible;mso-wrap-style:square" from="17081,42179" to="17081,44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" strokeweight="1.25pt">
                  <v:stroke endarrow="block"/>
                </v:line>
                <v:line id="Line 159" o:spid="_x0000_s1085" style="position:absolute;visibility:visible;mso-wrap-style:square" from="22844,42195" to="22844,44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" strokeweight="1.25pt">
                  <v:stroke endarrow="block"/>
                </v:line>
                <v:line id="Line 160" o:spid="_x0000_s1086" style="position:absolute;visibility:visible;mso-wrap-style:square" from="29241,42179" to="29241,44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" strokeweight="1.25pt">
                  <v:stroke endarrow="block"/>
                </v:line>
                <v:line id="Line 161" o:spid="_x0000_s1087" style="position:absolute;visibility:visible;mso-wrap-style:square" from="35290,42100" to="35290,44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" strokeweight="1.25pt">
                  <v:stroke endarrow="block"/>
                </v:line>
                <v:line id="Line 162" o:spid="_x0000_s1088" style="position:absolute;visibility:visible;mso-wrap-style:square" from="41576,42100" to="41576,44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" strokeweight="1.25pt">
                  <v:stroke endarrow="block"/>
                </v:line>
                <w10:wrap type="square"/>
              </v:group>
            </w:pict>
          </mc:Fallback>
        </mc:AlternateContent>
      </w:r>
    </w:p>
    <w:p w14:paraId="7145A4AD" w14:textId="77777777" w:rsidR="00C96521" w:rsidRPr="00C96521" w:rsidRDefault="00C96521" w:rsidP="00C96521">
      <w:pPr>
        <w:widowControl/>
        <w:autoSpaceDE/>
        <w:autoSpaceDN/>
        <w:adjustRightInd/>
        <w:spacing w:line="276" w:lineRule="auto"/>
        <w:rPr>
          <w:rFonts w:eastAsia="MS Mincho"/>
          <w:i/>
          <w:sz w:val="20"/>
          <w:szCs w:val="20"/>
          <w:lang w:val="en-GB" w:eastAsia="ja-JP"/>
        </w:rPr>
      </w:pPr>
      <w:r w:rsidRPr="00C96521">
        <w:rPr>
          <w:rFonts w:eastAsia="MS Mincho"/>
          <w:i/>
          <w:sz w:val="20"/>
          <w:szCs w:val="20"/>
          <w:lang w:val="en-GB" w:eastAsia="ja-JP"/>
        </w:rPr>
        <w:t>Figure 19. The three steps required to estimate the Potential maximum harvestable population fraction (P). Three values are used for survival S and hence λ</w:t>
      </w:r>
      <w:r w:rsidRPr="00C96521">
        <w:rPr>
          <w:rFonts w:eastAsia="MS Mincho"/>
          <w:i/>
          <w:sz w:val="20"/>
          <w:szCs w:val="20"/>
          <w:vertAlign w:val="subscript"/>
          <w:lang w:val="en-GB" w:eastAsia="ja-JP"/>
        </w:rPr>
        <w:t>max</w:t>
      </w:r>
      <w:r w:rsidRPr="00C96521">
        <w:rPr>
          <w:rFonts w:eastAsia="MS Mincho"/>
          <w:i/>
          <w:sz w:val="20"/>
          <w:szCs w:val="20"/>
          <w:lang w:val="en-GB" w:eastAsia="ja-JP"/>
        </w:rPr>
        <w:t>, two values are used for productivity, leading to six different scenarios. Other parameters remain constant (a: age at 1</w:t>
      </w:r>
      <w:r w:rsidRPr="00C96521">
        <w:rPr>
          <w:rFonts w:eastAsia="MS Mincho"/>
          <w:i/>
          <w:sz w:val="20"/>
          <w:szCs w:val="20"/>
          <w:vertAlign w:val="superscript"/>
          <w:lang w:val="en-GB" w:eastAsia="ja-JP"/>
        </w:rPr>
        <w:t>st</w:t>
      </w:r>
      <w:r w:rsidRPr="00C96521">
        <w:rPr>
          <w:rFonts w:eastAsia="MS Mincho"/>
          <w:i/>
          <w:sz w:val="20"/>
          <w:szCs w:val="20"/>
          <w:lang w:val="en-GB" w:eastAsia="ja-JP"/>
        </w:rPr>
        <w:t xml:space="preserve"> breeding, b: correction factor).</w:t>
      </w:r>
    </w:p>
    <w:p w14:paraId="17CB7C55" w14:textId="3AC942DE" w:rsidR="00C96521" w:rsidRDefault="00C96521" w:rsidP="00C96521">
      <w:pPr>
        <w:widowControl/>
        <w:autoSpaceDE/>
        <w:autoSpaceDN/>
        <w:adjustRightInd/>
        <w:spacing w:line="276" w:lineRule="auto"/>
        <w:rPr>
          <w:rFonts w:eastAsia="MS Mincho" w:cs="Arial"/>
          <w:sz w:val="20"/>
          <w:szCs w:val="20"/>
          <w:lang w:val="en-GB" w:eastAsia="ja-JP"/>
        </w:rPr>
      </w:pPr>
    </w:p>
    <w:p w14:paraId="561714F7" w14:textId="13E997E6" w:rsidR="00CB5111" w:rsidRDefault="00CB5111" w:rsidP="00C96521">
      <w:pPr>
        <w:widowControl/>
        <w:autoSpaceDE/>
        <w:autoSpaceDN/>
        <w:adjustRightInd/>
        <w:spacing w:line="276" w:lineRule="auto"/>
        <w:rPr>
          <w:rFonts w:eastAsia="MS Mincho" w:cs="Arial"/>
          <w:sz w:val="20"/>
          <w:szCs w:val="20"/>
          <w:lang w:val="en-GB" w:eastAsia="ja-JP"/>
        </w:rPr>
      </w:pPr>
    </w:p>
    <w:p w14:paraId="037512D9" w14:textId="77777777" w:rsidR="00CB5111" w:rsidRPr="00C96521" w:rsidRDefault="00CB5111" w:rsidP="00C96521">
      <w:pPr>
        <w:widowControl/>
        <w:autoSpaceDE/>
        <w:autoSpaceDN/>
        <w:adjustRightInd/>
        <w:spacing w:line="276" w:lineRule="auto"/>
        <w:rPr>
          <w:rFonts w:eastAsia="MS Mincho" w:cs="Arial"/>
          <w:sz w:val="20"/>
          <w:szCs w:val="20"/>
          <w:lang w:val="en-GB" w:eastAsia="ja-JP"/>
        </w:rPr>
      </w:pPr>
    </w:p>
    <w:p w14:paraId="746D898A" w14:textId="734ACF88"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P1 is the potential maximum harvestable population fraction that could be performed in conditions that are the most conservative for </w:t>
      </w:r>
      <w:r w:rsidR="007910C0">
        <w:rPr>
          <w:rFonts w:eastAsia="MS Mincho"/>
          <w:sz w:val="20"/>
          <w:szCs w:val="22"/>
          <w:lang w:val="en-GB" w:eastAsia="ja-JP"/>
        </w:rPr>
        <w:t>T</w:t>
      </w:r>
      <w:r w:rsidR="007910C0" w:rsidRPr="00C96521">
        <w:rPr>
          <w:rFonts w:eastAsia="MS Mincho"/>
          <w:sz w:val="20"/>
          <w:szCs w:val="22"/>
          <w:lang w:val="en-GB" w:eastAsia="ja-JP"/>
        </w:rPr>
        <w:t>urtle</w:t>
      </w:r>
      <w:r w:rsidR="007910C0">
        <w:rPr>
          <w:rFonts w:eastAsia="MS Mincho"/>
          <w:sz w:val="20"/>
          <w:szCs w:val="22"/>
          <w:lang w:val="en-GB" w:eastAsia="ja-JP"/>
        </w:rPr>
        <w:t xml:space="preserve"> D</w:t>
      </w:r>
      <w:r w:rsidR="007910C0" w:rsidRPr="00C96521">
        <w:rPr>
          <w:rFonts w:eastAsia="MS Mincho"/>
          <w:sz w:val="20"/>
          <w:szCs w:val="22"/>
          <w:lang w:val="en-GB" w:eastAsia="ja-JP"/>
        </w:rPr>
        <w:t xml:space="preserve">ove </w:t>
      </w:r>
      <w:r w:rsidRPr="00C96521">
        <w:rPr>
          <w:rFonts w:eastAsia="MS Mincho" w:cs="Arial"/>
          <w:sz w:val="20"/>
          <w:szCs w:val="20"/>
          <w:lang w:val="en-GB" w:eastAsia="ja-JP"/>
        </w:rPr>
        <w:t>populations (lowest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post-breeding population calculated with the lowest productivity value). P6 gives the potential maximum harvestable population fraction that could be performed in conditions that are the least conservative for </w:t>
      </w:r>
      <w:r w:rsidR="007910C0">
        <w:rPr>
          <w:rFonts w:eastAsia="MS Mincho"/>
          <w:sz w:val="20"/>
          <w:szCs w:val="22"/>
          <w:lang w:val="en-GB" w:eastAsia="ja-JP"/>
        </w:rPr>
        <w:t>T</w:t>
      </w:r>
      <w:r w:rsidR="007910C0" w:rsidRPr="00C96521">
        <w:rPr>
          <w:rFonts w:eastAsia="MS Mincho"/>
          <w:sz w:val="20"/>
          <w:szCs w:val="22"/>
          <w:lang w:val="en-GB" w:eastAsia="ja-JP"/>
        </w:rPr>
        <w:t>urtle</w:t>
      </w:r>
      <w:r w:rsidR="007910C0">
        <w:rPr>
          <w:rFonts w:eastAsia="MS Mincho"/>
          <w:sz w:val="20"/>
          <w:szCs w:val="22"/>
          <w:lang w:val="en-GB" w:eastAsia="ja-JP"/>
        </w:rPr>
        <w:t xml:space="preserve"> D</w:t>
      </w:r>
      <w:r w:rsidR="007910C0" w:rsidRPr="00C96521">
        <w:rPr>
          <w:rFonts w:eastAsia="MS Mincho"/>
          <w:sz w:val="20"/>
          <w:szCs w:val="22"/>
          <w:lang w:val="en-GB" w:eastAsia="ja-JP"/>
        </w:rPr>
        <w:t xml:space="preserve">ove </w:t>
      </w:r>
      <w:r w:rsidRPr="00C96521">
        <w:rPr>
          <w:rFonts w:eastAsia="MS Mincho" w:cs="Arial"/>
          <w:sz w:val="20"/>
          <w:szCs w:val="20"/>
          <w:lang w:val="en-GB" w:eastAsia="ja-JP"/>
        </w:rPr>
        <w:t>populations (highest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post-breeding population calculated with the highest productivity value).</w:t>
      </w:r>
    </w:p>
    <w:p w14:paraId="294269F9" w14:textId="4161512B" w:rsidR="00C96521" w:rsidRDefault="00C96521" w:rsidP="00C96521">
      <w:pPr>
        <w:widowControl/>
        <w:autoSpaceDE/>
        <w:autoSpaceDN/>
        <w:adjustRightInd/>
        <w:spacing w:line="276" w:lineRule="auto"/>
        <w:rPr>
          <w:rFonts w:eastAsia="MS Mincho" w:cs="Arial"/>
          <w:b/>
          <w:sz w:val="20"/>
          <w:szCs w:val="20"/>
          <w:lang w:val="en-GB" w:eastAsia="ja-JP"/>
        </w:rPr>
      </w:pPr>
    </w:p>
    <w:p w14:paraId="4D73C127" w14:textId="77777777" w:rsidR="00CB5111" w:rsidRPr="00C96521" w:rsidRDefault="00CB5111" w:rsidP="00C96521">
      <w:pPr>
        <w:widowControl/>
        <w:autoSpaceDE/>
        <w:autoSpaceDN/>
        <w:adjustRightInd/>
        <w:spacing w:line="276" w:lineRule="auto"/>
        <w:rPr>
          <w:rFonts w:eastAsia="MS Mincho" w:cs="Arial"/>
          <w:b/>
          <w:sz w:val="20"/>
          <w:szCs w:val="20"/>
          <w:lang w:val="en-GB" w:eastAsia="ja-JP"/>
        </w:rPr>
      </w:pPr>
    </w:p>
    <w:p w14:paraId="73E82C3A" w14:textId="77777777" w:rsidR="00C96521" w:rsidRPr="00C96521" w:rsidRDefault="00C96521" w:rsidP="00C96521">
      <w:pPr>
        <w:widowControl/>
        <w:autoSpaceDE/>
        <w:autoSpaceDN/>
        <w:adjustRightInd/>
        <w:spacing w:line="276" w:lineRule="auto"/>
        <w:rPr>
          <w:rFonts w:eastAsia="MS Mincho" w:cs="Arial"/>
          <w:b/>
          <w:sz w:val="20"/>
          <w:szCs w:val="20"/>
          <w:lang w:val="en-GB" w:eastAsia="ja-JP"/>
        </w:rPr>
      </w:pPr>
      <w:r w:rsidRPr="00C96521">
        <w:rPr>
          <w:rFonts w:eastAsia="MS Mincho" w:cs="Arial"/>
          <w:b/>
          <w:sz w:val="20"/>
          <w:szCs w:val="20"/>
          <w:lang w:val="en-GB" w:eastAsia="ja-JP"/>
        </w:rPr>
        <w:t>Results</w:t>
      </w:r>
    </w:p>
    <w:p w14:paraId="2CF5A4CF"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66C056DD" w14:textId="77777777" w:rsidR="00C96521" w:rsidRPr="00C96521" w:rsidRDefault="00C96521" w:rsidP="00C96521">
      <w:pPr>
        <w:widowControl/>
        <w:autoSpaceDE/>
        <w:autoSpaceDN/>
        <w:adjustRightInd/>
        <w:spacing w:line="276" w:lineRule="auto"/>
        <w:rPr>
          <w:rFonts w:eastAsia="MS Mincho" w:cs="Arial"/>
          <w:b/>
          <w:i/>
          <w:sz w:val="20"/>
          <w:szCs w:val="20"/>
          <w:lang w:val="en-GB" w:eastAsia="ja-JP"/>
        </w:rPr>
      </w:pPr>
      <w:r w:rsidRPr="00C96521">
        <w:rPr>
          <w:rFonts w:eastAsia="MS Mincho" w:cs="Arial"/>
          <w:b/>
          <w:i/>
          <w:sz w:val="20"/>
          <w:szCs w:val="20"/>
          <w:lang w:val="en-GB" w:eastAsia="ja-JP"/>
        </w:rPr>
        <w:t>Estimates of population size from western flyway potentially targeted by hunting:</w:t>
      </w:r>
    </w:p>
    <w:p w14:paraId="7BD148EE" w14:textId="77777777" w:rsidR="00C96521" w:rsidRPr="00C96521" w:rsidRDefault="00C96521" w:rsidP="00C96521">
      <w:pPr>
        <w:widowControl/>
        <w:autoSpaceDE/>
        <w:autoSpaceDN/>
        <w:adjustRightInd/>
        <w:spacing w:line="276" w:lineRule="auto"/>
        <w:ind w:firstLine="708"/>
        <w:rPr>
          <w:rFonts w:eastAsia="MS Mincho" w:cs="Arial"/>
          <w:sz w:val="20"/>
          <w:szCs w:val="20"/>
          <w:lang w:val="en-GB" w:eastAsia="ja-JP"/>
        </w:rPr>
      </w:pPr>
    </w:p>
    <w:p w14:paraId="26E7BAD7" w14:textId="77777777" w:rsidR="00C96521" w:rsidRPr="00C96521" w:rsidRDefault="00C96521" w:rsidP="00C96521">
      <w:pPr>
        <w:widowControl/>
        <w:shd w:val="clear" w:color="auto" w:fill="E6E6E6"/>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Group 1: Italy not included in population size</w:t>
      </w:r>
    </w:p>
    <w:p w14:paraId="22F77EA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BC1CCF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Using the information in Table 7, the adult population size N in 2016 = 1,489,918-2,343,495 breeding pairs </w:t>
      </w:r>
      <w:r w:rsidRPr="00C96521">
        <w:rPr>
          <w:rFonts w:eastAsia="MS Mincho" w:cs="Arial"/>
          <w:sz w:val="20"/>
          <w:szCs w:val="20"/>
          <w:lang w:val="en-GB" w:eastAsia="ja-JP"/>
        </w:rPr>
        <w:sym w:font="Symbol" w:char="F0B4"/>
      </w:r>
      <w:r w:rsidRPr="00C96521">
        <w:rPr>
          <w:rFonts w:eastAsia="MS Mincho" w:cs="Arial"/>
          <w:sz w:val="20"/>
          <w:szCs w:val="20"/>
          <w:lang w:val="en-GB" w:eastAsia="ja-JP"/>
        </w:rPr>
        <w:t xml:space="preserve"> 2 = 2,979,836-4,686,990 birds.</w:t>
      </w:r>
    </w:p>
    <w:p w14:paraId="24E1F255" w14:textId="77777777" w:rsidR="00C96521" w:rsidRPr="00C96521" w:rsidRDefault="00C96521" w:rsidP="00C96521">
      <w:pPr>
        <w:widowControl/>
        <w:autoSpaceDE/>
        <w:autoSpaceDN/>
        <w:adjustRightInd/>
        <w:spacing w:line="276" w:lineRule="auto"/>
        <w:ind w:firstLine="708"/>
        <w:rPr>
          <w:rFonts w:eastAsia="MS Mincho" w:cs="Arial"/>
          <w:sz w:val="20"/>
          <w:szCs w:val="20"/>
          <w:lang w:val="en-GB" w:eastAsia="ja-JP"/>
        </w:rPr>
      </w:pPr>
    </w:p>
    <w:p w14:paraId="0B1A7A5A"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lastRenderedPageBreak/>
        <w:sym w:font="Wingdings" w:char="F09F"/>
      </w:r>
      <w:r w:rsidRPr="00C96521">
        <w:rPr>
          <w:rFonts w:eastAsia="MS Mincho" w:cs="Arial"/>
          <w:i/>
          <w:sz w:val="20"/>
          <w:szCs w:val="20"/>
          <w:lang w:val="en-GB" w:eastAsia="ja-JP"/>
        </w:rPr>
        <w:t xml:space="preserve"> Hypothesis 1: post-breeding population N1 (productivity rate = 1.3) </w:t>
      </w:r>
    </w:p>
    <w:p w14:paraId="11D48F83"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2924CA3"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Applying a productivity rate of 1.3 would lead to a juvenile population of 1,936,893-3,046,543.</w:t>
      </w:r>
    </w:p>
    <w:p w14:paraId="6192DDF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A59EA8D"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total population before hunting, calculated as twice the number of breeding pairs plus the number of juveniles produced = N + N1 = 4,916,729-7,733,533 birds.</w:t>
      </w:r>
    </w:p>
    <w:p w14:paraId="4688084D" w14:textId="77777777" w:rsidR="00C96521" w:rsidRPr="00C96521" w:rsidRDefault="00C96521" w:rsidP="00C96521">
      <w:pPr>
        <w:widowControl/>
        <w:autoSpaceDE/>
        <w:autoSpaceDN/>
        <w:adjustRightInd/>
        <w:spacing w:line="276" w:lineRule="auto"/>
        <w:ind w:left="1416" w:hanging="696"/>
        <w:rPr>
          <w:rFonts w:eastAsia="MS Mincho" w:cs="Arial"/>
          <w:sz w:val="20"/>
          <w:szCs w:val="20"/>
          <w:u w:val="single"/>
          <w:lang w:val="en-GB" w:eastAsia="ja-JP"/>
        </w:rPr>
      </w:pPr>
    </w:p>
    <w:p w14:paraId="6BB34D15"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2: post-breeding population N2 (productivity rate = 2.71) </w:t>
      </w:r>
    </w:p>
    <w:p w14:paraId="58A11A09" w14:textId="77777777" w:rsidR="00C96521" w:rsidRPr="00C96521" w:rsidRDefault="00C96521" w:rsidP="00C96521">
      <w:pPr>
        <w:widowControl/>
        <w:autoSpaceDE/>
        <w:autoSpaceDN/>
        <w:adjustRightInd/>
        <w:spacing w:line="276" w:lineRule="auto"/>
        <w:rPr>
          <w:rFonts w:eastAsia="MS Mincho" w:cs="Arial"/>
          <w:sz w:val="20"/>
          <w:szCs w:val="20"/>
          <w:u w:val="single"/>
          <w:lang w:val="en-GB" w:eastAsia="ja-JP"/>
        </w:rPr>
      </w:pPr>
    </w:p>
    <w:p w14:paraId="3770AB6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Applying a productivity rate of 2.71 would lead to a juvenile population of 4,037,677-6,350,871.</w:t>
      </w:r>
    </w:p>
    <w:p w14:paraId="786C69F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722A9AA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total population before hunting, calculated as twice the number of breeding pairs plus the number of juveniles produced = N + N2 = 7,017,513-11,037,861 birds.</w:t>
      </w:r>
    </w:p>
    <w:p w14:paraId="677CA64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3402E980" w14:textId="77777777" w:rsidR="00C96521" w:rsidRPr="00C96521" w:rsidRDefault="00C96521" w:rsidP="00C96521">
      <w:pPr>
        <w:widowControl/>
        <w:shd w:val="clear" w:color="auto" w:fill="E6E6E6"/>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Group 2: Italy partially included in population size</w:t>
      </w:r>
    </w:p>
    <w:p w14:paraId="6EC49D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7E7AF0D" w14:textId="749AD57E"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21</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of the Italian population in 2016 = 31,579-63,157 pairs.</w:t>
      </w:r>
    </w:p>
    <w:p w14:paraId="5E3341E3"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6F739C3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The adult population size N in 2016 = 1,521,497-2,406,652 breeding pairs </w:t>
      </w:r>
      <w:r w:rsidRPr="00C96521">
        <w:rPr>
          <w:rFonts w:eastAsia="MS Mincho" w:cs="Arial"/>
          <w:sz w:val="20"/>
          <w:szCs w:val="20"/>
          <w:lang w:val="en-GB" w:eastAsia="ja-JP"/>
        </w:rPr>
        <w:sym w:font="Symbol" w:char="F0B4"/>
      </w:r>
      <w:r w:rsidRPr="00C96521">
        <w:rPr>
          <w:rFonts w:eastAsia="MS Mincho" w:cs="Arial"/>
          <w:sz w:val="20"/>
          <w:szCs w:val="20"/>
          <w:lang w:val="en-GB" w:eastAsia="ja-JP"/>
        </w:rPr>
        <w:t xml:space="preserve"> 2 = 3,042,993-4,813,304 birds.</w:t>
      </w:r>
    </w:p>
    <w:p w14:paraId="413C183C" w14:textId="77777777" w:rsidR="00C96521" w:rsidRPr="00C96521" w:rsidRDefault="00C96521" w:rsidP="00C96521">
      <w:pPr>
        <w:widowControl/>
        <w:autoSpaceDE/>
        <w:autoSpaceDN/>
        <w:adjustRightInd/>
        <w:spacing w:line="276" w:lineRule="auto"/>
        <w:ind w:firstLine="708"/>
        <w:rPr>
          <w:rFonts w:eastAsia="MS Mincho" w:cs="Arial"/>
          <w:sz w:val="20"/>
          <w:szCs w:val="20"/>
          <w:lang w:val="en-GB" w:eastAsia="ja-JP"/>
        </w:rPr>
      </w:pPr>
    </w:p>
    <w:p w14:paraId="397A8931"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1: post-breeding population N1 (productivity rate = 1.3) </w:t>
      </w:r>
    </w:p>
    <w:p w14:paraId="2CEDFD03"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110184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Applying a productivity rate of 1.3 would lead to a juvenile population of 1,977,946-3,128,648. </w:t>
      </w:r>
    </w:p>
    <w:p w14:paraId="217F705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3105CE0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total population before hunting, calculated as twice the number of breeding pairs plus the number of juveniles produced = N + N1 = 5,020,940-7,941,952 birds.</w:t>
      </w:r>
    </w:p>
    <w:p w14:paraId="46BE28F4" w14:textId="77777777" w:rsidR="00C96521" w:rsidRPr="00C96521" w:rsidRDefault="00C96521" w:rsidP="00C96521">
      <w:pPr>
        <w:widowControl/>
        <w:autoSpaceDE/>
        <w:autoSpaceDN/>
        <w:adjustRightInd/>
        <w:spacing w:line="276" w:lineRule="auto"/>
        <w:ind w:left="1416" w:hanging="696"/>
        <w:rPr>
          <w:rFonts w:eastAsia="MS Mincho" w:cs="Arial"/>
          <w:sz w:val="20"/>
          <w:szCs w:val="20"/>
          <w:u w:val="single"/>
          <w:lang w:val="en-GB" w:eastAsia="ja-JP"/>
        </w:rPr>
      </w:pPr>
    </w:p>
    <w:p w14:paraId="0835F1E2"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2: post-breeding population N2 (productivity rate = 2.71) </w:t>
      </w:r>
    </w:p>
    <w:p w14:paraId="188D2B65" w14:textId="77777777" w:rsidR="00C96521" w:rsidRPr="00C96521" w:rsidRDefault="00C96521" w:rsidP="00C96521">
      <w:pPr>
        <w:widowControl/>
        <w:autoSpaceDE/>
        <w:autoSpaceDN/>
        <w:adjustRightInd/>
        <w:spacing w:line="276" w:lineRule="auto"/>
        <w:rPr>
          <w:rFonts w:eastAsia="MS Mincho" w:cs="Arial"/>
          <w:sz w:val="20"/>
          <w:szCs w:val="20"/>
          <w:u w:val="single"/>
          <w:lang w:val="en-GB" w:eastAsia="ja-JP"/>
        </w:rPr>
      </w:pPr>
    </w:p>
    <w:p w14:paraId="7AC66F5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Applying a productivity rate of 2.71 would lead to a juvenile population of 4,123,257-6,522,027.</w:t>
      </w:r>
    </w:p>
    <w:p w14:paraId="29A98E6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68C8072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The total population before hunting, calculated as twice the number of breeding pairs plus the number of juveniles produced =</w:t>
      </w:r>
      <w:r w:rsidRPr="00C96521">
        <w:rPr>
          <w:rFonts w:eastAsia="MS Mincho" w:cs="Arial"/>
          <w:sz w:val="20"/>
          <w:szCs w:val="20"/>
          <w:lang w:val="en-GB" w:eastAsia="ja-JP"/>
        </w:rPr>
        <w:tab/>
        <w:t>N + N2 = 7,166,251-11,335,331 birds.</w:t>
      </w:r>
    </w:p>
    <w:p w14:paraId="5CC7AD9F" w14:textId="77777777" w:rsidR="00C96521" w:rsidRPr="00C96521" w:rsidRDefault="00C96521" w:rsidP="00C96521">
      <w:pPr>
        <w:widowControl/>
        <w:autoSpaceDE/>
        <w:autoSpaceDN/>
        <w:adjustRightInd/>
        <w:spacing w:line="276" w:lineRule="auto"/>
        <w:rPr>
          <w:rFonts w:eastAsia="MS Mincho" w:cs="Arial"/>
          <w:i/>
          <w:sz w:val="20"/>
          <w:szCs w:val="20"/>
          <w:lang w:val="en-GB" w:eastAsia="ja-JP"/>
        </w:rPr>
      </w:pPr>
    </w:p>
    <w:p w14:paraId="735CA505" w14:textId="77777777" w:rsidR="00C96521" w:rsidRPr="00C96521" w:rsidRDefault="00C96521" w:rsidP="00C96521">
      <w:pPr>
        <w:widowControl/>
        <w:autoSpaceDE/>
        <w:autoSpaceDN/>
        <w:adjustRightInd/>
        <w:spacing w:line="276" w:lineRule="auto"/>
        <w:rPr>
          <w:rFonts w:eastAsia="MS Mincho" w:cs="Arial"/>
          <w:b/>
          <w:i/>
          <w:sz w:val="20"/>
          <w:szCs w:val="20"/>
          <w:lang w:val="en-GB" w:eastAsia="ja-JP"/>
        </w:rPr>
      </w:pPr>
      <w:r w:rsidRPr="00C96521">
        <w:rPr>
          <w:rFonts w:eastAsia="MS Mincho" w:cs="Arial"/>
          <w:b/>
          <w:i/>
          <w:sz w:val="20"/>
          <w:szCs w:val="20"/>
          <w:lang w:val="en-GB" w:eastAsia="ja-JP"/>
        </w:rPr>
        <w:t>Estimates of λ</w:t>
      </w:r>
      <w:r w:rsidRPr="00C96521">
        <w:rPr>
          <w:rFonts w:eastAsia="MS Mincho" w:cs="Arial"/>
          <w:b/>
          <w:i/>
          <w:sz w:val="20"/>
          <w:szCs w:val="20"/>
          <w:vertAlign w:val="subscript"/>
          <w:lang w:val="en-GB" w:eastAsia="ja-JP"/>
        </w:rPr>
        <w:t>max</w:t>
      </w:r>
    </w:p>
    <w:p w14:paraId="44339F1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B6BDD6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For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0.748, λ</w:t>
      </w:r>
      <w:r w:rsidRPr="00C96521">
        <w:rPr>
          <w:rFonts w:eastAsia="MS Mincho" w:cs="Arial"/>
          <w:sz w:val="20"/>
          <w:szCs w:val="20"/>
          <w:vertAlign w:val="subscript"/>
          <w:lang w:val="en-GB" w:eastAsia="ja-JP"/>
        </w:rPr>
        <w:t>max1</w:t>
      </w:r>
      <w:r w:rsidRPr="00C96521">
        <w:rPr>
          <w:rFonts w:eastAsia="MS Mincho" w:cs="Arial"/>
          <w:sz w:val="20"/>
          <w:szCs w:val="20"/>
          <w:lang w:val="en-GB" w:eastAsia="ja-JP"/>
        </w:rPr>
        <w:t xml:space="preserve"> = 1.79.</w:t>
      </w:r>
    </w:p>
    <w:p w14:paraId="44195EE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For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0.623, λ</w:t>
      </w:r>
      <w:r w:rsidRPr="00C96521">
        <w:rPr>
          <w:rFonts w:eastAsia="MS Mincho" w:cs="Arial"/>
          <w:sz w:val="20"/>
          <w:szCs w:val="20"/>
          <w:vertAlign w:val="subscript"/>
          <w:lang w:val="en-GB" w:eastAsia="ja-JP"/>
        </w:rPr>
        <w:t>max2</w:t>
      </w:r>
      <w:r w:rsidRPr="00C96521">
        <w:rPr>
          <w:rFonts w:eastAsia="MS Mincho" w:cs="Arial"/>
          <w:sz w:val="20"/>
          <w:szCs w:val="20"/>
          <w:lang w:val="en-GB" w:eastAsia="ja-JP"/>
        </w:rPr>
        <w:t xml:space="preserve"> = 1.98.</w:t>
      </w:r>
    </w:p>
    <w:p w14:paraId="1C5BB83D"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For </w:t>
      </w:r>
      <w:r w:rsidRPr="00C96521">
        <w:rPr>
          <w:rFonts w:eastAsia="MS Mincho" w:cs="Arial"/>
          <w:b/>
          <w:sz w:val="20"/>
          <w:szCs w:val="20"/>
          <w:lang w:val="en-GB" w:eastAsia="ja-JP"/>
        </w:rPr>
        <w:t>So</w:t>
      </w:r>
      <w:r w:rsidRPr="00C96521">
        <w:rPr>
          <w:rFonts w:eastAsia="MS Mincho" w:cs="Arial"/>
          <w:sz w:val="20"/>
          <w:szCs w:val="20"/>
          <w:lang w:val="en-GB" w:eastAsia="ja-JP"/>
        </w:rPr>
        <w:t xml:space="preserve"> = 0.593, λ</w:t>
      </w:r>
      <w:r w:rsidRPr="00C96521">
        <w:rPr>
          <w:rFonts w:eastAsia="MS Mincho" w:cs="Arial"/>
          <w:sz w:val="20"/>
          <w:szCs w:val="20"/>
          <w:vertAlign w:val="subscript"/>
          <w:lang w:val="en-GB" w:eastAsia="ja-JP"/>
        </w:rPr>
        <w:t>max3</w:t>
      </w:r>
      <w:r w:rsidRPr="00C96521">
        <w:rPr>
          <w:rFonts w:eastAsia="MS Mincho" w:cs="Arial"/>
          <w:sz w:val="20"/>
          <w:szCs w:val="20"/>
          <w:lang w:val="en-GB" w:eastAsia="ja-JP"/>
        </w:rPr>
        <w:t xml:space="preserve"> = 2.03.</w:t>
      </w:r>
    </w:p>
    <w:p w14:paraId="05B7C59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76240BFE" w14:textId="77777777" w:rsidR="00C96521" w:rsidRPr="00C96521" w:rsidRDefault="00C96521" w:rsidP="00C96521">
      <w:pPr>
        <w:widowControl/>
        <w:autoSpaceDE/>
        <w:autoSpaceDN/>
        <w:adjustRightInd/>
        <w:spacing w:line="276" w:lineRule="auto"/>
        <w:rPr>
          <w:rFonts w:eastAsia="MS Mincho" w:cs="Arial"/>
          <w:b/>
          <w:i/>
          <w:sz w:val="20"/>
          <w:szCs w:val="20"/>
          <w:lang w:val="en-GB" w:eastAsia="ja-JP"/>
        </w:rPr>
      </w:pPr>
      <w:r w:rsidRPr="00C96521">
        <w:rPr>
          <w:rFonts w:eastAsia="MS Mincho" w:cs="Arial"/>
          <w:b/>
          <w:i/>
          <w:sz w:val="20"/>
          <w:szCs w:val="20"/>
          <w:lang w:val="en-GB" w:eastAsia="ja-JP"/>
        </w:rPr>
        <w:t>Calculation of P</w:t>
      </w:r>
    </w:p>
    <w:p w14:paraId="5FECFCD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1ABCD59" w14:textId="77777777" w:rsidR="00C96521" w:rsidRPr="00C96521" w:rsidRDefault="00C96521" w:rsidP="00C96521">
      <w:pPr>
        <w:widowControl/>
        <w:shd w:val="clear" w:color="auto" w:fill="E6E6E6"/>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Group 1: Italy excluded</w:t>
      </w:r>
    </w:p>
    <w:p w14:paraId="56F186A1"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1: post-breeding population N1 (productivity rate = 1.3) </w:t>
      </w:r>
    </w:p>
    <w:p w14:paraId="0AC6AA4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27F2C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max1</w:t>
      </w:r>
      <w:r w:rsidRPr="00C96521">
        <w:rPr>
          <w:rFonts w:eastAsia="MS Mincho" w:cs="Arial"/>
          <w:sz w:val="20"/>
          <w:szCs w:val="20"/>
          <w:lang w:val="en-GB" w:eastAsia="ja-JP"/>
        </w:rPr>
        <w:t xml:space="preserve"> (1.79), P = 388,422-610,949</w:t>
      </w:r>
    </w:p>
    <w:p w14:paraId="63E77BFB"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max2</w:t>
      </w:r>
      <w:r w:rsidRPr="00C96521">
        <w:rPr>
          <w:rFonts w:eastAsia="MS Mincho" w:cs="Arial"/>
          <w:sz w:val="20"/>
          <w:szCs w:val="20"/>
          <w:lang w:val="en-GB" w:eastAsia="ja-JP"/>
        </w:rPr>
        <w:t xml:space="preserve"> (1.98), P = 481,839-757,886</w:t>
      </w:r>
    </w:p>
    <w:p w14:paraId="428C4A8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max3</w:t>
      </w:r>
      <w:r w:rsidRPr="00C96521">
        <w:rPr>
          <w:rFonts w:eastAsia="MS Mincho" w:cs="Arial"/>
          <w:sz w:val="20"/>
          <w:szCs w:val="20"/>
          <w:lang w:val="en-GB" w:eastAsia="ja-JP"/>
        </w:rPr>
        <w:t xml:space="preserve"> (2.03), P = 506,423-796,554</w:t>
      </w:r>
    </w:p>
    <w:p w14:paraId="1B137DE0"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5D0BEA2"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2: post-breeding population N2 (productivity rate = 2.71) </w:t>
      </w:r>
    </w:p>
    <w:p w14:paraId="442E38E6"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3C49A68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max1</w:t>
      </w:r>
      <w:r w:rsidRPr="00C96521">
        <w:rPr>
          <w:rFonts w:eastAsia="MS Mincho" w:cs="Arial"/>
          <w:sz w:val="20"/>
          <w:szCs w:val="20"/>
          <w:lang w:val="en-GB" w:eastAsia="ja-JP"/>
        </w:rPr>
        <w:t xml:space="preserve"> (1.79), P = 554,383-871,991</w:t>
      </w:r>
    </w:p>
    <w:p w14:paraId="70871E46"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max2</w:t>
      </w:r>
      <w:r w:rsidRPr="00C96521">
        <w:rPr>
          <w:rFonts w:eastAsia="MS Mincho" w:cs="Arial"/>
          <w:sz w:val="20"/>
          <w:szCs w:val="20"/>
          <w:lang w:val="en-GB" w:eastAsia="ja-JP"/>
        </w:rPr>
        <w:t xml:space="preserve"> (1.98), P = 687,716-1,081,710</w:t>
      </w:r>
    </w:p>
    <w:p w14:paraId="0AA1665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max3</w:t>
      </w:r>
      <w:r w:rsidRPr="00C96521">
        <w:rPr>
          <w:rFonts w:eastAsia="MS Mincho" w:cs="Arial"/>
          <w:sz w:val="20"/>
          <w:szCs w:val="20"/>
          <w:lang w:val="en-GB" w:eastAsia="ja-JP"/>
        </w:rPr>
        <w:t xml:space="preserve"> (2.03), P = 722,804-1,136,900</w:t>
      </w:r>
    </w:p>
    <w:p w14:paraId="6CDF8AF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6E22501" w14:textId="77777777" w:rsidR="00C96521" w:rsidRPr="00C96521" w:rsidRDefault="00C96521" w:rsidP="00C96521">
      <w:pPr>
        <w:widowControl/>
        <w:shd w:val="clear" w:color="auto" w:fill="E6E6E6"/>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Group 2: Italy partially included</w:t>
      </w:r>
    </w:p>
    <w:p w14:paraId="3CB26F1B"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1: post-breeding population N1 (productivity rate = 1.3) </w:t>
      </w:r>
    </w:p>
    <w:p w14:paraId="245D2D30"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59B3DC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max1</w:t>
      </w:r>
      <w:r w:rsidRPr="00C96521">
        <w:rPr>
          <w:rFonts w:eastAsia="MS Mincho" w:cs="Arial"/>
          <w:sz w:val="20"/>
          <w:szCs w:val="20"/>
          <w:lang w:val="en-GB" w:eastAsia="ja-JP"/>
        </w:rPr>
        <w:t xml:space="preserve"> (1.79), P = 396,654-627,414</w:t>
      </w:r>
    </w:p>
    <w:p w14:paraId="4F9D4BF0"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max2</w:t>
      </w:r>
      <w:r w:rsidRPr="00C96521">
        <w:rPr>
          <w:rFonts w:eastAsia="MS Mincho" w:cs="Arial"/>
          <w:sz w:val="20"/>
          <w:szCs w:val="20"/>
          <w:lang w:val="en-GB" w:eastAsia="ja-JP"/>
        </w:rPr>
        <w:t xml:space="preserve"> (1.98), P = 492,052-778,311</w:t>
      </w:r>
    </w:p>
    <w:p w14:paraId="607717D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max3</w:t>
      </w:r>
      <w:r w:rsidRPr="00C96521">
        <w:rPr>
          <w:rFonts w:eastAsia="MS Mincho" w:cs="Arial"/>
          <w:sz w:val="20"/>
          <w:szCs w:val="20"/>
          <w:lang w:val="en-GB" w:eastAsia="ja-JP"/>
        </w:rPr>
        <w:t xml:space="preserve"> (2.03), P = 517,157-818,021</w:t>
      </w:r>
    </w:p>
    <w:p w14:paraId="53D9A0C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EF951FF" w14:textId="77777777" w:rsidR="00C96521" w:rsidRPr="00C96521" w:rsidRDefault="00C96521" w:rsidP="00C96521">
      <w:pPr>
        <w:widowControl/>
        <w:shd w:val="clear" w:color="auto" w:fill="E6E6E6"/>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sym w:font="Wingdings" w:char="F09F"/>
      </w:r>
      <w:r w:rsidRPr="00C96521">
        <w:rPr>
          <w:rFonts w:eastAsia="MS Mincho" w:cs="Arial"/>
          <w:i/>
          <w:sz w:val="20"/>
          <w:szCs w:val="20"/>
          <w:lang w:val="en-GB" w:eastAsia="ja-JP"/>
        </w:rPr>
        <w:t xml:space="preserve"> Hypothesis 2: post-breeding population N2 (productivity rate = 2.71) </w:t>
      </w:r>
    </w:p>
    <w:p w14:paraId="1DCB98D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26B2B3C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max1</w:t>
      </w:r>
      <w:r w:rsidRPr="00C96521">
        <w:rPr>
          <w:rFonts w:eastAsia="MS Mincho" w:cs="Arial"/>
          <w:sz w:val="20"/>
          <w:szCs w:val="20"/>
          <w:lang w:val="en-GB" w:eastAsia="ja-JP"/>
        </w:rPr>
        <w:t xml:space="preserve"> (1.79), P = 566,134-895,491</w:t>
      </w:r>
    </w:p>
    <w:p w14:paraId="30A81DC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max2</w:t>
      </w:r>
      <w:r w:rsidRPr="00C96521">
        <w:rPr>
          <w:rFonts w:eastAsia="MS Mincho" w:cs="Arial"/>
          <w:sz w:val="20"/>
          <w:szCs w:val="20"/>
          <w:lang w:val="en-GB" w:eastAsia="ja-JP"/>
        </w:rPr>
        <w:t xml:space="preserve"> (1.98), P = 702,293-1,110,862</w:t>
      </w:r>
    </w:p>
    <w:p w14:paraId="3C8A58F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max3</w:t>
      </w:r>
      <w:r w:rsidRPr="00C96521">
        <w:rPr>
          <w:rFonts w:eastAsia="MS Mincho" w:cs="Arial"/>
          <w:sz w:val="20"/>
          <w:szCs w:val="20"/>
          <w:lang w:val="en-GB" w:eastAsia="ja-JP"/>
        </w:rPr>
        <w:t xml:space="preserve"> (2.03), P = 738,124-1,167,539</w:t>
      </w:r>
    </w:p>
    <w:p w14:paraId="2284E6F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F9E1BCD" w14:textId="77777777" w:rsidR="00C96521" w:rsidRPr="00C96521" w:rsidRDefault="00C96521" w:rsidP="00C96521">
      <w:pPr>
        <w:widowControl/>
        <w:autoSpaceDE/>
        <w:autoSpaceDN/>
        <w:adjustRightInd/>
        <w:spacing w:line="276" w:lineRule="auto"/>
        <w:rPr>
          <w:rFonts w:eastAsia="MS Mincho" w:cs="Arial"/>
          <w:b/>
          <w:sz w:val="20"/>
          <w:szCs w:val="20"/>
          <w:lang w:val="en-GB" w:eastAsia="ja-JP"/>
        </w:rPr>
      </w:pPr>
      <w:r w:rsidRPr="00C96521">
        <w:rPr>
          <w:rFonts w:eastAsia="MS Mincho" w:cs="Arial"/>
          <w:b/>
          <w:sz w:val="20"/>
          <w:szCs w:val="20"/>
          <w:lang w:val="en-GB" w:eastAsia="ja-JP"/>
        </w:rPr>
        <w:t>Estimation of European hunting bag obtained on turtle doves using the western flyway</w:t>
      </w:r>
    </w:p>
    <w:p w14:paraId="4F9D618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63B3AB5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According to Table 4, the number of birds bagged is:</w:t>
      </w:r>
    </w:p>
    <w:p w14:paraId="7EC1425B"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571B92C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France </w:t>
      </w:r>
      <w:r w:rsidRPr="00C96521">
        <w:rPr>
          <w:rFonts w:eastAsia="MS Mincho" w:cs="Arial"/>
          <w:sz w:val="20"/>
          <w:szCs w:val="20"/>
          <w:lang w:val="en-GB" w:eastAsia="ja-JP"/>
        </w:rPr>
        <w:tab/>
      </w:r>
      <w:r w:rsidRPr="00C96521">
        <w:rPr>
          <w:rFonts w:eastAsia="MS Mincho" w:cs="Arial"/>
          <w:sz w:val="20"/>
          <w:szCs w:val="20"/>
          <w:lang w:val="en-GB" w:eastAsia="ja-JP"/>
        </w:rPr>
        <w:tab/>
        <w:t>91,704 (2013-2014 hunting season)</w:t>
      </w:r>
    </w:p>
    <w:p w14:paraId="57DA773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Italy </w:t>
      </w:r>
      <w:r w:rsidRPr="00C96521">
        <w:rPr>
          <w:rFonts w:eastAsia="MS Mincho" w:cs="Arial"/>
          <w:sz w:val="20"/>
          <w:szCs w:val="20"/>
          <w:lang w:val="en-GB" w:eastAsia="ja-JP"/>
        </w:rPr>
        <w:tab/>
      </w:r>
      <w:r w:rsidRPr="00C96521">
        <w:rPr>
          <w:rFonts w:eastAsia="MS Mincho" w:cs="Arial"/>
          <w:sz w:val="20"/>
          <w:szCs w:val="20"/>
          <w:lang w:val="en-GB" w:eastAsia="ja-JP"/>
        </w:rPr>
        <w:tab/>
        <w:t>305,590 (annually)</w:t>
      </w:r>
    </w:p>
    <w:p w14:paraId="731B74A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Portugal </w:t>
      </w:r>
      <w:r w:rsidRPr="00C96521">
        <w:rPr>
          <w:rFonts w:eastAsia="MS Mincho" w:cs="Arial"/>
          <w:sz w:val="20"/>
          <w:szCs w:val="20"/>
          <w:lang w:val="en-GB" w:eastAsia="ja-JP"/>
        </w:rPr>
        <w:tab/>
        <w:t>109,815 (2013-2014 hunting season)</w:t>
      </w:r>
    </w:p>
    <w:p w14:paraId="7F57336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Spain </w:t>
      </w:r>
      <w:r w:rsidRPr="00C96521">
        <w:rPr>
          <w:rFonts w:eastAsia="MS Mincho" w:cs="Arial"/>
          <w:sz w:val="20"/>
          <w:szCs w:val="20"/>
          <w:lang w:val="en-GB" w:eastAsia="ja-JP"/>
        </w:rPr>
        <w:tab/>
      </w:r>
      <w:r w:rsidRPr="00C96521">
        <w:rPr>
          <w:rFonts w:eastAsia="MS Mincho" w:cs="Arial"/>
          <w:sz w:val="20"/>
          <w:szCs w:val="20"/>
          <w:lang w:val="en-GB" w:eastAsia="ja-JP"/>
        </w:rPr>
        <w:tab/>
        <w:t xml:space="preserve">832,840 (averaged over 2006 to 2014 hunting seasons, Beatriz Arroyo </w:t>
      </w:r>
      <w:r w:rsidRPr="00C96521">
        <w:rPr>
          <w:rFonts w:eastAsia="MS Mincho" w:cs="Arial"/>
          <w:i/>
          <w:sz w:val="20"/>
          <w:szCs w:val="20"/>
          <w:lang w:val="en-GB" w:eastAsia="ja-JP"/>
        </w:rPr>
        <w:t>pers comm</w:t>
      </w:r>
      <w:r w:rsidRPr="00C96521">
        <w:rPr>
          <w:rFonts w:eastAsia="MS Mincho" w:cs="Arial"/>
          <w:sz w:val="20"/>
          <w:szCs w:val="20"/>
          <w:lang w:val="en-GB" w:eastAsia="ja-JP"/>
        </w:rPr>
        <w:t>)</w:t>
      </w:r>
    </w:p>
    <w:p w14:paraId="4F5C300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1EAAE07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Total (without Italy)</w:t>
      </w:r>
      <w:r w:rsidRPr="00C96521">
        <w:rPr>
          <w:rFonts w:eastAsia="MS Mincho" w:cs="Arial"/>
          <w:sz w:val="20"/>
          <w:szCs w:val="20"/>
          <w:lang w:val="en-GB" w:eastAsia="ja-JP"/>
        </w:rPr>
        <w:tab/>
        <w:t>1,034,359</w:t>
      </w:r>
    </w:p>
    <w:p w14:paraId="1C714AD6"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Total (with 18.6% Italy)</w:t>
      </w:r>
      <w:r w:rsidRPr="00C96521">
        <w:rPr>
          <w:rFonts w:eastAsia="MS Mincho" w:cs="Arial"/>
          <w:sz w:val="20"/>
          <w:szCs w:val="20"/>
          <w:lang w:val="en-GB" w:eastAsia="ja-JP"/>
        </w:rPr>
        <w:tab/>
        <w:t>1,091,199</w:t>
      </w:r>
    </w:p>
    <w:p w14:paraId="4150A9E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E935C5C"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A comparison between P and the number of birds effectively bagged shows if the number of birds taken exceeds P or falls below it (Table 8). </w:t>
      </w:r>
    </w:p>
    <w:p w14:paraId="064B13E9"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94786FF" w14:textId="77777777" w:rsidR="00C96521" w:rsidRPr="00C96521" w:rsidRDefault="00C96521" w:rsidP="00C96521">
      <w:pPr>
        <w:widowControl/>
        <w:autoSpaceDE/>
        <w:autoSpaceDN/>
        <w:adjustRightInd/>
        <w:spacing w:line="276" w:lineRule="auto"/>
        <w:rPr>
          <w:rFonts w:eastAsia="MS Mincho" w:cs="Arial"/>
          <w:i/>
          <w:sz w:val="20"/>
          <w:szCs w:val="20"/>
          <w:lang w:val="en-GB" w:eastAsia="ja-JP"/>
        </w:rPr>
      </w:pPr>
      <w:r w:rsidRPr="00C96521">
        <w:rPr>
          <w:rFonts w:eastAsia="MS Mincho" w:cs="Arial"/>
          <w:i/>
          <w:sz w:val="20"/>
          <w:szCs w:val="20"/>
          <w:lang w:val="en-GB" w:eastAsia="ja-JP"/>
        </w:rPr>
        <w:t>Table 8. Comparison of the different scenarios leading to estimates of P and the hunting bag estimate for the western flyway.</w:t>
      </w:r>
    </w:p>
    <w:p w14:paraId="1812A4B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bl>
      <w:tblPr>
        <w:tblW w:w="9180" w:type="dxa"/>
        <w:tblInd w:w="108" w:type="dxa"/>
        <w:tblLayout w:type="fixed"/>
        <w:tblLook w:val="01E0" w:firstRow="1" w:lastRow="1" w:firstColumn="1" w:lastColumn="1" w:noHBand="0" w:noVBand="0"/>
      </w:tblPr>
      <w:tblGrid>
        <w:gridCol w:w="1440"/>
        <w:gridCol w:w="1440"/>
        <w:gridCol w:w="900"/>
        <w:gridCol w:w="2340"/>
        <w:gridCol w:w="1620"/>
        <w:gridCol w:w="1440"/>
      </w:tblGrid>
      <w:tr w:rsidR="00C96521" w:rsidRPr="00C96521" w14:paraId="2420B4B3" w14:textId="77777777" w:rsidTr="00C96521">
        <w:tc>
          <w:tcPr>
            <w:tcW w:w="1440" w:type="dxa"/>
            <w:tcBorders>
              <w:top w:val="single" w:sz="18" w:space="0" w:color="auto"/>
              <w:bottom w:val="single" w:sz="2" w:space="0" w:color="auto"/>
            </w:tcBorders>
            <w:shd w:val="clear" w:color="auto" w:fill="E6E6E6"/>
            <w:vAlign w:val="center"/>
          </w:tcPr>
          <w:p w14:paraId="1E454C7C"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Group</w:t>
            </w:r>
          </w:p>
        </w:tc>
        <w:tc>
          <w:tcPr>
            <w:tcW w:w="1440" w:type="dxa"/>
            <w:tcBorders>
              <w:top w:val="single" w:sz="18" w:space="0" w:color="auto"/>
              <w:bottom w:val="single" w:sz="2" w:space="0" w:color="auto"/>
            </w:tcBorders>
            <w:shd w:val="clear" w:color="auto" w:fill="E6E6E6"/>
            <w:vAlign w:val="center"/>
          </w:tcPr>
          <w:p w14:paraId="6393E246"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Productivity</w:t>
            </w:r>
          </w:p>
        </w:tc>
        <w:tc>
          <w:tcPr>
            <w:tcW w:w="900" w:type="dxa"/>
            <w:tcBorders>
              <w:top w:val="single" w:sz="18" w:space="0" w:color="auto"/>
              <w:bottom w:val="single" w:sz="2" w:space="0" w:color="auto"/>
            </w:tcBorders>
            <w:shd w:val="clear" w:color="auto" w:fill="E6E6E6"/>
            <w:vAlign w:val="center"/>
          </w:tcPr>
          <w:p w14:paraId="3B5C7E3B"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λ</w:t>
            </w:r>
            <w:r w:rsidRPr="00C96521">
              <w:rPr>
                <w:rFonts w:eastAsia="MS Mincho" w:cs="Arial"/>
                <w:b/>
                <w:sz w:val="20"/>
                <w:szCs w:val="20"/>
                <w:vertAlign w:val="subscript"/>
                <w:lang w:val="en-GB" w:eastAsia="ja-JP"/>
              </w:rPr>
              <w:t>max</w:t>
            </w:r>
          </w:p>
        </w:tc>
        <w:tc>
          <w:tcPr>
            <w:tcW w:w="2340" w:type="dxa"/>
            <w:tcBorders>
              <w:top w:val="single" w:sz="18" w:space="0" w:color="auto"/>
              <w:bottom w:val="single" w:sz="2" w:space="0" w:color="auto"/>
            </w:tcBorders>
            <w:shd w:val="clear" w:color="auto" w:fill="E6E6E6"/>
            <w:vAlign w:val="center"/>
          </w:tcPr>
          <w:p w14:paraId="66637F5D"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P range</w:t>
            </w:r>
          </w:p>
        </w:tc>
        <w:tc>
          <w:tcPr>
            <w:tcW w:w="1620" w:type="dxa"/>
            <w:tcBorders>
              <w:top w:val="single" w:sz="18" w:space="0" w:color="auto"/>
              <w:bottom w:val="single" w:sz="2" w:space="0" w:color="auto"/>
            </w:tcBorders>
            <w:shd w:val="clear" w:color="auto" w:fill="E6E6E6"/>
            <w:vAlign w:val="center"/>
          </w:tcPr>
          <w:p w14:paraId="1219FC23"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 xml:space="preserve">Ratio </w:t>
            </w:r>
          </w:p>
          <w:p w14:paraId="09EA8D08"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P/hunting bag</w:t>
            </w:r>
          </w:p>
        </w:tc>
        <w:tc>
          <w:tcPr>
            <w:tcW w:w="1440" w:type="dxa"/>
            <w:tcBorders>
              <w:top w:val="single" w:sz="18" w:space="0" w:color="auto"/>
              <w:bottom w:val="single" w:sz="2" w:space="0" w:color="auto"/>
            </w:tcBorders>
            <w:shd w:val="clear" w:color="auto" w:fill="E6E6E6"/>
            <w:vAlign w:val="center"/>
          </w:tcPr>
          <w:p w14:paraId="063115DF" w14:textId="77777777" w:rsidR="00C96521" w:rsidRPr="00C96521" w:rsidRDefault="00C96521" w:rsidP="00C96521">
            <w:pPr>
              <w:widowControl/>
              <w:autoSpaceDE/>
              <w:autoSpaceDN/>
              <w:adjustRightInd/>
              <w:spacing w:before="120" w:after="120" w:line="276" w:lineRule="auto"/>
              <w:rPr>
                <w:rFonts w:eastAsia="MS Mincho" w:cs="Arial"/>
                <w:b/>
                <w:sz w:val="20"/>
                <w:szCs w:val="20"/>
                <w:lang w:val="en-GB" w:eastAsia="ja-JP"/>
              </w:rPr>
            </w:pPr>
            <w:r w:rsidRPr="00C96521">
              <w:rPr>
                <w:rFonts w:eastAsia="MS Mincho" w:cs="Arial"/>
                <w:b/>
                <w:sz w:val="20"/>
                <w:szCs w:val="20"/>
                <w:lang w:val="en-GB" w:eastAsia="ja-JP"/>
              </w:rPr>
              <w:t>Scenario Number</w:t>
            </w:r>
          </w:p>
        </w:tc>
      </w:tr>
      <w:tr w:rsidR="00C96521" w:rsidRPr="00C96521" w14:paraId="64AF7A7E" w14:textId="77777777" w:rsidTr="00C96521">
        <w:tc>
          <w:tcPr>
            <w:tcW w:w="1440" w:type="dxa"/>
            <w:vMerge w:val="restart"/>
            <w:tcBorders>
              <w:top w:val="single" w:sz="2" w:space="0" w:color="auto"/>
            </w:tcBorders>
            <w:vAlign w:val="center"/>
          </w:tcPr>
          <w:p w14:paraId="15C102B5"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Italy excluded</w:t>
            </w:r>
          </w:p>
        </w:tc>
        <w:tc>
          <w:tcPr>
            <w:tcW w:w="1440" w:type="dxa"/>
            <w:vMerge w:val="restart"/>
            <w:tcBorders>
              <w:top w:val="single" w:sz="2" w:space="0" w:color="auto"/>
            </w:tcBorders>
            <w:vAlign w:val="center"/>
          </w:tcPr>
          <w:p w14:paraId="28919EC4"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 xml:space="preserve">Low </w:t>
            </w:r>
          </w:p>
        </w:tc>
        <w:tc>
          <w:tcPr>
            <w:tcW w:w="900" w:type="dxa"/>
            <w:tcBorders>
              <w:top w:val="single" w:sz="2" w:space="0" w:color="auto"/>
            </w:tcBorders>
          </w:tcPr>
          <w:p w14:paraId="758483D7"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1</w:t>
            </w:r>
          </w:p>
        </w:tc>
        <w:tc>
          <w:tcPr>
            <w:tcW w:w="2340" w:type="dxa"/>
            <w:tcBorders>
              <w:top w:val="single" w:sz="2" w:space="0" w:color="auto"/>
            </w:tcBorders>
          </w:tcPr>
          <w:p w14:paraId="77C2C99C"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[388 422 – 610 949]</w:t>
            </w:r>
          </w:p>
        </w:tc>
        <w:tc>
          <w:tcPr>
            <w:tcW w:w="1620" w:type="dxa"/>
            <w:tcBorders>
              <w:top w:val="single" w:sz="2" w:space="0" w:color="auto"/>
            </w:tcBorders>
            <w:shd w:val="clear" w:color="auto" w:fill="FF6600"/>
          </w:tcPr>
          <w:p w14:paraId="06BD6547"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&gt; P by 69.3%</w:t>
            </w:r>
          </w:p>
        </w:tc>
        <w:tc>
          <w:tcPr>
            <w:tcW w:w="1440" w:type="dxa"/>
            <w:tcBorders>
              <w:top w:val="single" w:sz="2" w:space="0" w:color="auto"/>
            </w:tcBorders>
            <w:shd w:val="clear" w:color="auto" w:fill="FF6600"/>
          </w:tcPr>
          <w:p w14:paraId="2AE31528"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1</w:t>
            </w:r>
          </w:p>
        </w:tc>
      </w:tr>
      <w:tr w:rsidR="00C96521" w:rsidRPr="00C96521" w14:paraId="0F34950C" w14:textId="77777777" w:rsidTr="00C96521">
        <w:tc>
          <w:tcPr>
            <w:tcW w:w="1440" w:type="dxa"/>
            <w:vMerge/>
            <w:vAlign w:val="center"/>
          </w:tcPr>
          <w:p w14:paraId="3AFB213F"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p>
        </w:tc>
        <w:tc>
          <w:tcPr>
            <w:tcW w:w="1440" w:type="dxa"/>
            <w:vMerge/>
            <w:vAlign w:val="center"/>
          </w:tcPr>
          <w:p w14:paraId="4F372FD3"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p>
        </w:tc>
        <w:tc>
          <w:tcPr>
            <w:tcW w:w="900" w:type="dxa"/>
          </w:tcPr>
          <w:p w14:paraId="13328580"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2</w:t>
            </w:r>
          </w:p>
        </w:tc>
        <w:tc>
          <w:tcPr>
            <w:tcW w:w="2340" w:type="dxa"/>
          </w:tcPr>
          <w:p w14:paraId="14383CCB"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[481 839 – 757 886]</w:t>
            </w:r>
          </w:p>
        </w:tc>
        <w:tc>
          <w:tcPr>
            <w:tcW w:w="1620" w:type="dxa"/>
            <w:shd w:val="clear" w:color="auto" w:fill="FF6600"/>
          </w:tcPr>
          <w:p w14:paraId="4C81018D"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36.5%</w:t>
            </w:r>
          </w:p>
        </w:tc>
        <w:tc>
          <w:tcPr>
            <w:tcW w:w="1440" w:type="dxa"/>
            <w:shd w:val="clear" w:color="auto" w:fill="FF6600"/>
          </w:tcPr>
          <w:p w14:paraId="0C2554D8"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2</w:t>
            </w:r>
          </w:p>
        </w:tc>
      </w:tr>
      <w:tr w:rsidR="00C96521" w:rsidRPr="00C96521" w14:paraId="106AE4B4" w14:textId="77777777" w:rsidTr="00C96521">
        <w:tc>
          <w:tcPr>
            <w:tcW w:w="1440" w:type="dxa"/>
            <w:vMerge/>
            <w:vAlign w:val="center"/>
          </w:tcPr>
          <w:p w14:paraId="6F46B823"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p>
        </w:tc>
        <w:tc>
          <w:tcPr>
            <w:tcW w:w="1440" w:type="dxa"/>
            <w:vMerge/>
            <w:vAlign w:val="center"/>
          </w:tcPr>
          <w:p w14:paraId="0712FB33"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p>
        </w:tc>
        <w:tc>
          <w:tcPr>
            <w:tcW w:w="900" w:type="dxa"/>
          </w:tcPr>
          <w:p w14:paraId="7E3B76F7"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3</w:t>
            </w:r>
          </w:p>
        </w:tc>
        <w:tc>
          <w:tcPr>
            <w:tcW w:w="2340" w:type="dxa"/>
          </w:tcPr>
          <w:p w14:paraId="4A4FDEB6"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[506 423 – 796 554]</w:t>
            </w:r>
          </w:p>
        </w:tc>
        <w:tc>
          <w:tcPr>
            <w:tcW w:w="1620" w:type="dxa"/>
            <w:shd w:val="clear" w:color="auto" w:fill="FF6600"/>
          </w:tcPr>
          <w:p w14:paraId="751FC50E"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29.9%</w:t>
            </w:r>
          </w:p>
        </w:tc>
        <w:tc>
          <w:tcPr>
            <w:tcW w:w="1440" w:type="dxa"/>
            <w:shd w:val="clear" w:color="auto" w:fill="FF6600"/>
          </w:tcPr>
          <w:p w14:paraId="5ED79B3A"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3</w:t>
            </w:r>
          </w:p>
        </w:tc>
      </w:tr>
      <w:tr w:rsidR="00C96521" w:rsidRPr="00C96521" w14:paraId="30E510F7" w14:textId="77777777" w:rsidTr="00C96521">
        <w:tc>
          <w:tcPr>
            <w:tcW w:w="1440" w:type="dxa"/>
            <w:vMerge/>
            <w:vAlign w:val="center"/>
          </w:tcPr>
          <w:p w14:paraId="6FD47EB1"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p>
        </w:tc>
        <w:tc>
          <w:tcPr>
            <w:tcW w:w="1440" w:type="dxa"/>
            <w:vMerge w:val="restart"/>
            <w:vAlign w:val="center"/>
          </w:tcPr>
          <w:p w14:paraId="460D3A12"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 xml:space="preserve">High </w:t>
            </w:r>
          </w:p>
        </w:tc>
        <w:tc>
          <w:tcPr>
            <w:tcW w:w="900" w:type="dxa"/>
          </w:tcPr>
          <w:p w14:paraId="0479A26E"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1</w:t>
            </w:r>
          </w:p>
        </w:tc>
        <w:tc>
          <w:tcPr>
            <w:tcW w:w="2340" w:type="dxa"/>
          </w:tcPr>
          <w:p w14:paraId="4958F9ED"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[554 383 – 871 991]</w:t>
            </w:r>
          </w:p>
        </w:tc>
        <w:tc>
          <w:tcPr>
            <w:tcW w:w="1620" w:type="dxa"/>
            <w:shd w:val="clear" w:color="auto" w:fill="FF6600"/>
          </w:tcPr>
          <w:p w14:paraId="7578DA20"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18.6%</w:t>
            </w:r>
          </w:p>
        </w:tc>
        <w:tc>
          <w:tcPr>
            <w:tcW w:w="1440" w:type="dxa"/>
            <w:shd w:val="clear" w:color="auto" w:fill="FF6600"/>
          </w:tcPr>
          <w:p w14:paraId="38550672"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4</w:t>
            </w:r>
          </w:p>
        </w:tc>
      </w:tr>
      <w:tr w:rsidR="00C96521" w:rsidRPr="00C96521" w14:paraId="0437DB5A" w14:textId="77777777" w:rsidTr="00C96521">
        <w:tc>
          <w:tcPr>
            <w:tcW w:w="1440" w:type="dxa"/>
            <w:vMerge/>
          </w:tcPr>
          <w:p w14:paraId="5EC8AD7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vAlign w:val="center"/>
          </w:tcPr>
          <w:p w14:paraId="53B4ABD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900" w:type="dxa"/>
          </w:tcPr>
          <w:p w14:paraId="5531349D"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2</w:t>
            </w:r>
          </w:p>
        </w:tc>
        <w:tc>
          <w:tcPr>
            <w:tcW w:w="2340" w:type="dxa"/>
          </w:tcPr>
          <w:p w14:paraId="5BBC5F3F"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[687 716 – 1 081 710]</w:t>
            </w:r>
          </w:p>
        </w:tc>
        <w:tc>
          <w:tcPr>
            <w:tcW w:w="1620" w:type="dxa"/>
            <w:shd w:val="clear" w:color="auto" w:fill="99CC00"/>
          </w:tcPr>
          <w:p w14:paraId="649EE986"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&lt; P by 4.4%</w:t>
            </w:r>
          </w:p>
        </w:tc>
        <w:tc>
          <w:tcPr>
            <w:tcW w:w="1440" w:type="dxa"/>
            <w:shd w:val="clear" w:color="auto" w:fill="99CC00"/>
          </w:tcPr>
          <w:p w14:paraId="3F719A43"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5</w:t>
            </w:r>
          </w:p>
        </w:tc>
      </w:tr>
      <w:tr w:rsidR="00C96521" w:rsidRPr="00C96521" w14:paraId="2B1B1B7C" w14:textId="77777777" w:rsidTr="00C96521">
        <w:tc>
          <w:tcPr>
            <w:tcW w:w="1440" w:type="dxa"/>
            <w:vMerge/>
            <w:tcBorders>
              <w:bottom w:val="single" w:sz="2" w:space="0" w:color="auto"/>
            </w:tcBorders>
          </w:tcPr>
          <w:p w14:paraId="6DE6CB75"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tcBorders>
              <w:bottom w:val="single" w:sz="2" w:space="0" w:color="auto"/>
            </w:tcBorders>
            <w:vAlign w:val="center"/>
          </w:tcPr>
          <w:p w14:paraId="4A183772"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900" w:type="dxa"/>
            <w:tcBorders>
              <w:bottom w:val="single" w:sz="2" w:space="0" w:color="auto"/>
            </w:tcBorders>
          </w:tcPr>
          <w:p w14:paraId="1E13F8A4"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3</w:t>
            </w:r>
          </w:p>
        </w:tc>
        <w:tc>
          <w:tcPr>
            <w:tcW w:w="2340" w:type="dxa"/>
            <w:tcBorders>
              <w:bottom w:val="single" w:sz="2" w:space="0" w:color="auto"/>
            </w:tcBorders>
          </w:tcPr>
          <w:p w14:paraId="7F367873"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[722 804 – 1 136 900]</w:t>
            </w:r>
          </w:p>
        </w:tc>
        <w:tc>
          <w:tcPr>
            <w:tcW w:w="1620" w:type="dxa"/>
            <w:tcBorders>
              <w:bottom w:val="single" w:sz="2" w:space="0" w:color="auto"/>
            </w:tcBorders>
            <w:shd w:val="clear" w:color="auto" w:fill="99CC00"/>
          </w:tcPr>
          <w:p w14:paraId="67B7E1EA"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 xml:space="preserve">&lt; P by 9% </w:t>
            </w:r>
          </w:p>
        </w:tc>
        <w:tc>
          <w:tcPr>
            <w:tcW w:w="1440" w:type="dxa"/>
            <w:tcBorders>
              <w:bottom w:val="single" w:sz="2" w:space="0" w:color="auto"/>
            </w:tcBorders>
            <w:shd w:val="clear" w:color="auto" w:fill="99CC00"/>
          </w:tcPr>
          <w:p w14:paraId="1462BDE1"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6</w:t>
            </w:r>
          </w:p>
        </w:tc>
      </w:tr>
      <w:tr w:rsidR="00C96521" w:rsidRPr="00C96521" w14:paraId="19D65476" w14:textId="77777777" w:rsidTr="00C96521">
        <w:tc>
          <w:tcPr>
            <w:tcW w:w="1440" w:type="dxa"/>
            <w:vMerge w:val="restart"/>
            <w:tcBorders>
              <w:top w:val="single" w:sz="2" w:space="0" w:color="auto"/>
              <w:bottom w:val="single" w:sz="18" w:space="0" w:color="auto"/>
            </w:tcBorders>
            <w:vAlign w:val="center"/>
          </w:tcPr>
          <w:p w14:paraId="49FA271B"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Italy partially included</w:t>
            </w:r>
          </w:p>
        </w:tc>
        <w:tc>
          <w:tcPr>
            <w:tcW w:w="1440" w:type="dxa"/>
            <w:vMerge w:val="restart"/>
            <w:tcBorders>
              <w:top w:val="single" w:sz="2" w:space="0" w:color="auto"/>
            </w:tcBorders>
            <w:vAlign w:val="center"/>
          </w:tcPr>
          <w:p w14:paraId="1CBB2674"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 xml:space="preserve">Low </w:t>
            </w:r>
          </w:p>
        </w:tc>
        <w:tc>
          <w:tcPr>
            <w:tcW w:w="900" w:type="dxa"/>
            <w:tcBorders>
              <w:top w:val="single" w:sz="2" w:space="0" w:color="auto"/>
            </w:tcBorders>
          </w:tcPr>
          <w:p w14:paraId="52BEFC58"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1</w:t>
            </w:r>
          </w:p>
        </w:tc>
        <w:tc>
          <w:tcPr>
            <w:tcW w:w="2340" w:type="dxa"/>
            <w:tcBorders>
              <w:top w:val="single" w:sz="2" w:space="0" w:color="auto"/>
            </w:tcBorders>
          </w:tcPr>
          <w:p w14:paraId="03E38B66"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[396 654 – 627 414]</w:t>
            </w:r>
          </w:p>
        </w:tc>
        <w:tc>
          <w:tcPr>
            <w:tcW w:w="1620" w:type="dxa"/>
            <w:tcBorders>
              <w:top w:val="single" w:sz="2" w:space="0" w:color="auto"/>
            </w:tcBorders>
            <w:shd w:val="clear" w:color="auto" w:fill="FF6600"/>
          </w:tcPr>
          <w:p w14:paraId="4B6769D9"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&gt; P by 73.9%</w:t>
            </w:r>
          </w:p>
        </w:tc>
        <w:tc>
          <w:tcPr>
            <w:tcW w:w="1440" w:type="dxa"/>
            <w:tcBorders>
              <w:top w:val="single" w:sz="2" w:space="0" w:color="auto"/>
            </w:tcBorders>
            <w:shd w:val="clear" w:color="auto" w:fill="FF6600"/>
          </w:tcPr>
          <w:p w14:paraId="59548099"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r w:rsidRPr="00C96521">
              <w:rPr>
                <w:rFonts w:eastAsia="MS Mincho" w:cs="Arial"/>
                <w:sz w:val="20"/>
                <w:szCs w:val="20"/>
                <w:lang w:val="en-GB" w:eastAsia="ja-JP"/>
              </w:rPr>
              <w:t>7</w:t>
            </w:r>
          </w:p>
        </w:tc>
      </w:tr>
      <w:tr w:rsidR="00C96521" w:rsidRPr="00C96521" w14:paraId="0D7C4FC7" w14:textId="77777777" w:rsidTr="00C96521">
        <w:tc>
          <w:tcPr>
            <w:tcW w:w="1440" w:type="dxa"/>
            <w:vMerge/>
            <w:tcBorders>
              <w:bottom w:val="single" w:sz="18" w:space="0" w:color="auto"/>
            </w:tcBorders>
          </w:tcPr>
          <w:p w14:paraId="4E72F567"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vAlign w:val="center"/>
          </w:tcPr>
          <w:p w14:paraId="2B3D55A6"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900" w:type="dxa"/>
          </w:tcPr>
          <w:p w14:paraId="6B0B83FD"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2</w:t>
            </w:r>
          </w:p>
        </w:tc>
        <w:tc>
          <w:tcPr>
            <w:tcW w:w="2340" w:type="dxa"/>
          </w:tcPr>
          <w:p w14:paraId="33D37413"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[492 052 – 778 311]</w:t>
            </w:r>
          </w:p>
        </w:tc>
        <w:tc>
          <w:tcPr>
            <w:tcW w:w="1620" w:type="dxa"/>
            <w:shd w:val="clear" w:color="auto" w:fill="FF6600"/>
          </w:tcPr>
          <w:p w14:paraId="5218DDC9"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40.2%</w:t>
            </w:r>
          </w:p>
        </w:tc>
        <w:tc>
          <w:tcPr>
            <w:tcW w:w="1440" w:type="dxa"/>
            <w:shd w:val="clear" w:color="auto" w:fill="FF6600"/>
          </w:tcPr>
          <w:p w14:paraId="1F013C8A"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8</w:t>
            </w:r>
          </w:p>
        </w:tc>
      </w:tr>
      <w:tr w:rsidR="00C96521" w:rsidRPr="00C96521" w14:paraId="4BBFEB82" w14:textId="77777777" w:rsidTr="00C96521">
        <w:tc>
          <w:tcPr>
            <w:tcW w:w="1440" w:type="dxa"/>
            <w:vMerge/>
            <w:tcBorders>
              <w:bottom w:val="single" w:sz="18" w:space="0" w:color="auto"/>
            </w:tcBorders>
          </w:tcPr>
          <w:p w14:paraId="750D505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vAlign w:val="center"/>
          </w:tcPr>
          <w:p w14:paraId="1AD12681"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900" w:type="dxa"/>
          </w:tcPr>
          <w:p w14:paraId="64BEDC2E"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3</w:t>
            </w:r>
          </w:p>
        </w:tc>
        <w:tc>
          <w:tcPr>
            <w:tcW w:w="2340" w:type="dxa"/>
          </w:tcPr>
          <w:p w14:paraId="0911CF32"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[517 157 – 818 021]</w:t>
            </w:r>
          </w:p>
        </w:tc>
        <w:tc>
          <w:tcPr>
            <w:tcW w:w="1620" w:type="dxa"/>
            <w:shd w:val="clear" w:color="auto" w:fill="FF6600"/>
          </w:tcPr>
          <w:p w14:paraId="0B4655A8"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33.4%</w:t>
            </w:r>
          </w:p>
        </w:tc>
        <w:tc>
          <w:tcPr>
            <w:tcW w:w="1440" w:type="dxa"/>
            <w:shd w:val="clear" w:color="auto" w:fill="FF6600"/>
          </w:tcPr>
          <w:p w14:paraId="2450D31E"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9</w:t>
            </w:r>
          </w:p>
        </w:tc>
      </w:tr>
      <w:tr w:rsidR="00C96521" w:rsidRPr="00C96521" w14:paraId="37D98390" w14:textId="77777777" w:rsidTr="00C96521">
        <w:tc>
          <w:tcPr>
            <w:tcW w:w="1440" w:type="dxa"/>
            <w:vMerge/>
            <w:tcBorders>
              <w:bottom w:val="single" w:sz="18" w:space="0" w:color="auto"/>
            </w:tcBorders>
            <w:vAlign w:val="center"/>
          </w:tcPr>
          <w:p w14:paraId="1CBAAA41" w14:textId="77777777" w:rsidR="00C96521" w:rsidRPr="00C96521" w:rsidRDefault="00C96521" w:rsidP="00C96521">
            <w:pPr>
              <w:widowControl/>
              <w:autoSpaceDE/>
              <w:autoSpaceDN/>
              <w:adjustRightInd/>
              <w:spacing w:before="120" w:after="120" w:line="276" w:lineRule="auto"/>
              <w:rPr>
                <w:rFonts w:eastAsia="MS Mincho" w:cs="Arial"/>
                <w:sz w:val="20"/>
                <w:szCs w:val="20"/>
                <w:lang w:val="en-GB" w:eastAsia="ja-JP"/>
              </w:rPr>
            </w:pPr>
          </w:p>
        </w:tc>
        <w:tc>
          <w:tcPr>
            <w:tcW w:w="1440" w:type="dxa"/>
            <w:vMerge w:val="restart"/>
            <w:vAlign w:val="center"/>
          </w:tcPr>
          <w:p w14:paraId="402232CA" w14:textId="77777777" w:rsidR="00C96521" w:rsidRPr="00C96521" w:rsidRDefault="00C96521" w:rsidP="00C96521">
            <w:pPr>
              <w:widowControl/>
              <w:autoSpaceDE/>
              <w:autoSpaceDN/>
              <w:adjustRightInd/>
              <w:spacing w:before="120" w:line="276" w:lineRule="auto"/>
              <w:rPr>
                <w:rFonts w:eastAsia="MS Mincho" w:cs="Arial"/>
                <w:sz w:val="20"/>
                <w:szCs w:val="20"/>
                <w:lang w:val="en-GB" w:eastAsia="ja-JP"/>
              </w:rPr>
            </w:pPr>
            <w:r w:rsidRPr="00C96521">
              <w:rPr>
                <w:rFonts w:eastAsia="MS Mincho" w:cs="Arial"/>
                <w:sz w:val="20"/>
                <w:szCs w:val="20"/>
                <w:lang w:val="en-GB" w:eastAsia="ja-JP"/>
              </w:rPr>
              <w:t xml:space="preserve">High </w:t>
            </w:r>
          </w:p>
        </w:tc>
        <w:tc>
          <w:tcPr>
            <w:tcW w:w="900" w:type="dxa"/>
          </w:tcPr>
          <w:p w14:paraId="7B034B8B"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1</w:t>
            </w:r>
          </w:p>
        </w:tc>
        <w:tc>
          <w:tcPr>
            <w:tcW w:w="2340" w:type="dxa"/>
          </w:tcPr>
          <w:p w14:paraId="4875FD5F"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[566 134 – 895 491]</w:t>
            </w:r>
          </w:p>
        </w:tc>
        <w:tc>
          <w:tcPr>
            <w:tcW w:w="1620" w:type="dxa"/>
            <w:shd w:val="clear" w:color="auto" w:fill="FF6600"/>
          </w:tcPr>
          <w:p w14:paraId="7185F24F"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&gt; P by 21.9%</w:t>
            </w:r>
          </w:p>
        </w:tc>
        <w:tc>
          <w:tcPr>
            <w:tcW w:w="1440" w:type="dxa"/>
            <w:shd w:val="clear" w:color="auto" w:fill="FF6600"/>
          </w:tcPr>
          <w:p w14:paraId="3AADC7DF"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10</w:t>
            </w:r>
          </w:p>
        </w:tc>
      </w:tr>
      <w:tr w:rsidR="00C96521" w:rsidRPr="00C96521" w14:paraId="532278E6" w14:textId="77777777" w:rsidTr="00C96521">
        <w:tc>
          <w:tcPr>
            <w:tcW w:w="1440" w:type="dxa"/>
            <w:vMerge/>
            <w:tcBorders>
              <w:bottom w:val="single" w:sz="18" w:space="0" w:color="auto"/>
            </w:tcBorders>
          </w:tcPr>
          <w:p w14:paraId="2E990514"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tcPr>
          <w:p w14:paraId="3F649AF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900" w:type="dxa"/>
          </w:tcPr>
          <w:p w14:paraId="1199F99B"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2</w:t>
            </w:r>
          </w:p>
        </w:tc>
        <w:tc>
          <w:tcPr>
            <w:tcW w:w="2340" w:type="dxa"/>
          </w:tcPr>
          <w:p w14:paraId="5B097D28"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[702 293 – 1 110 862]</w:t>
            </w:r>
          </w:p>
        </w:tc>
        <w:tc>
          <w:tcPr>
            <w:tcW w:w="1620" w:type="dxa"/>
            <w:shd w:val="clear" w:color="auto" w:fill="99CC00"/>
          </w:tcPr>
          <w:p w14:paraId="16135D2C"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&lt; P by 1.8%</w:t>
            </w:r>
          </w:p>
        </w:tc>
        <w:tc>
          <w:tcPr>
            <w:tcW w:w="1440" w:type="dxa"/>
            <w:shd w:val="clear" w:color="auto" w:fill="99CC00"/>
          </w:tcPr>
          <w:p w14:paraId="7FEA1B33"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11</w:t>
            </w:r>
          </w:p>
        </w:tc>
      </w:tr>
      <w:tr w:rsidR="00C96521" w:rsidRPr="00C96521" w14:paraId="430295F6" w14:textId="77777777" w:rsidTr="00C96521">
        <w:tc>
          <w:tcPr>
            <w:tcW w:w="1440" w:type="dxa"/>
            <w:vMerge/>
            <w:tcBorders>
              <w:bottom w:val="single" w:sz="18" w:space="0" w:color="auto"/>
            </w:tcBorders>
          </w:tcPr>
          <w:p w14:paraId="6C84F5A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tc>
        <w:tc>
          <w:tcPr>
            <w:tcW w:w="1440" w:type="dxa"/>
            <w:vMerge/>
            <w:tcBorders>
              <w:bottom w:val="single" w:sz="18" w:space="0" w:color="auto"/>
            </w:tcBorders>
          </w:tcPr>
          <w:p w14:paraId="43D20427"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p>
        </w:tc>
        <w:tc>
          <w:tcPr>
            <w:tcW w:w="900" w:type="dxa"/>
            <w:tcBorders>
              <w:bottom w:val="single" w:sz="18" w:space="0" w:color="auto"/>
            </w:tcBorders>
          </w:tcPr>
          <w:p w14:paraId="6AF63464"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3</w:t>
            </w:r>
          </w:p>
        </w:tc>
        <w:tc>
          <w:tcPr>
            <w:tcW w:w="2340" w:type="dxa"/>
            <w:tcBorders>
              <w:bottom w:val="single" w:sz="18" w:space="0" w:color="auto"/>
            </w:tcBorders>
          </w:tcPr>
          <w:p w14:paraId="0244D392"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[738 124 – 1 167 539]</w:t>
            </w:r>
          </w:p>
        </w:tc>
        <w:tc>
          <w:tcPr>
            <w:tcW w:w="1620" w:type="dxa"/>
            <w:tcBorders>
              <w:bottom w:val="single" w:sz="18" w:space="0" w:color="auto"/>
            </w:tcBorders>
            <w:shd w:val="clear" w:color="auto" w:fill="99CC00"/>
          </w:tcPr>
          <w:p w14:paraId="2575499A"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&lt; P by 6.5%</w:t>
            </w:r>
          </w:p>
        </w:tc>
        <w:tc>
          <w:tcPr>
            <w:tcW w:w="1440" w:type="dxa"/>
            <w:tcBorders>
              <w:bottom w:val="single" w:sz="18" w:space="0" w:color="auto"/>
            </w:tcBorders>
            <w:shd w:val="clear" w:color="auto" w:fill="99CC00"/>
          </w:tcPr>
          <w:p w14:paraId="1F957051" w14:textId="77777777" w:rsidR="00C96521" w:rsidRPr="00C96521" w:rsidRDefault="00C96521" w:rsidP="00C96521">
            <w:pPr>
              <w:widowControl/>
              <w:autoSpaceDE/>
              <w:autoSpaceDN/>
              <w:adjustRightInd/>
              <w:spacing w:after="120" w:line="276" w:lineRule="auto"/>
              <w:rPr>
                <w:rFonts w:eastAsia="MS Mincho" w:cs="Arial"/>
                <w:sz w:val="20"/>
                <w:szCs w:val="20"/>
                <w:lang w:val="en-GB" w:eastAsia="ja-JP"/>
              </w:rPr>
            </w:pPr>
            <w:r w:rsidRPr="00C96521">
              <w:rPr>
                <w:rFonts w:eastAsia="MS Mincho" w:cs="Arial"/>
                <w:sz w:val="20"/>
                <w:szCs w:val="20"/>
                <w:lang w:val="en-GB" w:eastAsia="ja-JP"/>
              </w:rPr>
              <w:t>12</w:t>
            </w:r>
          </w:p>
        </w:tc>
      </w:tr>
    </w:tbl>
    <w:p w14:paraId="553FE398"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F0B2746" w14:textId="53262C29"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For 8 out of 12 scenarios, the hunting bag exceeds the value of P by more than 15</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(scenarios 1 to 4 and 7 to 10). The only cases in which hunting take falls below P are scenarios where productivity reaches its maximum value, and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is intermediate or very high. In those cases where the hunting take is below P, the difference is always below 9</w:t>
      </w:r>
      <w:r w:rsidR="007910C0">
        <w:rPr>
          <w:rFonts w:eastAsia="MS Mincho" w:cs="Arial"/>
          <w:sz w:val="20"/>
          <w:szCs w:val="20"/>
          <w:lang w:val="en-GB" w:eastAsia="ja-JP"/>
        </w:rPr>
        <w:t xml:space="preserve"> per cent</w:t>
      </w:r>
      <w:r w:rsidR="007910C0" w:rsidRPr="00C96521">
        <w:rPr>
          <w:rFonts w:eastAsia="MS Mincho" w:cs="Arial"/>
          <w:sz w:val="20"/>
          <w:szCs w:val="20"/>
          <w:lang w:val="en-GB" w:eastAsia="ja-JP"/>
        </w:rPr>
        <w:t xml:space="preserve">. </w:t>
      </w:r>
      <w:r w:rsidRPr="00C96521">
        <w:rPr>
          <w:rFonts w:eastAsia="MS Mincho" w:cs="Arial"/>
          <w:sz w:val="20"/>
          <w:szCs w:val="20"/>
          <w:lang w:val="en-GB" w:eastAsia="ja-JP"/>
        </w:rPr>
        <w:t>Both of these last scenarios (6 and 12) had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set to its maximum value (2.03), which is likely not to be realistic for a species such as the turtle-dove. Consequently, hunting take would be lower than P only for scenarios 5 and 11, such difference being always below 5%. Hunting take is lower than P only when considering the upper interval values for P. It is never the case when considering the lower interval values. </w:t>
      </w:r>
    </w:p>
    <w:p w14:paraId="39EE4EDE"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 </w:t>
      </w:r>
    </w:p>
    <w:p w14:paraId="06547B76" w14:textId="2A0AA3EE"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It appears, therefore, that the number of birds hunted within the western flyway is higher than the </w:t>
      </w:r>
      <w:r w:rsidR="007910C0">
        <w:rPr>
          <w:rFonts w:eastAsia="MS Mincho"/>
          <w:sz w:val="20"/>
          <w:szCs w:val="22"/>
          <w:lang w:val="en-GB" w:eastAsia="ja-JP"/>
        </w:rPr>
        <w:t>T</w:t>
      </w:r>
      <w:r w:rsidR="007910C0" w:rsidRPr="00C96521">
        <w:rPr>
          <w:rFonts w:eastAsia="MS Mincho"/>
          <w:sz w:val="20"/>
          <w:szCs w:val="22"/>
          <w:lang w:val="en-GB" w:eastAsia="ja-JP"/>
        </w:rPr>
        <w:t>urtle</w:t>
      </w:r>
      <w:r w:rsidR="007910C0">
        <w:rPr>
          <w:rFonts w:eastAsia="MS Mincho"/>
          <w:sz w:val="20"/>
          <w:szCs w:val="22"/>
          <w:lang w:val="en-GB" w:eastAsia="ja-JP"/>
        </w:rPr>
        <w:t xml:space="preserve"> D</w:t>
      </w:r>
      <w:r w:rsidR="007910C0" w:rsidRPr="00C96521">
        <w:rPr>
          <w:rFonts w:eastAsia="MS Mincho"/>
          <w:sz w:val="20"/>
          <w:szCs w:val="22"/>
          <w:lang w:val="en-GB" w:eastAsia="ja-JP"/>
        </w:rPr>
        <w:t xml:space="preserve">ove </w:t>
      </w:r>
      <w:r w:rsidRPr="00C96521">
        <w:rPr>
          <w:rFonts w:eastAsia="MS Mincho" w:cs="Arial"/>
          <w:sz w:val="20"/>
          <w:szCs w:val="20"/>
          <w:lang w:val="en-GB" w:eastAsia="ja-JP"/>
        </w:rPr>
        <w:t xml:space="preserve">population is able to sustain (whether Italy is included or not). </w:t>
      </w:r>
    </w:p>
    <w:p w14:paraId="7211050D"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11FBC3D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This conclusion is further supported by additional information:</w:t>
      </w:r>
    </w:p>
    <w:p w14:paraId="02954D0E" w14:textId="1BF04A38"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the maximal growth rate calculated through national monitoring schemes are notably weaker than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calculated through the use of demographic invariants (Spain 1.3139, 21 years</w:t>
      </w:r>
      <w:r w:rsidR="007910C0">
        <w:rPr>
          <w:rFonts w:eastAsia="MS Mincho" w:cs="Arial"/>
          <w:sz w:val="20"/>
          <w:szCs w:val="20"/>
          <w:lang w:val="en-GB" w:eastAsia="ja-JP"/>
        </w:rPr>
        <w:t>’</w:t>
      </w:r>
      <w:r w:rsidRPr="00C96521">
        <w:rPr>
          <w:rFonts w:eastAsia="MS Mincho" w:cs="Arial"/>
          <w:sz w:val="20"/>
          <w:szCs w:val="20"/>
          <w:lang w:val="en-GB" w:eastAsia="ja-JP"/>
        </w:rPr>
        <w:t xml:space="preserve"> data; France 1.2134, 26 years</w:t>
      </w:r>
      <w:r w:rsidR="007910C0">
        <w:rPr>
          <w:rFonts w:eastAsia="MS Mincho" w:cs="Arial"/>
          <w:sz w:val="20"/>
          <w:szCs w:val="20"/>
          <w:lang w:val="en-GB" w:eastAsia="ja-JP"/>
        </w:rPr>
        <w:t>’</w:t>
      </w:r>
      <w:r w:rsidRPr="00C96521">
        <w:rPr>
          <w:rFonts w:eastAsia="MS Mincho" w:cs="Arial"/>
          <w:sz w:val="20"/>
          <w:szCs w:val="20"/>
          <w:lang w:val="en-GB" w:eastAsia="ja-JP"/>
        </w:rPr>
        <w:t xml:space="preserve"> data; UK 1.2525,49 years</w:t>
      </w:r>
      <w:r w:rsidR="007910C0">
        <w:rPr>
          <w:rFonts w:eastAsia="MS Mincho" w:cs="Arial"/>
          <w:sz w:val="20"/>
          <w:szCs w:val="20"/>
          <w:lang w:val="en-GB" w:eastAsia="ja-JP"/>
        </w:rPr>
        <w:t>’</w:t>
      </w:r>
      <w:r w:rsidRPr="00C96521">
        <w:rPr>
          <w:rFonts w:eastAsia="MS Mincho" w:cs="Arial"/>
          <w:sz w:val="20"/>
          <w:szCs w:val="20"/>
          <w:lang w:val="en-GB" w:eastAsia="ja-JP"/>
        </w:rPr>
        <w:t xml:space="preserve"> data (Will Peach </w:t>
      </w:r>
      <w:r w:rsidRPr="00C96521">
        <w:rPr>
          <w:rFonts w:eastAsia="MS Mincho" w:cs="Arial"/>
          <w:i/>
          <w:sz w:val="20"/>
          <w:szCs w:val="20"/>
          <w:lang w:val="en-GB" w:eastAsia="ja-JP"/>
        </w:rPr>
        <w:t>pers comm</w:t>
      </w:r>
      <w:r w:rsidRPr="00C96521">
        <w:rPr>
          <w:rFonts w:eastAsia="MS Mincho" w:cs="Arial"/>
          <w:sz w:val="20"/>
          <w:szCs w:val="20"/>
          <w:lang w:val="en-GB" w:eastAsia="ja-JP"/>
        </w:rPr>
        <w:t>); it should be noted that λ</w:t>
      </w:r>
      <w:r w:rsidRPr="00C96521">
        <w:rPr>
          <w:rFonts w:eastAsia="MS Mincho" w:cs="Arial"/>
          <w:sz w:val="20"/>
          <w:szCs w:val="20"/>
          <w:vertAlign w:val="subscript"/>
          <w:lang w:val="en-GB" w:eastAsia="ja-JP"/>
        </w:rPr>
        <w:t>max</w:t>
      </w:r>
      <w:r w:rsidRPr="00C96521">
        <w:rPr>
          <w:rFonts w:eastAsia="MS Mincho" w:cs="Arial"/>
          <w:sz w:val="20"/>
          <w:szCs w:val="20"/>
          <w:lang w:val="en-GB" w:eastAsia="ja-JP"/>
        </w:rPr>
        <w:t xml:space="preserve"> obtained through national schemes already includes additive mortality related to hunting;</w:t>
      </w:r>
    </w:p>
    <w:p w14:paraId="34B9B0CF"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r w:rsidRPr="00C96521">
        <w:rPr>
          <w:rFonts w:eastAsia="MS Mincho" w:cs="Arial"/>
          <w:sz w:val="20"/>
          <w:szCs w:val="20"/>
          <w:lang w:val="en-GB" w:eastAsia="ja-JP"/>
        </w:rPr>
        <w:t xml:space="preserve">- this analysis has not taken into account the number of turtle doves killed by hunters in Africa while overwintering, and so the overall hunting bag size could be substantially higher. </w:t>
      </w:r>
    </w:p>
    <w:p w14:paraId="52C0BACF"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46CB7E3A" w14:textId="77777777" w:rsidR="00C96521" w:rsidRPr="00C96521" w:rsidRDefault="00C96521" w:rsidP="00C96521">
      <w:pPr>
        <w:widowControl/>
        <w:autoSpaceDE/>
        <w:autoSpaceDN/>
        <w:adjustRightInd/>
        <w:spacing w:line="276" w:lineRule="auto"/>
        <w:rPr>
          <w:rFonts w:eastAsia="MS Mincho" w:cs="Arial"/>
          <w:sz w:val="20"/>
          <w:szCs w:val="20"/>
          <w:lang w:val="en-GB" w:eastAsia="ja-JP"/>
        </w:rPr>
      </w:pPr>
    </w:p>
    <w:p w14:paraId="07B6478C" w14:textId="77777777" w:rsidR="00C96521" w:rsidRPr="00C96521" w:rsidRDefault="00C96521" w:rsidP="00C96521">
      <w:pPr>
        <w:widowControl/>
        <w:autoSpaceDE/>
        <w:autoSpaceDN/>
        <w:adjustRightInd/>
        <w:spacing w:line="276" w:lineRule="auto"/>
        <w:rPr>
          <w:rFonts w:eastAsia="MS Mincho"/>
          <w:color w:val="FF0000"/>
          <w:sz w:val="20"/>
          <w:szCs w:val="22"/>
          <w:lang w:val="en-GB" w:eastAsia="ja-JP"/>
        </w:rPr>
      </w:pPr>
    </w:p>
    <w:p w14:paraId="76E37C7B"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p w14:paraId="102B647C" w14:textId="77777777" w:rsidR="00C96521" w:rsidRPr="00C96521" w:rsidRDefault="00C96521" w:rsidP="00C96521">
      <w:pPr>
        <w:widowControl/>
        <w:autoSpaceDE/>
        <w:autoSpaceDN/>
        <w:adjustRightInd/>
        <w:spacing w:line="276" w:lineRule="auto"/>
        <w:rPr>
          <w:rFonts w:eastAsia="MS Gothic"/>
          <w:b/>
          <w:bCs/>
          <w:color w:val="365F91"/>
          <w:sz w:val="32"/>
          <w:szCs w:val="28"/>
          <w:lang w:val="en-GB" w:eastAsia="ja-JP"/>
        </w:rPr>
      </w:pPr>
      <w:r w:rsidRPr="00C96521">
        <w:rPr>
          <w:rFonts w:eastAsia="MS Mincho"/>
          <w:sz w:val="20"/>
          <w:szCs w:val="22"/>
          <w:lang w:val="en-GB" w:eastAsia="ja-JP"/>
        </w:rPr>
        <w:br w:type="page"/>
      </w:r>
    </w:p>
    <w:p w14:paraId="6BBAAECE" w14:textId="77777777"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39" w:name="_Toc478646924"/>
      <w:r w:rsidRPr="00C96521">
        <w:rPr>
          <w:rFonts w:eastAsia="MS Gothic"/>
          <w:b/>
          <w:bCs/>
          <w:color w:val="365F91"/>
          <w:sz w:val="32"/>
          <w:szCs w:val="28"/>
          <w:lang w:val="en-GB" w:eastAsia="ja-JP"/>
        </w:rPr>
        <w:lastRenderedPageBreak/>
        <w:t>Annex 5: REFERENCES</w:t>
      </w:r>
      <w:bookmarkEnd w:id="39"/>
    </w:p>
    <w:p w14:paraId="73D0F2C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1FF4D8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ADAMIAN MS and KLEM D (1997)</w:t>
      </w:r>
      <w:r w:rsidRPr="00C96521">
        <w:rPr>
          <w:rFonts w:eastAsia="MS Mincho" w:cs="Arial"/>
          <w:szCs w:val="18"/>
          <w:lang w:val="en-GB" w:eastAsia="ja-JP"/>
        </w:rPr>
        <w:t xml:space="preserve"> </w:t>
      </w:r>
      <w:r w:rsidRPr="00C96521">
        <w:rPr>
          <w:rFonts w:eastAsia="MS Mincho" w:cs="Arial"/>
          <w:i/>
          <w:szCs w:val="18"/>
          <w:lang w:val="en-GB" w:eastAsia="ja-JP"/>
        </w:rPr>
        <w:t>A Field Guide to Birds of Armenia</w:t>
      </w:r>
      <w:r w:rsidRPr="00C96521">
        <w:rPr>
          <w:rFonts w:eastAsia="MS Mincho" w:cs="Arial"/>
          <w:szCs w:val="18"/>
          <w:lang w:val="en-GB" w:eastAsia="ja-JP"/>
        </w:rPr>
        <w:t>. American University of Armenia, Yerevan.</w:t>
      </w:r>
    </w:p>
    <w:p w14:paraId="2A4F2B83"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A44FBC9" w14:textId="7AFD6836"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AEBISCHER NJ (2002) </w:t>
      </w:r>
      <w:r w:rsidRPr="00C96521">
        <w:rPr>
          <w:rFonts w:eastAsia="MS Mincho" w:cs="Arial"/>
          <w:szCs w:val="18"/>
          <w:lang w:val="en-GB" w:eastAsia="ja-JP"/>
        </w:rPr>
        <w:t>Turtle</w:t>
      </w:r>
      <w:r w:rsidR="007910C0">
        <w:rPr>
          <w:rFonts w:eastAsia="MS Mincho" w:cs="Arial"/>
          <w:szCs w:val="18"/>
          <w:lang w:val="en-GB" w:eastAsia="ja-JP"/>
        </w:rPr>
        <w:t xml:space="preserve"> D</w:t>
      </w:r>
      <w:r w:rsidRPr="00C96521">
        <w:rPr>
          <w:rFonts w:eastAsia="MS Mincho" w:cs="Arial"/>
          <w:szCs w:val="18"/>
          <w:lang w:val="en-GB" w:eastAsia="ja-JP"/>
        </w:rPr>
        <w:t xml:space="preserve">dove </w:t>
      </w:r>
      <w:r w:rsidRPr="00C96521">
        <w:rPr>
          <w:rFonts w:eastAsia="MS Mincho" w:cs="Arial"/>
          <w:i/>
          <w:szCs w:val="18"/>
          <w:lang w:val="en-GB" w:eastAsia="ja-JP"/>
        </w:rPr>
        <w:t>Streptopelia turtur</w:t>
      </w:r>
      <w:r w:rsidRPr="00C96521">
        <w:rPr>
          <w:rFonts w:eastAsia="MS Mincho" w:cs="Arial"/>
          <w:szCs w:val="18"/>
          <w:lang w:val="en-GB" w:eastAsia="ja-JP"/>
        </w:rPr>
        <w:t xml:space="preserve">. In: WERNHAM CV, TOMS MP, MARCHANT JH, CLARK JA, SIRIWADERNA GM and BAILLIE SR (eds) </w:t>
      </w:r>
      <w:r w:rsidRPr="00C96521">
        <w:rPr>
          <w:rFonts w:eastAsia="MS Mincho" w:cs="Arial"/>
          <w:i/>
          <w:szCs w:val="18"/>
          <w:lang w:val="en-GB" w:eastAsia="ja-JP"/>
        </w:rPr>
        <w:t>The Migration Atlas: movements of the Birds of Britain and Ireland</w:t>
      </w:r>
      <w:r w:rsidRPr="00C96521">
        <w:rPr>
          <w:rFonts w:eastAsia="MS Mincho" w:cs="Arial"/>
          <w:szCs w:val="18"/>
          <w:lang w:val="en-GB" w:eastAsia="ja-JP"/>
        </w:rPr>
        <w:t>. T &amp; AD Poyser, London. pp 420-422.</w:t>
      </w:r>
    </w:p>
    <w:p w14:paraId="037C148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A2C55F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AGENDA.GE (2015)</w:t>
      </w:r>
      <w:r w:rsidRPr="00C96521">
        <w:rPr>
          <w:rFonts w:eastAsia="MS Mincho" w:cs="Arial"/>
          <w:szCs w:val="18"/>
          <w:lang w:val="en-GB" w:eastAsia="ja-JP"/>
        </w:rPr>
        <w:t xml:space="preserve"> </w:t>
      </w:r>
      <w:r w:rsidRPr="00C96521">
        <w:rPr>
          <w:rFonts w:eastAsia="MS Mincho" w:cs="Arial"/>
          <w:i/>
          <w:szCs w:val="18"/>
          <w:lang w:val="en-GB" w:eastAsia="ja-JP"/>
        </w:rPr>
        <w:t>Georgia’s bird hunting season begins tomorrow.</w:t>
      </w:r>
      <w:r w:rsidRPr="00C96521">
        <w:rPr>
          <w:rFonts w:eastAsia="MS Mincho" w:cs="Arial"/>
          <w:szCs w:val="18"/>
          <w:lang w:val="en-GB" w:eastAsia="ja-JP"/>
        </w:rPr>
        <w:t xml:space="preserve"> http://agenda.ge/news/40710/eng (last accessed 25</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21EA8CD2"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E290E95"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bCs/>
          <w:szCs w:val="18"/>
          <w:lang w:val="en-GB" w:eastAsia="ja-JP"/>
        </w:rPr>
        <w:t>ALLEN B, KRETSCHMER B, BALDOCK D, MENADUE H, NANNI S and TUCKER G (2014)</w:t>
      </w:r>
      <w:r w:rsidRPr="00C96521">
        <w:rPr>
          <w:rFonts w:eastAsia="MS Mincho" w:cs="Arial"/>
          <w:szCs w:val="18"/>
          <w:lang w:val="en-GB" w:eastAsia="ja-JP"/>
        </w:rPr>
        <w:t xml:space="preserve"> </w:t>
      </w:r>
      <w:r w:rsidRPr="00C96521">
        <w:rPr>
          <w:rFonts w:eastAsia="MS Mincho" w:cs="Arial"/>
          <w:i/>
          <w:szCs w:val="18"/>
          <w:lang w:val="en-GB" w:eastAsia="ja-JP"/>
        </w:rPr>
        <w:t>Space for energy crops – assessing the potential contribution to Europe’s energy future</w:t>
      </w:r>
      <w:r w:rsidRPr="00C96521">
        <w:rPr>
          <w:rFonts w:eastAsia="MS Mincho" w:cs="Arial"/>
          <w:szCs w:val="18"/>
          <w:lang w:val="en-GB" w:eastAsia="ja-JP"/>
        </w:rPr>
        <w:t xml:space="preserve">. Report produced for BirdLife Europe, European Environmental Bureau and Transport and Environment. </w:t>
      </w:r>
      <w:r w:rsidRPr="00890F11">
        <w:rPr>
          <w:rFonts w:eastAsia="MS Mincho" w:cs="Arial"/>
          <w:szCs w:val="18"/>
          <w:lang w:val="fr-FR" w:eastAsia="ja-JP"/>
        </w:rPr>
        <w:t>IEEP, London.</w:t>
      </w:r>
    </w:p>
    <w:p w14:paraId="4821501B"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410AFDD1"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fr-FR" w:eastAsia="ja-JP"/>
        </w:rPr>
        <w:t>ARNAUDUC J-P, ANSTETT L and BOOS M (2011)</w:t>
      </w:r>
      <w:r w:rsidRPr="00890F11">
        <w:rPr>
          <w:rFonts w:eastAsia="MS Mincho" w:cs="Arial"/>
          <w:szCs w:val="18"/>
          <w:lang w:val="fr-FR" w:eastAsia="ja-JP"/>
        </w:rPr>
        <w:t xml:space="preserve"> Les prélèvements de colombidés par la chasse en France. </w:t>
      </w:r>
      <w:r w:rsidRPr="00890F11">
        <w:rPr>
          <w:rFonts w:eastAsia="MS Mincho" w:cs="Arial"/>
          <w:i/>
          <w:szCs w:val="18"/>
          <w:lang w:val="fr-FR" w:eastAsia="ja-JP"/>
        </w:rPr>
        <w:t>Faune Sauvage</w:t>
      </w:r>
      <w:r w:rsidRPr="00890F11">
        <w:rPr>
          <w:rFonts w:eastAsia="MS Mincho" w:cs="Arial"/>
          <w:szCs w:val="18"/>
          <w:lang w:val="fr-FR" w:eastAsia="ja-JP"/>
        </w:rPr>
        <w:t xml:space="preserve"> 293: 45-49.</w:t>
      </w:r>
    </w:p>
    <w:p w14:paraId="5DB804E1"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p>
    <w:p w14:paraId="77A0104A"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fr-FR" w:eastAsia="ja-JP"/>
        </w:rPr>
        <w:t>AUBINEAU J and BOUTIN JM</w:t>
      </w:r>
      <w:r w:rsidRPr="00890F11">
        <w:rPr>
          <w:rFonts w:eastAsia="MS Mincho" w:cs="Arial"/>
          <w:szCs w:val="18"/>
          <w:lang w:val="fr-FR" w:eastAsia="ja-JP"/>
        </w:rPr>
        <w:t xml:space="preserve"> </w:t>
      </w:r>
      <w:r w:rsidRPr="00890F11">
        <w:rPr>
          <w:rFonts w:eastAsia="MS Mincho" w:cs="Arial"/>
          <w:b/>
          <w:bCs/>
          <w:szCs w:val="18"/>
          <w:lang w:val="fr-FR" w:eastAsia="ja-JP"/>
        </w:rPr>
        <w:t xml:space="preserve">(1998) </w:t>
      </w:r>
      <w:r w:rsidRPr="00890F11">
        <w:rPr>
          <w:rFonts w:eastAsia="MS Mincho" w:cs="Arial"/>
          <w:szCs w:val="18"/>
          <w:lang w:val="fr-FR" w:eastAsia="ja-JP"/>
        </w:rPr>
        <w:t xml:space="preserve">L’impact des modalités de gestion du maillage bocager sur les colombidés nicheurs dans l’ouest de la France. </w:t>
      </w:r>
      <w:r w:rsidRPr="00890F11">
        <w:rPr>
          <w:rFonts w:eastAsia="MS Mincho" w:cs="Arial"/>
          <w:i/>
          <w:iCs/>
          <w:szCs w:val="18"/>
          <w:lang w:val="fr-FR" w:eastAsia="ja-JP"/>
        </w:rPr>
        <w:t xml:space="preserve">Gibier Faune Sauvage </w:t>
      </w:r>
      <w:r w:rsidRPr="00890F11">
        <w:rPr>
          <w:rFonts w:eastAsia="MS Mincho" w:cs="Arial"/>
          <w:szCs w:val="18"/>
          <w:lang w:val="fr-FR" w:eastAsia="ja-JP"/>
        </w:rPr>
        <w:t>15(1): 55-63.</w:t>
      </w:r>
    </w:p>
    <w:p w14:paraId="529DDDF1"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0D585885"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fr-FR" w:eastAsia="ja-JP"/>
        </w:rPr>
        <w:t>AUBRY P, ANSTETT L, FERRAND Y, REITZ F, KLEIN F, RUETTE S, SARASA M, ARNAUDUC J-P and MIGOT P (2016)</w:t>
      </w:r>
      <w:r w:rsidRPr="00890F11">
        <w:rPr>
          <w:rFonts w:eastAsia="MS Mincho" w:cs="Arial"/>
          <w:szCs w:val="18"/>
          <w:lang w:val="fr-FR" w:eastAsia="ja-JP"/>
        </w:rPr>
        <w:t xml:space="preserve"> Enquête nationale sur les tableaux de chasse à tir. Saison 2013-2014 Résultats nationaux. </w:t>
      </w:r>
      <w:r w:rsidRPr="00890F11">
        <w:rPr>
          <w:rFonts w:eastAsia="MS Mincho" w:cs="Arial"/>
          <w:i/>
          <w:szCs w:val="18"/>
          <w:lang w:val="fr-FR" w:eastAsia="ja-JP"/>
        </w:rPr>
        <w:t>Faune Sauvage</w:t>
      </w:r>
      <w:r w:rsidRPr="00890F11">
        <w:rPr>
          <w:rFonts w:eastAsia="MS Mincho" w:cs="Arial"/>
          <w:szCs w:val="18"/>
          <w:lang w:val="fr-FR" w:eastAsia="ja-JP"/>
        </w:rPr>
        <w:t xml:space="preserve"> 310 (supplement Jan-Mar 2016): 1-8.</w:t>
      </w:r>
    </w:p>
    <w:p w14:paraId="1148A45C"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2AD6202F" w14:textId="77777777" w:rsidR="00C96521" w:rsidRPr="00890F11" w:rsidRDefault="00C96521" w:rsidP="00C96521">
      <w:pPr>
        <w:widowControl/>
        <w:autoSpaceDE/>
        <w:autoSpaceDN/>
        <w:adjustRightInd/>
        <w:spacing w:line="276" w:lineRule="auto"/>
        <w:rPr>
          <w:rFonts w:eastAsia="MS Mincho" w:cs="Arial"/>
          <w:b/>
          <w:szCs w:val="18"/>
          <w:lang w:val="fr-FR" w:eastAsia="ja-JP"/>
        </w:rPr>
      </w:pPr>
      <w:r w:rsidRPr="00890F11">
        <w:rPr>
          <w:rFonts w:eastAsia="MS Mincho" w:cs="Arial"/>
          <w:b/>
          <w:szCs w:val="18"/>
          <w:lang w:val="fr-FR" w:eastAsia="ja-JP"/>
        </w:rPr>
        <w:t>AUNINŠ A (2015)</w:t>
      </w:r>
      <w:r w:rsidRPr="00890F11">
        <w:rPr>
          <w:rFonts w:eastAsia="MS Mincho" w:cs="Arial"/>
          <w:szCs w:val="18"/>
          <w:lang w:val="fr-FR" w:eastAsia="ja-JP"/>
        </w:rPr>
        <w:t xml:space="preserve"> </w:t>
      </w:r>
      <w:r w:rsidRPr="00890F11">
        <w:rPr>
          <w:rFonts w:eastAsia="MS Mincho" w:cs="Arial"/>
          <w:i/>
          <w:szCs w:val="18"/>
          <w:lang w:val="fr-FR" w:eastAsia="ja-JP"/>
        </w:rPr>
        <w:t>Latvijas ligzdojošo putnu uzskaites: parasto putnu skaita pārmaiņas 2005–2014</w:t>
      </w:r>
      <w:r w:rsidRPr="00890F11">
        <w:rPr>
          <w:rFonts w:eastAsia="MS Mincho" w:cs="Arial"/>
          <w:szCs w:val="18"/>
          <w:lang w:val="fr-FR" w:eastAsia="ja-JP"/>
        </w:rPr>
        <w:t>. Putni dabā 2015/1.</w:t>
      </w:r>
    </w:p>
    <w:p w14:paraId="739D7ED7"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7C18012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fr-FR" w:eastAsia="ja-JP"/>
        </w:rPr>
        <w:t>BACON L (2012)</w:t>
      </w:r>
      <w:r w:rsidRPr="00890F11">
        <w:rPr>
          <w:rFonts w:eastAsia="MS Mincho" w:cs="Arial"/>
          <w:szCs w:val="18"/>
          <w:lang w:val="fr-FR" w:eastAsia="ja-JP"/>
        </w:rPr>
        <w:t xml:space="preserve"> </w:t>
      </w:r>
      <w:r w:rsidRPr="00890F11">
        <w:rPr>
          <w:rFonts w:eastAsia="MS Mincho" w:cs="Arial"/>
          <w:i/>
          <w:szCs w:val="18"/>
          <w:lang w:val="fr-FR" w:eastAsia="ja-JP"/>
        </w:rPr>
        <w:t>Estimation de la taille de la population de tourterelle des bois nicheuse en France</w:t>
      </w:r>
      <w:r w:rsidRPr="00890F11">
        <w:rPr>
          <w:rFonts w:eastAsia="MS Mincho" w:cs="Arial"/>
          <w:szCs w:val="18"/>
          <w:lang w:val="fr-FR" w:eastAsia="ja-JP"/>
        </w:rPr>
        <w:t xml:space="preserve">. </w:t>
      </w:r>
      <w:r w:rsidRPr="00C96521">
        <w:rPr>
          <w:rFonts w:eastAsia="MS Mincho" w:cs="Arial"/>
          <w:szCs w:val="18"/>
          <w:lang w:val="en-GB" w:eastAsia="ja-JP"/>
        </w:rPr>
        <w:t>Master1 IEGB, Université Montpellier, Montpellier.</w:t>
      </w:r>
    </w:p>
    <w:p w14:paraId="3FF1298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1D323B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BAKALOUDIS DE, VLACHOS CG, CHATZINIKOS E, BONTZORLOS V and PAPAKOSTA M (2009) </w:t>
      </w:r>
      <w:r w:rsidRPr="00C96521">
        <w:rPr>
          <w:rFonts w:eastAsia="MS Mincho" w:cs="Arial"/>
          <w:szCs w:val="18"/>
          <w:lang w:val="en-GB" w:eastAsia="ja-JP"/>
        </w:rPr>
        <w:t>Breeding habitat preferences of the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in the Dadia-Soufli National Park and its implications for management. </w:t>
      </w:r>
      <w:r w:rsidRPr="00C96521">
        <w:rPr>
          <w:rFonts w:eastAsia="MS Mincho" w:cs="Arial"/>
          <w:i/>
          <w:szCs w:val="18"/>
          <w:lang w:val="en-GB" w:eastAsia="ja-JP"/>
        </w:rPr>
        <w:t>European Journal of Wildlife Research</w:t>
      </w:r>
      <w:r w:rsidRPr="00C96521">
        <w:rPr>
          <w:rFonts w:eastAsia="MS Mincho" w:cs="Arial"/>
          <w:szCs w:val="18"/>
          <w:lang w:val="en-GB" w:eastAsia="ja-JP"/>
        </w:rPr>
        <w:t xml:space="preserve"> 55: 597-602.</w:t>
      </w:r>
    </w:p>
    <w:p w14:paraId="3C0D1C9C"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E0F684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BAKER DJ, FREEMAN SN, GRICE PV and SIRIWARDENA GM (2012)</w:t>
      </w:r>
      <w:r w:rsidRPr="00C96521">
        <w:rPr>
          <w:rFonts w:eastAsia="MS Mincho" w:cs="Arial"/>
          <w:szCs w:val="18"/>
          <w:lang w:val="en-GB" w:eastAsia="ja-JP"/>
        </w:rPr>
        <w:t xml:space="preserve"> Landscape-scale responses of birds to agri-environment management: a test of the English Environmental Stewardship scheme. </w:t>
      </w:r>
      <w:r w:rsidRPr="00C96521">
        <w:rPr>
          <w:rFonts w:eastAsia="MS Mincho" w:cs="Arial"/>
          <w:i/>
          <w:szCs w:val="18"/>
          <w:lang w:val="en-GB" w:eastAsia="ja-JP"/>
        </w:rPr>
        <w:t>Journal of Applied Ecology</w:t>
      </w:r>
      <w:r w:rsidRPr="00C96521">
        <w:rPr>
          <w:rFonts w:eastAsia="MS Mincho" w:cs="Arial"/>
          <w:szCs w:val="18"/>
          <w:lang w:val="en-GB" w:eastAsia="ja-JP"/>
        </w:rPr>
        <w:t xml:space="preserve"> 49(4): 871-882.</w:t>
      </w:r>
    </w:p>
    <w:p w14:paraId="10217E29"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FF1AE1A"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C96521">
        <w:rPr>
          <w:rFonts w:eastAsia="MS Mincho" w:cs="Arial"/>
          <w:b/>
          <w:szCs w:val="18"/>
          <w:lang w:val="en-GB" w:eastAsia="ja-JP"/>
        </w:rPr>
        <w:t>BALMORI A (2004)</w:t>
      </w:r>
      <w:r w:rsidRPr="00C96521">
        <w:rPr>
          <w:rFonts w:eastAsia="MS Mincho" w:cs="Arial"/>
          <w:szCs w:val="18"/>
          <w:lang w:val="en-GB" w:eastAsia="ja-JP"/>
        </w:rPr>
        <w:t xml:space="preserve"> Tórtola Común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890F11">
        <w:rPr>
          <w:rFonts w:eastAsia="MS Mincho" w:cs="Arial"/>
          <w:szCs w:val="18"/>
          <w:lang w:val="es-ES" w:eastAsia="ja-JP"/>
        </w:rPr>
        <w:t xml:space="preserve">In: MADROÑO A, GONZÁLEZ A and ATIENZA JC (eds) </w:t>
      </w:r>
      <w:r w:rsidRPr="00890F11">
        <w:rPr>
          <w:rFonts w:eastAsia="MS Mincho" w:cs="Arial"/>
          <w:i/>
          <w:szCs w:val="18"/>
          <w:lang w:val="es-ES" w:eastAsia="ja-JP"/>
        </w:rPr>
        <w:t>Libro Rojo de las aves de España</w:t>
      </w:r>
      <w:r w:rsidRPr="00890F11">
        <w:rPr>
          <w:rFonts w:eastAsia="MS Mincho" w:cs="Arial"/>
          <w:szCs w:val="18"/>
          <w:lang w:val="es-ES" w:eastAsia="ja-JP"/>
        </w:rPr>
        <w:t>. Dirección General para la Biodiversidad. SEO/BirdLife, Madrid. pp 281–285.</w:t>
      </w:r>
    </w:p>
    <w:p w14:paraId="25B11907"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1619E581"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890F11">
        <w:rPr>
          <w:rFonts w:eastAsia="MS Mincho" w:cs="Arial"/>
          <w:b/>
          <w:szCs w:val="18"/>
          <w:lang w:val="es-ES" w:eastAsia="ja-JP"/>
        </w:rPr>
        <w:t>BAPTISTA LF, TRAIL PW, HORBLIT HM, BOESMAN P, SHARPE CJ and KIRWAN GM (2016)</w:t>
      </w:r>
      <w:r w:rsidRPr="00890F11">
        <w:rPr>
          <w:rFonts w:eastAsia="MS Mincho" w:cs="Arial"/>
          <w:color w:val="3D3C3C"/>
          <w:szCs w:val="18"/>
          <w:shd w:val="clear" w:color="auto" w:fill="FFFFFF"/>
          <w:lang w:val="es-ES" w:eastAsia="ja-JP"/>
        </w:rPr>
        <w:t xml:space="preserve"> </w:t>
      </w:r>
      <w:r w:rsidRPr="00890F11">
        <w:rPr>
          <w:rFonts w:eastAsia="MS Mincho" w:cs="Arial"/>
          <w:szCs w:val="18"/>
          <w:lang w:val="es-ES" w:eastAsia="ja-JP"/>
        </w:rPr>
        <w:t xml:space="preserve">European Turtle-dove (Streptopelia turtur). </w:t>
      </w:r>
      <w:r w:rsidRPr="00C96521">
        <w:rPr>
          <w:rFonts w:eastAsia="MS Mincho" w:cs="Arial"/>
          <w:szCs w:val="18"/>
          <w:lang w:val="en-GB" w:eastAsia="ja-JP"/>
        </w:rPr>
        <w:t>In: del HOYO J, ELLIOTT A, SARGATAL J, CHRISTIE DA and de JUANA E (eds) </w:t>
      </w:r>
      <w:r w:rsidRPr="00C96521">
        <w:rPr>
          <w:rFonts w:eastAsia="MS Mincho" w:cs="Arial"/>
          <w:i/>
          <w:szCs w:val="18"/>
          <w:lang w:val="en-GB" w:eastAsia="ja-JP"/>
        </w:rPr>
        <w:t>Handbook of the Birds of the World</w:t>
      </w:r>
      <w:r w:rsidRPr="00C96521">
        <w:rPr>
          <w:rFonts w:eastAsia="MS Mincho" w:cs="Arial"/>
          <w:szCs w:val="18"/>
          <w:lang w:val="en-GB" w:eastAsia="ja-JP"/>
        </w:rPr>
        <w:t>. Lynx Edicions, Barcelona.</w:t>
      </w:r>
    </w:p>
    <w:p w14:paraId="7A865609"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E9F7EC0"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BARLOW C, WACHER T and DISLEY T (1997)</w:t>
      </w:r>
      <w:r w:rsidRPr="00C96521">
        <w:rPr>
          <w:rFonts w:eastAsia="MS Mincho" w:cs="Arial"/>
          <w:szCs w:val="18"/>
          <w:lang w:val="en-GB" w:eastAsia="ja-JP"/>
        </w:rPr>
        <w:t xml:space="preserve"> </w:t>
      </w:r>
      <w:r w:rsidRPr="00C96521">
        <w:rPr>
          <w:rFonts w:eastAsia="MS Mincho" w:cs="Arial"/>
          <w:i/>
          <w:szCs w:val="18"/>
          <w:lang w:val="en-GB" w:eastAsia="ja-JP"/>
        </w:rPr>
        <w:t>A Field Guide to Birds of The Gambia and Senegal</w:t>
      </w:r>
      <w:r w:rsidRPr="00C96521">
        <w:rPr>
          <w:rFonts w:eastAsia="MS Mincho" w:cs="Arial"/>
          <w:szCs w:val="18"/>
          <w:lang w:val="en-GB" w:eastAsia="ja-JP"/>
        </w:rPr>
        <w:t xml:space="preserve">. Pica Press, Robertsbridge. </w:t>
      </w:r>
    </w:p>
    <w:p w14:paraId="17CE3962"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D7C2FD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BARR CJ and GILLESPIE MK (2000)</w:t>
      </w:r>
      <w:r w:rsidRPr="00C96521">
        <w:rPr>
          <w:rFonts w:eastAsia="MS Mincho" w:cs="Arial"/>
          <w:szCs w:val="18"/>
          <w:lang w:val="en-GB" w:eastAsia="ja-JP"/>
        </w:rPr>
        <w:t xml:space="preserve"> Estimating hedgerow length and pattern characteristics in Great Britain using Countryside Survey data. </w:t>
      </w:r>
      <w:r w:rsidRPr="00C96521">
        <w:rPr>
          <w:rFonts w:eastAsia="MS Mincho" w:cs="Arial"/>
          <w:i/>
          <w:iCs/>
          <w:szCs w:val="18"/>
          <w:lang w:val="en-GB" w:eastAsia="ja-JP"/>
        </w:rPr>
        <w:t>Journal of Environmental Management</w:t>
      </w:r>
      <w:r w:rsidRPr="00C96521">
        <w:rPr>
          <w:rFonts w:eastAsia="MS Mincho" w:cs="Arial"/>
          <w:szCs w:val="18"/>
          <w:lang w:val="en-GB" w:eastAsia="ja-JP"/>
        </w:rPr>
        <w:t xml:space="preserve"> 60: 23-32</w:t>
      </w:r>
    </w:p>
    <w:p w14:paraId="0043BFF2"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422757E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BARLOW C, WACHER T and DISLEY T (1997) </w:t>
      </w:r>
      <w:r w:rsidRPr="00C96521">
        <w:rPr>
          <w:rFonts w:eastAsia="MS Mincho" w:cs="Arial"/>
          <w:i/>
          <w:szCs w:val="18"/>
          <w:lang w:val="en-GB" w:eastAsia="ja-JP"/>
        </w:rPr>
        <w:t>A Field Guide to Birds of The Gambia and Senegal</w:t>
      </w:r>
      <w:r w:rsidRPr="00C96521">
        <w:rPr>
          <w:rFonts w:eastAsia="MS Mincho" w:cs="Arial"/>
          <w:szCs w:val="18"/>
          <w:lang w:val="en-GB" w:eastAsia="ja-JP"/>
        </w:rPr>
        <w:t>. Pica Press, Robertsbridge.</w:t>
      </w:r>
    </w:p>
    <w:p w14:paraId="7A64A444"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1FEC16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BATUMI RAPTOR COUNT (2015 onwards</w:t>
      </w:r>
      <w:r w:rsidRPr="00C96521">
        <w:rPr>
          <w:rFonts w:eastAsia="MS Mincho" w:cs="Arial"/>
          <w:szCs w:val="18"/>
          <w:lang w:val="en-GB" w:eastAsia="ja-JP"/>
        </w:rPr>
        <w:t xml:space="preserve">) </w:t>
      </w:r>
      <w:hyperlink r:id="rId55" w:history="1">
        <w:r w:rsidRPr="00C96521">
          <w:rPr>
            <w:rFonts w:eastAsia="MS Mincho" w:cs="Arial"/>
            <w:szCs w:val="18"/>
            <w:lang w:val="en-GB" w:eastAsia="ja-JP"/>
          </w:rPr>
          <w:t>http://www.batumiraptorcount.org/raptor-migration/migration-count-data</w:t>
        </w:r>
      </w:hyperlink>
      <w:r w:rsidRPr="00C96521">
        <w:rPr>
          <w:rFonts w:eastAsia="MS Mincho" w:cs="Arial"/>
          <w:szCs w:val="18"/>
          <w:lang w:val="en-GB" w:eastAsia="ja-JP"/>
        </w:rPr>
        <w:t xml:space="preserve"> (last accessed 24th October 2016).</w:t>
      </w:r>
    </w:p>
    <w:p w14:paraId="254DB009"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066FE2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BELIK VP (2005)</w:t>
      </w:r>
      <w:r w:rsidRPr="00C96521">
        <w:rPr>
          <w:rFonts w:eastAsia="MS Mincho" w:cs="Arial"/>
          <w:szCs w:val="18"/>
          <w:lang w:val="en-GB" w:eastAsia="ja-JP"/>
        </w:rPr>
        <w:t xml:space="preserve"> Cadastre of breeding avifauna of South Russia. </w:t>
      </w:r>
      <w:r w:rsidRPr="00C96521">
        <w:rPr>
          <w:rFonts w:eastAsia="MS Mincho" w:cs="Arial"/>
          <w:i/>
          <w:szCs w:val="18"/>
          <w:lang w:val="en-GB" w:eastAsia="ja-JP"/>
        </w:rPr>
        <w:t>Strepet</w:t>
      </w:r>
      <w:r w:rsidRPr="00C96521">
        <w:rPr>
          <w:rFonts w:eastAsia="MS Mincho" w:cs="Arial"/>
          <w:szCs w:val="18"/>
          <w:lang w:val="en-GB" w:eastAsia="ja-JP"/>
        </w:rPr>
        <w:t xml:space="preserve"> 3 (1-2): 5-37. [in Russian]</w:t>
      </w:r>
    </w:p>
    <w:p w14:paraId="7A31B19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 xml:space="preserve">BELIK VP (2014) </w:t>
      </w:r>
      <w:r w:rsidRPr="00C96521">
        <w:rPr>
          <w:rFonts w:eastAsia="MS Mincho" w:cs="Arial"/>
          <w:szCs w:val="18"/>
          <w:lang w:val="en-GB" w:eastAsia="ja-JP"/>
        </w:rPr>
        <w:t xml:space="preserve">Woodpigeon and turtle-dove in the steppes of Don basin. </w:t>
      </w:r>
      <w:r w:rsidRPr="00C96521">
        <w:rPr>
          <w:rFonts w:eastAsia="MS Mincho" w:cs="Arial"/>
          <w:i/>
          <w:szCs w:val="18"/>
          <w:lang w:val="en-GB" w:eastAsia="ja-JP"/>
        </w:rPr>
        <w:t>Caucasian Ornithological Bulletin 5</w:t>
      </w:r>
      <w:r w:rsidRPr="00C96521">
        <w:rPr>
          <w:rFonts w:eastAsia="MS Mincho" w:cs="Arial"/>
          <w:szCs w:val="18"/>
          <w:lang w:val="en-GB" w:eastAsia="ja-JP"/>
        </w:rPr>
        <w:t>: 14-42. [in Russian]</w:t>
      </w:r>
    </w:p>
    <w:p w14:paraId="5F77560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02D53B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 xml:space="preserve">BELIK VP, POLIVANOV VM, TILBA PA, DZHAMIRZOEV GS, MUZAEV VM, BUKREEVA OM, RUSANOV GM, REUTSKIY ND, MOSEJKIN VN, CHERNOBAY VF, KHOKHLOV AN, IL’YKH MP, MNATSEKANOV RA and KOMAROVA YU E (2003) </w:t>
      </w:r>
      <w:r w:rsidRPr="00C96521">
        <w:rPr>
          <w:rFonts w:eastAsia="MS Mincho" w:cs="Arial"/>
          <w:szCs w:val="18"/>
          <w:lang w:val="en-GB" w:eastAsia="ja-JP"/>
        </w:rPr>
        <w:t xml:space="preserve">Recent population trends of breeding birds in the Southern Russia. – </w:t>
      </w:r>
      <w:r w:rsidRPr="00C96521">
        <w:rPr>
          <w:rFonts w:eastAsia="MS Mincho" w:cs="Arial"/>
          <w:i/>
          <w:szCs w:val="18"/>
          <w:lang w:val="en-GB" w:eastAsia="ja-JP"/>
        </w:rPr>
        <w:t>Strepet</w:t>
      </w:r>
      <w:r w:rsidRPr="00C96521">
        <w:rPr>
          <w:rFonts w:eastAsia="MS Mincho" w:cs="Arial"/>
          <w:szCs w:val="18"/>
          <w:lang w:val="en-GB" w:eastAsia="ja-JP"/>
        </w:rPr>
        <w:t xml:space="preserve"> 1: 10-30. [in Russian]</w:t>
      </w:r>
    </w:p>
    <w:p w14:paraId="65F089C3"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7E1DD3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BIODIVERSITE WALLONIE (2016)</w:t>
      </w:r>
      <w:r w:rsidRPr="00C96521">
        <w:rPr>
          <w:rFonts w:eastAsia="MS Mincho" w:cs="Arial"/>
          <w:szCs w:val="18"/>
          <w:lang w:val="en-GB" w:eastAsia="ja-JP"/>
        </w:rPr>
        <w:t xml:space="preserve"> </w:t>
      </w:r>
      <w:r w:rsidRPr="00C96521">
        <w:rPr>
          <w:rFonts w:eastAsia="MS Mincho" w:cs="Arial"/>
          <w:i/>
          <w:szCs w:val="18"/>
          <w:lang w:val="en-GB" w:eastAsia="ja-JP"/>
        </w:rPr>
        <w:t>Tourterelle des bois (</w:t>
      </w:r>
      <w:r w:rsidRPr="00C96521">
        <w:rPr>
          <w:rFonts w:eastAsia="MS Mincho" w:cs="Arial"/>
          <w:szCs w:val="18"/>
          <w:lang w:val="en-GB" w:eastAsia="ja-JP"/>
        </w:rPr>
        <w:t>Streptopelia turtur</w:t>
      </w:r>
      <w:r w:rsidRPr="00C96521">
        <w:rPr>
          <w:rFonts w:eastAsia="MS Mincho" w:cs="Arial"/>
          <w:i/>
          <w:szCs w:val="18"/>
          <w:lang w:val="en-GB" w:eastAsia="ja-JP"/>
        </w:rPr>
        <w:t>)</w:t>
      </w:r>
      <w:r w:rsidRPr="00C96521">
        <w:rPr>
          <w:rFonts w:eastAsia="MS Mincho" w:cs="Arial"/>
          <w:szCs w:val="18"/>
          <w:lang w:val="en-GB" w:eastAsia="ja-JP"/>
        </w:rPr>
        <w:t xml:space="preserve"> http://biodiversite.wallonie.be/fr/streptopelia-turtur.html?IDD=50334168&amp;IDC=310 (last accessed 28</w:t>
      </w:r>
      <w:r w:rsidRPr="00C96521">
        <w:rPr>
          <w:rFonts w:eastAsia="MS Mincho" w:cs="Arial"/>
          <w:szCs w:val="18"/>
          <w:vertAlign w:val="superscript"/>
          <w:lang w:val="en-GB" w:eastAsia="ja-JP"/>
        </w:rPr>
        <w:t>th</w:t>
      </w:r>
      <w:r w:rsidRPr="00C96521">
        <w:rPr>
          <w:rFonts w:eastAsia="MS Mincho" w:cs="Arial"/>
          <w:szCs w:val="18"/>
          <w:lang w:val="en-GB" w:eastAsia="ja-JP"/>
        </w:rPr>
        <w:t xml:space="preserve"> October 2016)</w:t>
      </w:r>
    </w:p>
    <w:p w14:paraId="0EF0C4B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5B6DD9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CYPRUS (2016)</w:t>
      </w:r>
      <w:r w:rsidRPr="00C96521">
        <w:rPr>
          <w:rFonts w:eastAsia="MS Mincho" w:cs="Arial"/>
          <w:szCs w:val="18"/>
          <w:lang w:val="en-GB" w:eastAsia="ja-JP"/>
        </w:rPr>
        <w:t xml:space="preserve"> BirdLife Cyprus note regarding the consultation on the proposed amendments to the Protection and Management of Wild Birds and Game Law Ν.152(Ι)/2003 [Letter written September 2, 2016 to Head of the Game and Fauna Service, Mr Pantelis Hadjiyerou]. http://www.birdlifecyprus.org/upload/2016_09_02_BirdLifeCyprusletter_Consultation_Huntinglawproposal_Final.pdf (last accessed 2</w:t>
      </w:r>
      <w:r w:rsidRPr="00C96521">
        <w:rPr>
          <w:rFonts w:eastAsia="MS Mincho" w:cs="Arial"/>
          <w:szCs w:val="18"/>
          <w:vertAlign w:val="superscript"/>
          <w:lang w:val="en-GB" w:eastAsia="ja-JP"/>
        </w:rPr>
        <w:t>nd</w:t>
      </w:r>
      <w:r w:rsidRPr="00C96521">
        <w:rPr>
          <w:rFonts w:eastAsia="MS Mincho" w:cs="Arial"/>
          <w:szCs w:val="18"/>
          <w:lang w:val="en-GB" w:eastAsia="ja-JP"/>
        </w:rPr>
        <w:t xml:space="preserve"> December 2016).</w:t>
      </w:r>
    </w:p>
    <w:p w14:paraId="135EFC03"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DF6CDF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(2004)</w:t>
      </w:r>
      <w:r w:rsidRPr="00C96521">
        <w:rPr>
          <w:rFonts w:eastAsia="MS Mincho" w:cs="Arial"/>
          <w:bCs/>
          <w:szCs w:val="18"/>
          <w:lang w:val="en-GB" w:eastAsia="ja-JP"/>
        </w:rPr>
        <w:t xml:space="preserve"> </w:t>
      </w:r>
      <w:r w:rsidRPr="00C96521">
        <w:rPr>
          <w:rFonts w:eastAsia="MS Mincho" w:cs="Arial"/>
          <w:i/>
          <w:szCs w:val="18"/>
          <w:lang w:val="en-GB" w:eastAsia="ja-JP"/>
        </w:rPr>
        <w:t>Birds in Europe: population estimates, trends and conservation status</w:t>
      </w:r>
      <w:r w:rsidRPr="00C96521">
        <w:rPr>
          <w:rFonts w:eastAsia="MS Mincho" w:cs="Arial"/>
          <w:szCs w:val="18"/>
          <w:lang w:val="en-GB" w:eastAsia="ja-JP"/>
        </w:rPr>
        <w:t xml:space="preserve">. </w:t>
      </w:r>
      <w:r w:rsidRPr="00C96521">
        <w:rPr>
          <w:rFonts w:eastAsia="MS Mincho" w:cs="Arial"/>
          <w:i/>
          <w:iCs/>
          <w:szCs w:val="18"/>
          <w:lang w:val="en-GB" w:eastAsia="ja-JP"/>
        </w:rPr>
        <w:t>BirdLife Conservation series</w:t>
      </w:r>
      <w:r w:rsidRPr="00C96521">
        <w:rPr>
          <w:rFonts w:eastAsia="MS Mincho" w:cs="Arial"/>
          <w:i/>
          <w:szCs w:val="18"/>
          <w:lang w:val="en-GB" w:eastAsia="ja-JP"/>
        </w:rPr>
        <w:t xml:space="preserve"> 12</w:t>
      </w:r>
      <w:r w:rsidRPr="00C96521">
        <w:rPr>
          <w:rFonts w:eastAsia="MS Mincho" w:cs="Arial"/>
          <w:szCs w:val="18"/>
          <w:lang w:val="en-GB" w:eastAsia="ja-JP"/>
        </w:rPr>
        <w:t>. BirdLife International, Cambridge.</w:t>
      </w:r>
    </w:p>
    <w:p w14:paraId="4049470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63631B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(2014a)</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Albania.</w:t>
      </w:r>
      <w:r w:rsidRPr="00C96521">
        <w:rPr>
          <w:rFonts w:eastAsia="MS Mincho" w:cs="Arial"/>
          <w:szCs w:val="18"/>
          <w:lang w:val="en-GB" w:eastAsia="ja-JP"/>
        </w:rPr>
        <w:t xml:space="preserve"> http://datazone.birdlife.org/userfiles/file/hunting/HuntingRegulations_Albania.pdf (last accessed 25th November 2016).</w:t>
      </w:r>
    </w:p>
    <w:p w14:paraId="781DAAA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528572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(2014b)</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Bosnia-Herzegovina.</w:t>
      </w:r>
      <w:r w:rsidRPr="00C96521">
        <w:rPr>
          <w:rFonts w:eastAsia="MS Mincho" w:cs="Arial"/>
          <w:szCs w:val="18"/>
          <w:lang w:val="en-GB" w:eastAsia="ja-JP"/>
        </w:rPr>
        <w:t xml:space="preserve"> http://datazone.birdlife.org/userfiles/file/hunting/HuntingRegulations_Bosnia.pdf (last accessed 25th November 2016).</w:t>
      </w:r>
    </w:p>
    <w:p w14:paraId="17A36914"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302E0C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(2014c)</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Egypt.</w:t>
      </w:r>
      <w:r w:rsidRPr="00C96521">
        <w:rPr>
          <w:rFonts w:eastAsia="MS Mincho" w:cs="Arial"/>
          <w:szCs w:val="18"/>
          <w:lang w:val="en-GB" w:eastAsia="ja-JP"/>
        </w:rPr>
        <w:t xml:space="preserve"> http://datazone.birdlife.org/userfiles/file/hunting/HuntingRegulations_Egypt.pdf (last accessed 25th November 2016).</w:t>
      </w:r>
    </w:p>
    <w:p w14:paraId="5077360C"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86143E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(2014d)</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Israel.</w:t>
      </w:r>
      <w:r w:rsidRPr="00C96521">
        <w:rPr>
          <w:rFonts w:eastAsia="MS Mincho" w:cs="Arial"/>
          <w:szCs w:val="18"/>
          <w:lang w:val="en-GB" w:eastAsia="ja-JP"/>
        </w:rPr>
        <w:t xml:space="preserve"> http://datazone.birdlife.org/userfiles/file/hunting/HuntingRegulations_Israel.pdf (last accessed 25th November 2016).</w:t>
      </w:r>
    </w:p>
    <w:p w14:paraId="1676AAB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180185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(2014e)</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Lebanon.</w:t>
      </w:r>
      <w:r w:rsidRPr="00C96521">
        <w:rPr>
          <w:rFonts w:eastAsia="MS Mincho" w:cs="Arial"/>
          <w:szCs w:val="18"/>
          <w:lang w:val="en-GB" w:eastAsia="ja-JP"/>
        </w:rPr>
        <w:t xml:space="preserve"> http://datazone.birdlife.org/userfiles/file/hunting/HuntingRegulations_Lebanon.pdf (last accessed 25th November 2016).</w:t>
      </w:r>
    </w:p>
    <w:p w14:paraId="0A3327CA"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78A23D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(2014f)</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Libya.</w:t>
      </w:r>
      <w:r w:rsidRPr="00C96521">
        <w:rPr>
          <w:rFonts w:eastAsia="MS Mincho" w:cs="Arial"/>
          <w:szCs w:val="18"/>
          <w:lang w:val="en-GB" w:eastAsia="ja-JP"/>
        </w:rPr>
        <w:t xml:space="preserve"> http://datazone.birdlife.org/userfiles/file/hunting/HuntingRegulations_Libya.pdf (last accessed 25th November 2016).</w:t>
      </w:r>
    </w:p>
    <w:p w14:paraId="398E8098"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AE8209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(2014g)</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Macedonia.</w:t>
      </w:r>
      <w:r w:rsidRPr="00C96521">
        <w:rPr>
          <w:rFonts w:eastAsia="MS Mincho" w:cs="Arial"/>
          <w:szCs w:val="18"/>
          <w:lang w:val="en-GB" w:eastAsia="ja-JP"/>
        </w:rPr>
        <w:t xml:space="preserve"> http://datazone.birdlife.org/userfiles/file/hunting/HuntingRegulations_Macedonia.pdf (last accessed 25th November 2016).</w:t>
      </w:r>
    </w:p>
    <w:p w14:paraId="2637CEE6"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609194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(2014h)</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Montenegro.</w:t>
      </w:r>
      <w:r w:rsidRPr="00C96521">
        <w:rPr>
          <w:rFonts w:eastAsia="MS Mincho" w:cs="Arial"/>
          <w:szCs w:val="18"/>
          <w:lang w:val="en-GB" w:eastAsia="ja-JP"/>
        </w:rPr>
        <w:t xml:space="preserve"> http://datazone.birdlife.org/userfiles/file/hunting/HuntingRegulations_Montenegro.pdf (last accessed 25th November 2016).</w:t>
      </w:r>
    </w:p>
    <w:p w14:paraId="661CB7AD"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6BF48B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(2014i)</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Morocco.</w:t>
      </w:r>
      <w:r w:rsidRPr="00C96521">
        <w:rPr>
          <w:rFonts w:eastAsia="MS Mincho" w:cs="Arial"/>
          <w:szCs w:val="18"/>
          <w:lang w:val="en-GB" w:eastAsia="ja-JP"/>
        </w:rPr>
        <w:t xml:space="preserve"> http://datazone.birdlife.org/userfiles/file/hunting/HuntingRegulations_Morocco.pdf (last accessed 25th November 2016).</w:t>
      </w:r>
    </w:p>
    <w:p w14:paraId="2356027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5A8F1C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(2014j)</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Palestine.</w:t>
      </w:r>
      <w:r w:rsidRPr="00C96521">
        <w:rPr>
          <w:rFonts w:eastAsia="MS Mincho" w:cs="Arial"/>
          <w:szCs w:val="18"/>
          <w:lang w:val="en-GB" w:eastAsia="ja-JP"/>
        </w:rPr>
        <w:t xml:space="preserve"> http://datazone.birdlife.org/userfiles/file/hunting/HuntingRegulations_Palestine.pdf (last accessed 8th December 2016).</w:t>
      </w:r>
    </w:p>
    <w:p w14:paraId="2D507719"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2F5D41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lastRenderedPageBreak/>
        <w:t>BIRDLIFE INTERNATIONAL (2014k)</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Serbia.</w:t>
      </w:r>
      <w:r w:rsidRPr="00C96521">
        <w:rPr>
          <w:rFonts w:eastAsia="MS Mincho" w:cs="Arial"/>
          <w:szCs w:val="18"/>
          <w:lang w:val="en-GB" w:eastAsia="ja-JP"/>
        </w:rPr>
        <w:t xml:space="preserve"> http://datazone.birdlife.org/userfiles/file/hunting/HuntingRegulations_Serbia.pdf (last accessed 25th November 2016).</w:t>
      </w:r>
    </w:p>
    <w:p w14:paraId="2BD59626"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BEE00F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(2014l)</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Syria.</w:t>
      </w:r>
      <w:r w:rsidRPr="00C96521">
        <w:rPr>
          <w:rFonts w:eastAsia="MS Mincho" w:cs="Arial"/>
          <w:szCs w:val="18"/>
          <w:lang w:val="en-GB" w:eastAsia="ja-JP"/>
        </w:rPr>
        <w:t xml:space="preserve"> http://datazone.birdlife.org/userfiles/file/hunting/HuntingRegulations_Syria.pdf (last accessed 25th November 2016).</w:t>
      </w:r>
    </w:p>
    <w:p w14:paraId="34A7769E"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77E6D6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(2014m)</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Tunisia.</w:t>
      </w:r>
      <w:r w:rsidRPr="00C96521">
        <w:rPr>
          <w:rFonts w:eastAsia="MS Mincho" w:cs="Arial"/>
          <w:szCs w:val="18"/>
          <w:lang w:val="en-GB" w:eastAsia="ja-JP"/>
        </w:rPr>
        <w:t xml:space="preserve"> http://datazone.birdlife.org/userfiles/file/hunting/HuntingRegulations_Tunisia.pdf (last accessed 25th November 2016).</w:t>
      </w:r>
    </w:p>
    <w:p w14:paraId="6837F8BC"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464E28D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BIRDLIFE INTERNATIONAL (2014n)</w:t>
      </w:r>
      <w:r w:rsidRPr="00C96521">
        <w:rPr>
          <w:rFonts w:eastAsia="MS Mincho" w:cs="Arial"/>
          <w:b/>
          <w:szCs w:val="18"/>
          <w:lang w:val="en-GB" w:eastAsia="ja-JP"/>
        </w:rPr>
        <w:t xml:space="preserve"> </w:t>
      </w:r>
      <w:r w:rsidRPr="00C96521">
        <w:rPr>
          <w:rFonts w:eastAsia="MS Mincho" w:cs="Arial"/>
          <w:i/>
          <w:szCs w:val="18"/>
          <w:lang w:val="en-GB" w:eastAsia="ja-JP"/>
        </w:rPr>
        <w:t>Summary of National Hunting Regulations: Turkey.</w:t>
      </w:r>
      <w:r w:rsidRPr="00C96521">
        <w:rPr>
          <w:rFonts w:eastAsia="MS Mincho" w:cs="Arial"/>
          <w:szCs w:val="18"/>
          <w:lang w:val="en-GB" w:eastAsia="ja-JP"/>
        </w:rPr>
        <w:t xml:space="preserve"> http://datazone.birdlife.org/userfiles/file/hunting/HuntingRegulations_Turkey.pdf (last accessed 25th November 2016).</w:t>
      </w:r>
    </w:p>
    <w:p w14:paraId="3F8203E5"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9DC33B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BIRDLIFE INTERNATIONAL (2015)</w:t>
      </w:r>
      <w:r w:rsidRPr="00C96521">
        <w:rPr>
          <w:rFonts w:eastAsia="MS Mincho" w:cs="Arial"/>
          <w:szCs w:val="18"/>
          <w:lang w:val="en-GB" w:eastAsia="ja-JP"/>
        </w:rPr>
        <w:t xml:space="preserve">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European Red List of Birds</w:t>
      </w:r>
      <w:r w:rsidRPr="00C96521">
        <w:rPr>
          <w:rFonts w:eastAsia="MS Mincho" w:cs="Arial"/>
          <w:szCs w:val="18"/>
          <w:lang w:val="en-GB" w:eastAsia="ja-JP"/>
        </w:rPr>
        <w:t>. Office for Official Publications of the European Communities, Luxembourg. http://www.iucnredlist.org/details/22690419/1 (last accessed 29th November 2016).</w:t>
      </w:r>
    </w:p>
    <w:p w14:paraId="0FB8F74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5F34C1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BIRDLIFE INTERNATIONAL (2016)</w:t>
      </w:r>
      <w:r w:rsidRPr="00C96521">
        <w:rPr>
          <w:rFonts w:eastAsia="MS Mincho" w:cs="Arial"/>
          <w:szCs w:val="18"/>
          <w:lang w:val="en-GB" w:eastAsia="ja-JP"/>
        </w:rPr>
        <w:t xml:space="preserve"> </w:t>
      </w:r>
      <w:r w:rsidRPr="00C96521">
        <w:rPr>
          <w:rFonts w:eastAsia="MS Mincho" w:cs="Arial"/>
          <w:i/>
          <w:szCs w:val="18"/>
          <w:lang w:val="en-GB" w:eastAsia="ja-JP"/>
        </w:rPr>
        <w:t xml:space="preserve">Data Zone factsheet for Turtle-dove </w:t>
      </w:r>
      <w:r w:rsidRPr="00C96521">
        <w:rPr>
          <w:rFonts w:eastAsia="MS Mincho" w:cs="Arial"/>
          <w:szCs w:val="18"/>
          <w:lang w:val="en-GB" w:eastAsia="ja-JP"/>
        </w:rPr>
        <w:t>Streptopelia turtur</w:t>
      </w:r>
      <w:r w:rsidRPr="00C96521">
        <w:rPr>
          <w:rFonts w:eastAsia="MS Mincho" w:cs="Arial"/>
          <w:i/>
          <w:szCs w:val="18"/>
          <w:lang w:val="en-GB" w:eastAsia="ja-JP"/>
        </w:rPr>
        <w:t>.</w:t>
      </w:r>
      <w:r w:rsidRPr="00C96521">
        <w:rPr>
          <w:rFonts w:eastAsia="MS Mincho" w:cs="Arial"/>
          <w:szCs w:val="18"/>
          <w:lang w:val="en-GB" w:eastAsia="ja-JP"/>
        </w:rPr>
        <w:t xml:space="preserve"> http://www.birdlife.org/datazone/species/factsheet/22690419 (last accessed 5th September 2016).</w:t>
      </w:r>
    </w:p>
    <w:p w14:paraId="21BBCEE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CFD29A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BOUTIN JM (2001)</w:t>
      </w:r>
      <w:r w:rsidRPr="00C96521">
        <w:rPr>
          <w:rFonts w:eastAsia="MS Mincho" w:cs="Arial"/>
          <w:bCs/>
          <w:szCs w:val="18"/>
          <w:lang w:val="en-GB" w:eastAsia="ja-JP"/>
        </w:rPr>
        <w:t xml:space="preserve"> </w:t>
      </w:r>
      <w:r w:rsidRPr="00C96521">
        <w:rPr>
          <w:rFonts w:eastAsia="MS Mincho" w:cs="Arial"/>
          <w:szCs w:val="18"/>
          <w:lang w:val="en-GB" w:eastAsia="ja-JP"/>
        </w:rPr>
        <w:t>Elements for a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management plan. </w:t>
      </w:r>
      <w:r w:rsidRPr="00C96521">
        <w:rPr>
          <w:rFonts w:eastAsia="MS Mincho" w:cs="Arial"/>
          <w:i/>
          <w:iCs/>
          <w:szCs w:val="18"/>
          <w:lang w:val="en-GB" w:eastAsia="ja-JP"/>
        </w:rPr>
        <w:t xml:space="preserve">Game and Wildlife Science </w:t>
      </w:r>
      <w:r w:rsidRPr="00C96521">
        <w:rPr>
          <w:rFonts w:eastAsia="MS Mincho" w:cs="Arial"/>
          <w:szCs w:val="18"/>
          <w:lang w:val="en-GB" w:eastAsia="ja-JP"/>
        </w:rPr>
        <w:t>18: 87-112.</w:t>
      </w:r>
    </w:p>
    <w:p w14:paraId="57335B7B"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684974E4"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fr-FR" w:eastAsia="ja-JP"/>
        </w:rPr>
        <w:t>BOUTIN JM, BARBIER L and ROUX D (2001)</w:t>
      </w:r>
      <w:r w:rsidRPr="00890F11">
        <w:rPr>
          <w:rFonts w:eastAsia="MS Mincho" w:cs="Arial"/>
          <w:szCs w:val="18"/>
          <w:lang w:val="fr-FR" w:eastAsia="ja-JP"/>
        </w:rPr>
        <w:t xml:space="preserve"> Suivi des effectifs nicheurs d’Alaudidés, Colombidés et Turdidés en France: le programme ACT. </w:t>
      </w:r>
      <w:r w:rsidRPr="00890F11">
        <w:rPr>
          <w:rFonts w:eastAsia="MS Mincho" w:cs="Arial"/>
          <w:i/>
          <w:iCs/>
          <w:szCs w:val="18"/>
          <w:lang w:val="fr-FR" w:eastAsia="ja-JP"/>
        </w:rPr>
        <w:t xml:space="preserve">Alauda </w:t>
      </w:r>
      <w:r w:rsidRPr="00890F11">
        <w:rPr>
          <w:rFonts w:eastAsia="MS Mincho" w:cs="Arial"/>
          <w:szCs w:val="18"/>
          <w:lang w:val="fr-FR" w:eastAsia="ja-JP"/>
        </w:rPr>
        <w:t>69(1): 53-61.</w:t>
      </w:r>
    </w:p>
    <w:p w14:paraId="65164EA7"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23D4583A" w14:textId="77777777" w:rsidR="00C96521" w:rsidRPr="009213E9"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BOUTIN JM and TESSON JL (2000)</w:t>
      </w:r>
      <w:r w:rsidRPr="00890F11">
        <w:rPr>
          <w:rFonts w:eastAsia="MS Mincho" w:cs="Arial"/>
          <w:szCs w:val="18"/>
          <w:lang w:val="fr-FR" w:eastAsia="ja-JP"/>
        </w:rPr>
        <w:t xml:space="preserve"> La tourterelle des bois et la tourterelle turque. In: </w:t>
      </w:r>
      <w:r w:rsidRPr="00890F11">
        <w:rPr>
          <w:rFonts w:eastAsia="MS Mincho" w:cs="Arial"/>
          <w:i/>
          <w:szCs w:val="18"/>
          <w:lang w:val="fr-FR" w:eastAsia="ja-JP"/>
        </w:rPr>
        <w:t>Enquête nationale sur les tableaux de chasse à tir – Saison 1998/1999</w:t>
      </w:r>
      <w:r w:rsidRPr="00890F11">
        <w:rPr>
          <w:rFonts w:eastAsia="MS Mincho" w:cs="Arial"/>
          <w:szCs w:val="18"/>
          <w:lang w:val="fr-FR" w:eastAsia="ja-JP"/>
        </w:rPr>
        <w:t xml:space="preserve">. </w:t>
      </w:r>
      <w:r w:rsidRPr="009213E9">
        <w:rPr>
          <w:rFonts w:eastAsia="MS Mincho" w:cs="Arial"/>
          <w:i/>
          <w:szCs w:val="18"/>
          <w:lang w:val="fr-FR" w:eastAsia="ja-JP"/>
        </w:rPr>
        <w:t>Faune Sauvage Cahiers Techniques</w:t>
      </w:r>
      <w:r w:rsidRPr="009213E9">
        <w:rPr>
          <w:rFonts w:eastAsia="MS Mincho" w:cs="Arial"/>
          <w:szCs w:val="18"/>
          <w:lang w:val="fr-FR" w:eastAsia="ja-JP"/>
        </w:rPr>
        <w:t xml:space="preserve"> 251. pp 70-81.</w:t>
      </w:r>
    </w:p>
    <w:p w14:paraId="244970B4" w14:textId="77777777" w:rsidR="00C96521" w:rsidRPr="009213E9" w:rsidRDefault="00C96521" w:rsidP="00C96521">
      <w:pPr>
        <w:widowControl/>
        <w:autoSpaceDE/>
        <w:autoSpaceDN/>
        <w:adjustRightInd/>
        <w:spacing w:line="276" w:lineRule="auto"/>
        <w:rPr>
          <w:rFonts w:eastAsia="MS Mincho" w:cs="Arial"/>
          <w:szCs w:val="18"/>
          <w:lang w:val="fr-FR" w:eastAsia="ja-JP"/>
        </w:rPr>
      </w:pPr>
    </w:p>
    <w:p w14:paraId="307575BE" w14:textId="77777777" w:rsidR="00C96521" w:rsidRPr="009213E9" w:rsidRDefault="00C96521" w:rsidP="00C96521">
      <w:pPr>
        <w:widowControl/>
        <w:autoSpaceDE/>
        <w:autoSpaceDN/>
        <w:adjustRightInd/>
        <w:spacing w:line="276" w:lineRule="auto"/>
        <w:rPr>
          <w:rFonts w:eastAsia="MS Mincho" w:cs="Arial"/>
          <w:szCs w:val="18"/>
          <w:lang w:val="fr-FR" w:eastAsia="ja-JP"/>
        </w:rPr>
      </w:pPr>
      <w:r w:rsidRPr="009213E9">
        <w:rPr>
          <w:rFonts w:eastAsia="MS Mincho" w:cs="Arial"/>
          <w:b/>
          <w:szCs w:val="18"/>
          <w:lang w:val="fr-FR" w:eastAsia="ja-JP"/>
        </w:rPr>
        <w:t>BRICHETTI P and FRACASSO G (2006)</w:t>
      </w:r>
      <w:r w:rsidRPr="009213E9">
        <w:rPr>
          <w:rFonts w:eastAsia="MS Mincho" w:cs="Arial"/>
          <w:szCs w:val="18"/>
          <w:lang w:val="fr-FR" w:eastAsia="ja-JP"/>
        </w:rPr>
        <w:t xml:space="preserve"> </w:t>
      </w:r>
      <w:r w:rsidRPr="009213E9">
        <w:rPr>
          <w:rFonts w:eastAsia="MS Mincho" w:cs="Arial"/>
          <w:i/>
          <w:szCs w:val="18"/>
          <w:lang w:val="fr-FR" w:eastAsia="ja-JP"/>
        </w:rPr>
        <w:t>Ornitologia italiana. Vol. 3 – Stercorariidae-Caprimulgidae</w:t>
      </w:r>
      <w:r w:rsidRPr="009213E9">
        <w:rPr>
          <w:rFonts w:eastAsia="MS Mincho" w:cs="Arial"/>
          <w:szCs w:val="18"/>
          <w:lang w:val="fr-FR" w:eastAsia="ja-JP"/>
        </w:rPr>
        <w:t>. Alberto Perdisa Editore, Bologna.</w:t>
      </w:r>
    </w:p>
    <w:p w14:paraId="2532D763" w14:textId="77777777" w:rsidR="00C96521" w:rsidRPr="009213E9" w:rsidRDefault="00C96521" w:rsidP="00C96521">
      <w:pPr>
        <w:widowControl/>
        <w:autoSpaceDE/>
        <w:autoSpaceDN/>
        <w:adjustRightInd/>
        <w:spacing w:line="276" w:lineRule="auto"/>
        <w:rPr>
          <w:rFonts w:eastAsia="MS Mincho" w:cs="Arial"/>
          <w:szCs w:val="18"/>
          <w:lang w:val="fr-FR" w:eastAsia="ja-JP"/>
        </w:rPr>
      </w:pPr>
    </w:p>
    <w:p w14:paraId="2A7DB0E1"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 xml:space="preserve">BRIGHT JA, MORRIS AJ, FIELD RH, COOKE AI, GRICE PV, WALKER LK, FERN J and PEACH WJ (2015) </w:t>
      </w:r>
      <w:r w:rsidRPr="00C96521">
        <w:rPr>
          <w:rFonts w:eastAsia="MS Mincho" w:cs="Arial"/>
          <w:szCs w:val="18"/>
          <w:lang w:val="en-GB" w:eastAsia="ja-JP"/>
        </w:rPr>
        <w:t xml:space="preserve">Higher-tier Agri-Environment Scheme enhances breeding densities of some priority farmland birds in England. </w:t>
      </w:r>
      <w:r w:rsidRPr="00C96521">
        <w:rPr>
          <w:rFonts w:eastAsia="MS Mincho" w:cs="Arial"/>
          <w:i/>
          <w:szCs w:val="18"/>
          <w:lang w:val="en-GB" w:eastAsia="ja-JP"/>
        </w:rPr>
        <w:t>Agriculture, Ecosystems and Environment</w:t>
      </w:r>
      <w:r w:rsidRPr="00C96521">
        <w:rPr>
          <w:rFonts w:eastAsia="MS Mincho" w:cs="Arial"/>
          <w:szCs w:val="18"/>
          <w:lang w:val="en-GB" w:eastAsia="ja-JP"/>
        </w:rPr>
        <w:t xml:space="preserve"> 203: 69-79.</w:t>
      </w:r>
    </w:p>
    <w:p w14:paraId="32F77F4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BD9C07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van den BRINK H, van DIJK A, van OS B, and VENEMA P (1996)</w:t>
      </w:r>
      <w:r w:rsidRPr="00C96521">
        <w:rPr>
          <w:rFonts w:eastAsia="MS Mincho" w:cs="Arial"/>
          <w:szCs w:val="18"/>
          <w:lang w:val="en-GB" w:eastAsia="ja-JP"/>
        </w:rPr>
        <w:t xml:space="preserve"> </w:t>
      </w:r>
      <w:r w:rsidRPr="00C96521">
        <w:rPr>
          <w:rFonts w:eastAsia="MS Mincho" w:cs="Arial"/>
          <w:i/>
          <w:szCs w:val="18"/>
          <w:lang w:val="en-GB" w:eastAsia="ja-JP"/>
        </w:rPr>
        <w:t>Broedvogels van Drenthe</w:t>
      </w:r>
      <w:r w:rsidRPr="00C96521">
        <w:rPr>
          <w:rFonts w:eastAsia="MS Mincho" w:cs="Arial"/>
          <w:szCs w:val="18"/>
          <w:lang w:val="en-GB" w:eastAsia="ja-JP"/>
        </w:rPr>
        <w:t>. Van Gorcum, Assen.</w:t>
      </w:r>
    </w:p>
    <w:p w14:paraId="4BB8BB7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8FCAD35" w14:textId="77777777" w:rsidR="00C96521" w:rsidRPr="00C96521" w:rsidRDefault="00C96521" w:rsidP="00C96521">
      <w:pPr>
        <w:widowControl/>
        <w:autoSpaceDE/>
        <w:autoSpaceDN/>
        <w:adjustRightInd/>
        <w:spacing w:line="276" w:lineRule="auto"/>
        <w:rPr>
          <w:rFonts w:eastAsia="MS Mincho" w:cs="Arial"/>
          <w:color w:val="000000"/>
          <w:szCs w:val="18"/>
          <w:lang w:val="en-GB" w:eastAsia="ja-JP"/>
        </w:rPr>
      </w:pPr>
      <w:r w:rsidRPr="00C96521">
        <w:rPr>
          <w:rFonts w:eastAsia="MS Mincho" w:cs="Arial"/>
          <w:b/>
          <w:bCs/>
          <w:szCs w:val="18"/>
          <w:lang w:val="en-GB" w:eastAsia="ja-JP"/>
        </w:rPr>
        <w:t>BROCHET A-L, VAN DEN BOSSCHE W, JBOUR S, NDANG’ANG’A PK, JONES VR, ABDOU WALI, AL-HMOUD AR, ASSWAD NG, ATIENZA JC, ATRASH I, BARBARA N, BENSUSAN K, BINO T, CELADA C, CHERKAOUI SI, COSTA J, DECEUNINCK B, ETAYEB KS, FELTRUP-AZAFZAF C, FIGELJ J, GUSTIN M, KMECL P, KOCEVSKI V, KORBETI M, KOTROŠAN D, MULA LAGUNA J, LATTUADA M, LEITÃO D, LOPES P, LÓPEZ-JIMÉNEZ N, LUCIĆ V, MICOL T, MOALI A, PERLMAN Y, PILUDU N, PORTOLOU D, PUTILIN K, QUAINTENNE G, RAMADAN-JARADI G, RUŽIĆ M, SANDOR A, SARAJLI N, SAVELJIĆ D, SHELDON RD, SHIALIS T, TSIOPELAS N, VARGAS F, THOMPSON C, BRUNNER A, GRIMMETT R and BUTCHART SHM (2016)</w:t>
      </w:r>
      <w:r w:rsidRPr="00C96521">
        <w:rPr>
          <w:rFonts w:eastAsia="MS Mincho" w:cs="Arial"/>
          <w:color w:val="000000"/>
          <w:szCs w:val="18"/>
          <w:lang w:val="en-GB" w:eastAsia="ja-JP"/>
        </w:rPr>
        <w:t xml:space="preserve"> </w:t>
      </w:r>
      <w:r w:rsidRPr="00C96521">
        <w:rPr>
          <w:rFonts w:eastAsia="MS Mincho" w:cs="Arial"/>
          <w:szCs w:val="18"/>
          <w:lang w:val="en-GB" w:eastAsia="ja-JP"/>
        </w:rPr>
        <w:t>Preliminary assessment of the scope and scale of illegal killing and taking of birds in the Mediterranean, </w:t>
      </w:r>
      <w:r w:rsidRPr="00C96521">
        <w:rPr>
          <w:rFonts w:eastAsia="MS Mincho" w:cs="Arial"/>
          <w:i/>
          <w:szCs w:val="18"/>
          <w:lang w:val="en-GB" w:eastAsia="ja-JP"/>
        </w:rPr>
        <w:t>Bird Conservation International</w:t>
      </w:r>
      <w:r w:rsidRPr="00C96521">
        <w:rPr>
          <w:rFonts w:eastAsia="MS Mincho" w:cs="Arial"/>
          <w:szCs w:val="18"/>
          <w:lang w:val="en-GB" w:eastAsia="ja-JP"/>
        </w:rPr>
        <w:t xml:space="preserve"> 26(1): 1–28.</w:t>
      </w:r>
    </w:p>
    <w:p w14:paraId="608D9016"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1DD80E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 xml:space="preserve">BROUWER J (2014) </w:t>
      </w:r>
      <w:r w:rsidRPr="00C96521">
        <w:rPr>
          <w:rFonts w:eastAsia="MS Mincho" w:cs="Arial"/>
          <w:szCs w:val="18"/>
          <w:lang w:val="en-GB" w:eastAsia="ja-JP"/>
        </w:rPr>
        <w:t xml:space="preserve">Are the Most Valuable Resources in Dryland Areas Isolated Wetlands? </w:t>
      </w:r>
      <w:r w:rsidRPr="00C96521">
        <w:rPr>
          <w:rFonts w:eastAsia="MS Mincho" w:cs="Arial"/>
          <w:i/>
          <w:szCs w:val="18"/>
          <w:lang w:val="en-GB" w:eastAsia="ja-JP"/>
        </w:rPr>
        <w:t>Planet@Risk</w:t>
      </w:r>
      <w:r w:rsidRPr="00C96521">
        <w:rPr>
          <w:rFonts w:eastAsia="MS Mincho" w:cs="Arial"/>
          <w:szCs w:val="18"/>
          <w:lang w:val="en-GB" w:eastAsia="ja-JP"/>
        </w:rPr>
        <w:t xml:space="preserve"> 2(1): 47-56.</w:t>
      </w:r>
    </w:p>
    <w:p w14:paraId="19A7AAEA"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05489E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BROWNE SJ and AEBISCHER N (2003a)</w:t>
      </w:r>
      <w:r w:rsidRPr="00C96521">
        <w:rPr>
          <w:rFonts w:eastAsia="MS Mincho" w:cs="Arial"/>
          <w:bCs/>
          <w:szCs w:val="18"/>
          <w:lang w:val="en-GB" w:eastAsia="ja-JP"/>
        </w:rPr>
        <w:t xml:space="preserve"> </w:t>
      </w:r>
      <w:r w:rsidRPr="00C96521">
        <w:rPr>
          <w:rFonts w:eastAsia="MS Mincho" w:cs="Arial"/>
          <w:szCs w:val="18"/>
          <w:lang w:val="en-GB" w:eastAsia="ja-JP"/>
        </w:rPr>
        <w:t xml:space="preserve">Habitat use, foraging ecology and diet of Turtle-doves </w:t>
      </w:r>
      <w:r w:rsidRPr="00C96521">
        <w:rPr>
          <w:rFonts w:eastAsia="MS Mincho" w:cs="Arial"/>
          <w:i/>
          <w:iCs/>
          <w:szCs w:val="18"/>
          <w:lang w:val="en-GB" w:eastAsia="ja-JP"/>
        </w:rPr>
        <w:t xml:space="preserve">Streptopelia turtur </w:t>
      </w:r>
      <w:r w:rsidRPr="00C96521">
        <w:rPr>
          <w:rFonts w:eastAsia="MS Mincho" w:cs="Arial"/>
          <w:szCs w:val="18"/>
          <w:lang w:val="en-GB" w:eastAsia="ja-JP"/>
        </w:rPr>
        <w:t xml:space="preserve">in Britain. </w:t>
      </w:r>
      <w:r w:rsidRPr="00C96521">
        <w:rPr>
          <w:rFonts w:eastAsia="MS Mincho" w:cs="Arial"/>
          <w:i/>
          <w:iCs/>
          <w:szCs w:val="18"/>
          <w:lang w:val="en-GB" w:eastAsia="ja-JP"/>
        </w:rPr>
        <w:t>Ibis</w:t>
      </w:r>
      <w:r w:rsidRPr="00C96521">
        <w:rPr>
          <w:rFonts w:eastAsia="MS Mincho" w:cs="Arial"/>
          <w:szCs w:val="18"/>
          <w:lang w:val="en-GB" w:eastAsia="ja-JP"/>
        </w:rPr>
        <w:t xml:space="preserve"> 145: 572-582.</w:t>
      </w:r>
    </w:p>
    <w:p w14:paraId="563C4EC5"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62A6B73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BROWNE SJ and AEBISCHER N (2003b)</w:t>
      </w:r>
      <w:r w:rsidRPr="00C96521">
        <w:rPr>
          <w:rFonts w:eastAsia="MS Mincho" w:cs="Arial"/>
          <w:szCs w:val="18"/>
          <w:lang w:val="en-GB" w:eastAsia="ja-JP"/>
        </w:rPr>
        <w:t xml:space="preserve"> Temporal changes in the migration phenology of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in Britain, based on sightings from coastal bird observatories. </w:t>
      </w:r>
      <w:r w:rsidRPr="00C96521">
        <w:rPr>
          <w:rFonts w:eastAsia="MS Mincho" w:cs="Arial"/>
          <w:i/>
          <w:szCs w:val="18"/>
          <w:lang w:val="en-GB" w:eastAsia="ja-JP"/>
        </w:rPr>
        <w:t>Journal of Avian Biology</w:t>
      </w:r>
      <w:r w:rsidRPr="00C96521">
        <w:rPr>
          <w:rFonts w:eastAsia="MS Mincho" w:cs="Arial"/>
          <w:szCs w:val="18"/>
          <w:lang w:val="en-GB" w:eastAsia="ja-JP"/>
        </w:rPr>
        <w:t xml:space="preserve"> 34 (1): 65-71.</w:t>
      </w:r>
    </w:p>
    <w:p w14:paraId="30CF255A"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15D8B0E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BROWNE SJ and AEBISCHER N</w:t>
      </w:r>
      <w:r w:rsidRPr="00C96521">
        <w:rPr>
          <w:rFonts w:eastAsia="MS Mincho" w:cs="Arial"/>
          <w:bCs/>
          <w:szCs w:val="18"/>
          <w:lang w:val="en-GB" w:eastAsia="ja-JP"/>
        </w:rPr>
        <w:t xml:space="preserve"> </w:t>
      </w:r>
      <w:r w:rsidRPr="00C96521">
        <w:rPr>
          <w:rFonts w:eastAsia="MS Mincho" w:cs="Arial"/>
          <w:b/>
          <w:bCs/>
          <w:szCs w:val="18"/>
          <w:lang w:val="en-GB" w:eastAsia="ja-JP"/>
        </w:rPr>
        <w:t>(2004)</w:t>
      </w:r>
      <w:r w:rsidRPr="00C96521">
        <w:rPr>
          <w:rFonts w:eastAsia="MS Mincho" w:cs="Arial"/>
          <w:bCs/>
          <w:szCs w:val="18"/>
          <w:lang w:val="en-GB" w:eastAsia="ja-JP"/>
        </w:rPr>
        <w:t xml:space="preserve"> </w:t>
      </w:r>
      <w:r w:rsidRPr="00C96521">
        <w:rPr>
          <w:rFonts w:eastAsia="MS Mincho" w:cs="Arial"/>
          <w:szCs w:val="18"/>
          <w:lang w:val="en-GB" w:eastAsia="ja-JP"/>
        </w:rPr>
        <w:t xml:space="preserve">Temporal changes in the breeding ecology of European Turtle-doves </w:t>
      </w:r>
      <w:r w:rsidRPr="00C96521">
        <w:rPr>
          <w:rFonts w:eastAsia="MS Mincho" w:cs="Arial"/>
          <w:i/>
          <w:iCs/>
          <w:szCs w:val="18"/>
          <w:lang w:val="en-GB" w:eastAsia="ja-JP"/>
        </w:rPr>
        <w:t xml:space="preserve">Streptopelia turtur </w:t>
      </w:r>
      <w:r w:rsidRPr="00C96521">
        <w:rPr>
          <w:rFonts w:eastAsia="MS Mincho" w:cs="Arial"/>
          <w:szCs w:val="18"/>
          <w:lang w:val="en-GB" w:eastAsia="ja-JP"/>
        </w:rPr>
        <w:t xml:space="preserve">in Britain, and implications for conservation. </w:t>
      </w:r>
      <w:r w:rsidRPr="00C96521">
        <w:rPr>
          <w:rFonts w:eastAsia="MS Mincho" w:cs="Arial"/>
          <w:i/>
          <w:iCs/>
          <w:szCs w:val="18"/>
          <w:lang w:val="en-GB" w:eastAsia="ja-JP"/>
        </w:rPr>
        <w:t>Ibis</w:t>
      </w:r>
      <w:r w:rsidRPr="00C96521">
        <w:rPr>
          <w:rFonts w:eastAsia="MS Mincho" w:cs="Arial"/>
          <w:szCs w:val="18"/>
          <w:lang w:val="en-GB" w:eastAsia="ja-JP"/>
        </w:rPr>
        <w:t xml:space="preserve"> 146: 125-137. </w:t>
      </w:r>
    </w:p>
    <w:p w14:paraId="35078B8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D7F717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BROWNE SJ and AEBISCHER N (2005)</w:t>
      </w:r>
      <w:r w:rsidRPr="00C96521">
        <w:rPr>
          <w:rFonts w:eastAsia="MS Mincho" w:cs="Arial"/>
          <w:bCs/>
          <w:szCs w:val="18"/>
          <w:lang w:val="en-GB" w:eastAsia="ja-JP"/>
        </w:rPr>
        <w:t xml:space="preserve"> </w:t>
      </w:r>
      <w:r w:rsidRPr="00C96521">
        <w:rPr>
          <w:rFonts w:eastAsia="MS Mincho" w:cs="Arial"/>
          <w:szCs w:val="18"/>
          <w:lang w:val="en-GB" w:eastAsia="ja-JP"/>
        </w:rPr>
        <w:t xml:space="preserve">Studies of West Palearctic birds: Turtle-dove. </w:t>
      </w:r>
      <w:r w:rsidRPr="00C96521">
        <w:rPr>
          <w:rFonts w:eastAsia="MS Mincho" w:cs="Arial"/>
          <w:i/>
          <w:iCs/>
          <w:szCs w:val="18"/>
          <w:lang w:val="en-GB" w:eastAsia="ja-JP"/>
        </w:rPr>
        <w:t>British Birds</w:t>
      </w:r>
      <w:r w:rsidRPr="00C96521">
        <w:rPr>
          <w:rFonts w:eastAsia="MS Mincho" w:cs="Arial"/>
          <w:szCs w:val="18"/>
          <w:lang w:val="en-GB" w:eastAsia="ja-JP"/>
        </w:rPr>
        <w:t xml:space="preserve"> 98: 58-72.</w:t>
      </w:r>
    </w:p>
    <w:p w14:paraId="1D308C0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A79434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BROWNE SJ, AEBISCHER N and CRICK H (2005)</w:t>
      </w:r>
      <w:r w:rsidRPr="00C96521">
        <w:rPr>
          <w:rFonts w:eastAsia="MS Mincho" w:cs="Arial"/>
          <w:bCs/>
          <w:szCs w:val="18"/>
          <w:lang w:val="en-GB" w:eastAsia="ja-JP"/>
        </w:rPr>
        <w:t xml:space="preserve"> </w:t>
      </w:r>
      <w:r w:rsidRPr="00C96521">
        <w:rPr>
          <w:rFonts w:eastAsia="MS Mincho" w:cs="Arial"/>
          <w:szCs w:val="18"/>
          <w:lang w:val="en-GB" w:eastAsia="ja-JP"/>
        </w:rPr>
        <w:t xml:space="preserve">Breeding ecology of Turtle-doves </w:t>
      </w:r>
      <w:r w:rsidRPr="00C96521">
        <w:rPr>
          <w:rFonts w:eastAsia="MS Mincho" w:cs="Arial"/>
          <w:i/>
          <w:iCs/>
          <w:szCs w:val="18"/>
          <w:lang w:val="en-GB" w:eastAsia="ja-JP"/>
        </w:rPr>
        <w:t xml:space="preserve">Streptopelia turtur </w:t>
      </w:r>
      <w:r w:rsidRPr="00C96521">
        <w:rPr>
          <w:rFonts w:eastAsia="MS Mincho" w:cs="Arial"/>
          <w:szCs w:val="18"/>
          <w:lang w:val="en-GB" w:eastAsia="ja-JP"/>
        </w:rPr>
        <w:t xml:space="preserve">in Britain during the period 1941-2000: an analysis of BTO nest records cards. </w:t>
      </w:r>
      <w:r w:rsidRPr="00C96521">
        <w:rPr>
          <w:rFonts w:eastAsia="MS Mincho" w:cs="Arial"/>
          <w:i/>
          <w:iCs/>
          <w:szCs w:val="18"/>
          <w:lang w:val="en-GB" w:eastAsia="ja-JP"/>
        </w:rPr>
        <w:t xml:space="preserve">Bird Study </w:t>
      </w:r>
      <w:r w:rsidRPr="00C96521">
        <w:rPr>
          <w:rFonts w:eastAsia="MS Mincho" w:cs="Arial"/>
          <w:szCs w:val="18"/>
          <w:lang w:val="en-GB" w:eastAsia="ja-JP"/>
        </w:rPr>
        <w:t>52: 1-9.</w:t>
      </w:r>
    </w:p>
    <w:p w14:paraId="49161CD5"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05CF9C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BROWNE SJ, AEBISCHER NJ, YFANTIS G and MARCHANT JH (2004)</w:t>
      </w:r>
      <w:r w:rsidRPr="00C96521">
        <w:rPr>
          <w:rFonts w:eastAsia="MS Mincho" w:cs="Arial"/>
          <w:szCs w:val="18"/>
          <w:lang w:val="en-GB" w:eastAsia="ja-JP"/>
        </w:rPr>
        <w:t xml:space="preserve"> Habitat availability and use by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between 1965 and 1995: an analysis of Common Birds Census data. </w:t>
      </w:r>
      <w:r w:rsidRPr="00C96521">
        <w:rPr>
          <w:rFonts w:eastAsia="MS Mincho" w:cs="Arial"/>
          <w:i/>
          <w:szCs w:val="18"/>
          <w:lang w:val="en-GB" w:eastAsia="ja-JP"/>
        </w:rPr>
        <w:t>Bird Study</w:t>
      </w:r>
      <w:r w:rsidRPr="00C96521">
        <w:rPr>
          <w:rFonts w:eastAsia="MS Mincho" w:cs="Arial"/>
          <w:szCs w:val="18"/>
          <w:lang w:val="en-GB" w:eastAsia="ja-JP"/>
        </w:rPr>
        <w:t xml:space="preserve"> 51, 1-11.</w:t>
      </w:r>
    </w:p>
    <w:p w14:paraId="39E67446"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9077161"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BTO (2016)</w:t>
      </w:r>
      <w:r w:rsidRPr="00C96521">
        <w:rPr>
          <w:rFonts w:eastAsia="MS Mincho" w:cs="Arial"/>
          <w:szCs w:val="18"/>
          <w:lang w:val="en-GB" w:eastAsia="ja-JP"/>
        </w:rPr>
        <w:t xml:space="preserve"> </w:t>
      </w:r>
      <w:r w:rsidRPr="00C96521">
        <w:rPr>
          <w:rFonts w:eastAsia="MS Mincho" w:cs="Arial"/>
          <w:i/>
          <w:szCs w:val="18"/>
          <w:lang w:val="en-GB" w:eastAsia="ja-JP"/>
        </w:rPr>
        <w:t>Bird Atlas Mapstore</w:t>
      </w:r>
      <w:r w:rsidRPr="00C96521">
        <w:rPr>
          <w:rFonts w:eastAsia="MS Mincho" w:cs="Arial"/>
          <w:szCs w:val="18"/>
          <w:lang w:val="en-GB" w:eastAsia="ja-JP"/>
        </w:rPr>
        <w:t>. http://app.bto.org/mapstore/StoreServlet?id=272 (last accessed 28</w:t>
      </w:r>
      <w:r w:rsidRPr="00C96521">
        <w:rPr>
          <w:rFonts w:eastAsia="MS Mincho" w:cs="Arial"/>
          <w:szCs w:val="18"/>
          <w:vertAlign w:val="superscript"/>
          <w:lang w:val="en-GB" w:eastAsia="ja-JP"/>
        </w:rPr>
        <w:t>th</w:t>
      </w:r>
      <w:r w:rsidRPr="00C96521">
        <w:rPr>
          <w:rFonts w:eastAsia="MS Mincho" w:cs="Arial"/>
          <w:szCs w:val="18"/>
          <w:lang w:val="en-GB" w:eastAsia="ja-JP"/>
        </w:rPr>
        <w:t xml:space="preserve"> October 2016)</w:t>
      </w:r>
    </w:p>
    <w:p w14:paraId="0D9568D0" w14:textId="77777777" w:rsidR="00C96521" w:rsidRPr="00C96521" w:rsidRDefault="00C96521" w:rsidP="00C96521">
      <w:pPr>
        <w:widowControl/>
        <w:spacing w:line="276" w:lineRule="auto"/>
        <w:rPr>
          <w:rFonts w:eastAsia="MS Mincho" w:cs="Arial"/>
          <w:b/>
          <w:szCs w:val="18"/>
          <w:lang w:val="en-GB" w:eastAsia="ja-JP"/>
        </w:rPr>
      </w:pPr>
    </w:p>
    <w:p w14:paraId="37E2AD7C"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de BURUAGA MS, ONRUBIA A, FERNÁNDEZ-GARCÍA JM, CAMPO MA, CANALES F and UNAMUNO JM (2012)</w:t>
      </w:r>
      <w:r w:rsidRPr="00C96521">
        <w:rPr>
          <w:rFonts w:eastAsia="MS Mincho" w:cs="Arial"/>
          <w:szCs w:val="18"/>
          <w:lang w:val="en-GB" w:eastAsia="ja-JP"/>
        </w:rPr>
        <w:t xml:space="preserve"> Breeding habitat use and conservation status of the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in northern Spain. </w:t>
      </w:r>
      <w:r w:rsidRPr="00C96521">
        <w:rPr>
          <w:rFonts w:eastAsia="MS Mincho" w:cs="Arial"/>
          <w:i/>
          <w:szCs w:val="18"/>
          <w:lang w:val="en-GB" w:eastAsia="ja-JP"/>
        </w:rPr>
        <w:t>Ardeola</w:t>
      </w:r>
      <w:r w:rsidRPr="00C96521">
        <w:rPr>
          <w:rFonts w:eastAsia="MS Mincho" w:cs="Arial"/>
          <w:szCs w:val="18"/>
          <w:lang w:val="en-GB" w:eastAsia="ja-JP"/>
        </w:rPr>
        <w:t xml:space="preserve"> 59(2): 291-300.</w:t>
      </w:r>
    </w:p>
    <w:p w14:paraId="0E26313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A39A852"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bCs/>
          <w:szCs w:val="18"/>
          <w:lang w:val="en-GB" w:eastAsia="ja-JP"/>
        </w:rPr>
        <w:t>CALDERON L, CAMPAGNA L, WILKE T, LORMEE H, ERAUD C, DUNN JC, ROCHA G, ZEHTINDJIEV P, BAKALOUDIS DE, METZGER B, CECERE JG, MARX M and QUILLFELDT P (2016)</w:t>
      </w:r>
      <w:r w:rsidRPr="00C96521">
        <w:rPr>
          <w:rFonts w:eastAsia="MS Mincho" w:cs="Arial"/>
          <w:szCs w:val="18"/>
          <w:lang w:val="en-GB" w:eastAsia="ja-JP"/>
        </w:rPr>
        <w:t xml:space="preserve"> Genomic evidence of demographic fluctuations and lack of genetic structure across flyways in a long distance migrant, the European turtle-dove. </w:t>
      </w:r>
      <w:r w:rsidRPr="00C96521">
        <w:rPr>
          <w:rFonts w:eastAsia="MS Mincho" w:cs="Arial"/>
          <w:i/>
          <w:szCs w:val="18"/>
          <w:lang w:val="en-GB" w:eastAsia="ja-JP"/>
        </w:rPr>
        <w:t>BMC Evolutionary Biology</w:t>
      </w:r>
      <w:r w:rsidRPr="00C96521">
        <w:rPr>
          <w:rFonts w:eastAsia="MS Mincho" w:cs="Arial"/>
          <w:szCs w:val="18"/>
          <w:lang w:val="en-GB" w:eastAsia="ja-JP"/>
        </w:rPr>
        <w:t>, 16(237): 1-11.</w:t>
      </w:r>
    </w:p>
    <w:p w14:paraId="40FB403C"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01DC0D9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CALLADINE JR, BUNER F and AEBISCHER NJ (1997)</w:t>
      </w:r>
      <w:r w:rsidRPr="00C96521">
        <w:rPr>
          <w:rFonts w:eastAsia="MS Mincho" w:cs="Arial"/>
          <w:bCs/>
          <w:szCs w:val="18"/>
          <w:lang w:val="en-GB" w:eastAsia="ja-JP"/>
        </w:rPr>
        <w:t xml:space="preserve"> </w:t>
      </w:r>
      <w:r w:rsidRPr="00C96521">
        <w:rPr>
          <w:rFonts w:eastAsia="MS Mincho" w:cs="Arial"/>
          <w:i/>
          <w:szCs w:val="18"/>
          <w:lang w:val="en-GB" w:eastAsia="ja-JP"/>
        </w:rPr>
        <w:t>The summer ecology and habitat use of the Turtle-dove. A pilot study</w:t>
      </w:r>
      <w:r w:rsidRPr="00C96521">
        <w:rPr>
          <w:rFonts w:eastAsia="MS Mincho" w:cs="Arial"/>
          <w:szCs w:val="18"/>
          <w:lang w:val="en-GB" w:eastAsia="ja-JP"/>
        </w:rPr>
        <w:t xml:space="preserve">. </w:t>
      </w:r>
      <w:r w:rsidRPr="00C96521">
        <w:rPr>
          <w:rFonts w:eastAsia="MS Mincho" w:cs="Arial"/>
          <w:iCs/>
          <w:szCs w:val="18"/>
          <w:lang w:val="en-GB" w:eastAsia="ja-JP"/>
        </w:rPr>
        <w:t>English Nature Research Reports</w:t>
      </w:r>
      <w:r w:rsidRPr="00C96521">
        <w:rPr>
          <w:rFonts w:eastAsia="MS Mincho" w:cs="Arial"/>
          <w:szCs w:val="18"/>
          <w:lang w:val="en-GB" w:eastAsia="ja-JP"/>
        </w:rPr>
        <w:t xml:space="preserve"> 219. English Nature, Peterborough.</w:t>
      </w:r>
    </w:p>
    <w:p w14:paraId="72026B3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1D80582" w14:textId="77777777" w:rsidR="00C96521" w:rsidRPr="00965D7D"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CARVALHO M. and DIAS S (2001)</w:t>
      </w:r>
      <w:r w:rsidRPr="00890F11">
        <w:rPr>
          <w:rFonts w:eastAsia="MS Mincho" w:cs="Arial"/>
          <w:szCs w:val="18"/>
          <w:lang w:val="es-ES" w:eastAsia="ja-JP"/>
        </w:rPr>
        <w:t xml:space="preserve"> </w:t>
      </w:r>
      <w:r w:rsidRPr="00890F11">
        <w:rPr>
          <w:rFonts w:eastAsia="MS Mincho" w:cs="Arial"/>
          <w:i/>
          <w:szCs w:val="18"/>
          <w:lang w:val="es-ES" w:eastAsia="ja-JP"/>
        </w:rPr>
        <w:t>Análise dos quadros de caça de columbídeos na região de Cape (Guiné-Bissau) – contributo para a sua gestão cinegética</w:t>
      </w:r>
      <w:r w:rsidRPr="00890F11">
        <w:rPr>
          <w:rFonts w:eastAsia="MS Mincho" w:cs="Arial"/>
          <w:szCs w:val="18"/>
          <w:lang w:val="es-ES" w:eastAsia="ja-JP"/>
        </w:rPr>
        <w:t xml:space="preserve">. In </w:t>
      </w:r>
      <w:r w:rsidRPr="00890F11">
        <w:rPr>
          <w:rFonts w:eastAsia="MS Mincho" w:cs="Arial"/>
          <w:i/>
          <w:szCs w:val="18"/>
          <w:lang w:val="es-ES" w:eastAsia="ja-JP"/>
        </w:rPr>
        <w:t>Livro de resumos do III Congresso Ornitologia da Sociedade Portuguesa para o Estudo das Aves</w:t>
      </w:r>
      <w:r w:rsidRPr="00890F11">
        <w:rPr>
          <w:rFonts w:eastAsia="MS Mincho" w:cs="Arial"/>
          <w:szCs w:val="18"/>
          <w:lang w:val="es-ES" w:eastAsia="ja-JP"/>
        </w:rPr>
        <w:t xml:space="preserve">. pp 23. </w:t>
      </w:r>
      <w:r w:rsidRPr="00965D7D">
        <w:rPr>
          <w:rFonts w:eastAsia="MS Mincho" w:cs="Arial"/>
          <w:szCs w:val="18"/>
          <w:lang w:val="es-ES" w:eastAsia="ja-JP"/>
        </w:rPr>
        <w:t>SPEA, Castelo Branco.</w:t>
      </w:r>
    </w:p>
    <w:p w14:paraId="3758259E" w14:textId="77777777" w:rsidR="00C96521" w:rsidRPr="00965D7D" w:rsidRDefault="00C96521" w:rsidP="00C96521">
      <w:pPr>
        <w:widowControl/>
        <w:autoSpaceDE/>
        <w:autoSpaceDN/>
        <w:adjustRightInd/>
        <w:spacing w:line="276" w:lineRule="auto"/>
        <w:rPr>
          <w:rFonts w:eastAsia="MS Mincho" w:cs="Arial"/>
          <w:b/>
          <w:szCs w:val="18"/>
          <w:lang w:val="es-ES" w:eastAsia="ja-JP"/>
        </w:rPr>
      </w:pPr>
    </w:p>
    <w:p w14:paraId="4BA7ECA0"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CARVALHO M and DIAS S (2003)</w:t>
      </w:r>
      <w:r w:rsidRPr="00C96521">
        <w:rPr>
          <w:rFonts w:eastAsia="MS Mincho" w:cs="Arial"/>
          <w:szCs w:val="18"/>
          <w:lang w:val="en-GB" w:eastAsia="ja-JP"/>
        </w:rPr>
        <w:t xml:space="preserve"> </w:t>
      </w:r>
      <w:r w:rsidRPr="00C96521">
        <w:rPr>
          <w:rFonts w:eastAsia="MS Mincho" w:cs="Arial"/>
          <w:i/>
          <w:szCs w:val="18"/>
          <w:lang w:val="en-GB" w:eastAsia="ja-JP"/>
        </w:rPr>
        <w:t xml:space="preserve">Game </w:t>
      </w:r>
      <w:r w:rsidRPr="00C96521">
        <w:rPr>
          <w:rFonts w:eastAsia="MS Mincho" w:cs="Arial"/>
          <w:szCs w:val="18"/>
          <w:lang w:val="en-GB" w:eastAsia="ja-JP"/>
        </w:rPr>
        <w:t>Columbidae</w:t>
      </w:r>
      <w:r w:rsidRPr="00C96521">
        <w:rPr>
          <w:rFonts w:eastAsia="MS Mincho" w:cs="Arial"/>
          <w:i/>
          <w:szCs w:val="18"/>
          <w:lang w:val="en-GB" w:eastAsia="ja-JP"/>
        </w:rPr>
        <w:t xml:space="preserve"> in Guinea- Bissau</w:t>
      </w:r>
      <w:r w:rsidRPr="00C96521">
        <w:rPr>
          <w:rFonts w:eastAsia="MS Mincho" w:cs="Arial"/>
          <w:szCs w:val="18"/>
          <w:lang w:val="en-GB" w:eastAsia="ja-JP"/>
        </w:rPr>
        <w:t xml:space="preserve">. XXVIth Congress of the International Union of Game Biologists "Integrating Wildlife with People". </w:t>
      </w:r>
      <w:r w:rsidRPr="00890F11">
        <w:rPr>
          <w:rFonts w:eastAsia="MS Mincho" w:cs="Arial"/>
          <w:szCs w:val="18"/>
          <w:lang w:val="fr-FR" w:eastAsia="ja-JP"/>
        </w:rPr>
        <w:t>Braga, Portugal. Abstract book, 67.</w:t>
      </w:r>
    </w:p>
    <w:p w14:paraId="042D81E2"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60DC60B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bCs/>
          <w:szCs w:val="18"/>
          <w:lang w:val="fr-FR" w:eastAsia="ja-JP"/>
        </w:rPr>
        <w:t>CHAMBOLLE P (1986)</w:t>
      </w:r>
      <w:r w:rsidRPr="00890F11">
        <w:rPr>
          <w:rFonts w:eastAsia="MS Mincho" w:cs="Arial"/>
          <w:szCs w:val="18"/>
          <w:lang w:val="fr-FR" w:eastAsia="ja-JP"/>
        </w:rPr>
        <w:t xml:space="preserve"> Prélèvement cynégétique de tourterelles en France, saison 1983-84. </w:t>
      </w:r>
      <w:r w:rsidRPr="00C96521">
        <w:rPr>
          <w:rFonts w:eastAsia="MS Mincho" w:cs="Arial"/>
          <w:i/>
          <w:szCs w:val="18"/>
          <w:lang w:val="en-GB" w:eastAsia="ja-JP"/>
        </w:rPr>
        <w:t xml:space="preserve">Bulletin Mensuel de l’ONC </w:t>
      </w:r>
      <w:r w:rsidRPr="00C96521">
        <w:rPr>
          <w:rFonts w:eastAsia="MS Mincho" w:cs="Arial"/>
          <w:szCs w:val="18"/>
          <w:lang w:val="en-GB" w:eastAsia="ja-JP"/>
        </w:rPr>
        <w:t>108: 50-53.</w:t>
      </w:r>
    </w:p>
    <w:p w14:paraId="01772D5E"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4141D4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COMPENDIUM VOOR DE LEEFOMGEVING (2016)</w:t>
      </w:r>
      <w:r w:rsidRPr="00C96521">
        <w:rPr>
          <w:rFonts w:eastAsia="MS Mincho" w:cs="Arial"/>
          <w:szCs w:val="18"/>
          <w:lang w:val="en-GB" w:eastAsia="ja-JP"/>
        </w:rPr>
        <w:t xml:space="preserve"> </w:t>
      </w:r>
      <w:r w:rsidRPr="00C96521">
        <w:rPr>
          <w:rFonts w:eastAsia="MS Mincho" w:cs="Arial"/>
          <w:i/>
          <w:szCs w:val="18"/>
          <w:lang w:val="en-GB" w:eastAsia="ja-JP"/>
        </w:rPr>
        <w:t>Vogels van het boerenland, 1990-2014</w:t>
      </w:r>
      <w:r w:rsidRPr="00C96521">
        <w:rPr>
          <w:rFonts w:eastAsia="MS Mincho" w:cs="Arial"/>
          <w:szCs w:val="18"/>
          <w:lang w:val="en-GB" w:eastAsia="ja-JP"/>
        </w:rPr>
        <w:t>. http://www.clo.nl/indicatoren/nl1479-vogels-van-het-boerenland?i=4-27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22B50EFB"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170C89BB"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 xml:space="preserve">LE CONSEIL FEDERAL (2014) </w:t>
      </w:r>
      <w:r w:rsidRPr="00890F11">
        <w:rPr>
          <w:rFonts w:eastAsia="MS Mincho" w:cs="Arial"/>
          <w:i/>
          <w:szCs w:val="18"/>
          <w:lang w:val="fr-FR" w:eastAsia="ja-JP"/>
        </w:rPr>
        <w:t>Loi fédérale sur la chasse et la protection des mammifères et oiseaux sauvages.</w:t>
      </w:r>
      <w:r w:rsidRPr="00890F11">
        <w:rPr>
          <w:rFonts w:eastAsia="MS Mincho" w:cs="Arial"/>
          <w:szCs w:val="18"/>
          <w:lang w:val="fr-FR" w:eastAsia="ja-JP"/>
        </w:rPr>
        <w:t xml:space="preserve"> https://www.admin.ch/opc/fr/classified-compilation/19860156/index.html#a5 (last accessed 25</w:t>
      </w:r>
      <w:r w:rsidRPr="00890F11">
        <w:rPr>
          <w:rFonts w:eastAsia="MS Mincho" w:cs="Arial"/>
          <w:szCs w:val="18"/>
          <w:vertAlign w:val="superscript"/>
          <w:lang w:val="fr-FR" w:eastAsia="ja-JP"/>
        </w:rPr>
        <w:t>th</w:t>
      </w:r>
      <w:r w:rsidRPr="00890F11">
        <w:rPr>
          <w:rFonts w:eastAsia="MS Mincho" w:cs="Arial"/>
          <w:szCs w:val="18"/>
          <w:lang w:val="fr-FR" w:eastAsia="ja-JP"/>
        </w:rPr>
        <w:t xml:space="preserve"> November 2016)</w:t>
      </w:r>
    </w:p>
    <w:p w14:paraId="570C768A"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p>
    <w:p w14:paraId="142C816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CRAMP S (1985)</w:t>
      </w:r>
      <w:r w:rsidRPr="00C96521">
        <w:rPr>
          <w:rFonts w:eastAsia="MS Mincho" w:cs="Arial"/>
          <w:bCs/>
          <w:szCs w:val="18"/>
          <w:lang w:val="en-GB" w:eastAsia="ja-JP"/>
        </w:rPr>
        <w:t xml:space="preserve"> </w:t>
      </w:r>
      <w:r w:rsidRPr="00C96521">
        <w:rPr>
          <w:rFonts w:eastAsia="MS Mincho" w:cs="Arial"/>
          <w:i/>
          <w:szCs w:val="18"/>
          <w:lang w:val="en-GB" w:eastAsia="ja-JP"/>
        </w:rPr>
        <w:t>Handbook of the birds of Europe, the Middle East and North Africa</w:t>
      </w:r>
      <w:r w:rsidRPr="00C96521">
        <w:rPr>
          <w:rFonts w:eastAsia="MS Mincho" w:cs="Arial"/>
          <w:szCs w:val="18"/>
          <w:lang w:val="en-GB" w:eastAsia="ja-JP"/>
        </w:rPr>
        <w:t xml:space="preserve">. </w:t>
      </w:r>
      <w:r w:rsidRPr="00C96521">
        <w:rPr>
          <w:rFonts w:eastAsia="MS Mincho" w:cs="Arial"/>
          <w:i/>
          <w:szCs w:val="18"/>
          <w:lang w:val="en-GB" w:eastAsia="ja-JP"/>
        </w:rPr>
        <w:t>Volume IV, Terns to Woodpeckers</w:t>
      </w:r>
      <w:r w:rsidRPr="00C96521">
        <w:rPr>
          <w:rFonts w:eastAsia="MS Mincho" w:cs="Arial"/>
          <w:szCs w:val="18"/>
          <w:lang w:val="en-GB" w:eastAsia="ja-JP"/>
        </w:rPr>
        <w:t>: 353-363</w:t>
      </w:r>
      <w:r w:rsidRPr="00C96521">
        <w:rPr>
          <w:rFonts w:eastAsia="MS Mincho" w:cs="Arial"/>
          <w:i/>
          <w:szCs w:val="18"/>
          <w:lang w:val="en-GB" w:eastAsia="ja-JP"/>
        </w:rPr>
        <w:t>.</w:t>
      </w:r>
      <w:r w:rsidRPr="00C96521">
        <w:rPr>
          <w:rFonts w:eastAsia="MS Mincho" w:cs="Arial"/>
          <w:szCs w:val="18"/>
          <w:lang w:val="en-GB" w:eastAsia="ja-JP"/>
        </w:rPr>
        <w:t xml:space="preserve"> Oxford University Press, Oxford.</w:t>
      </w:r>
    </w:p>
    <w:p w14:paraId="0A6CE3CD"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0E6BD65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CSO/JPSP (2015) </w:t>
      </w:r>
      <w:r w:rsidRPr="00C96521">
        <w:rPr>
          <w:rFonts w:eastAsia="MS Mincho" w:cs="Arial"/>
          <w:i/>
          <w:szCs w:val="18"/>
          <w:lang w:val="en-GB" w:eastAsia="ja-JP"/>
        </w:rPr>
        <w:t>Indexy a trendy 2015 - Hrdlička divoká (</w:t>
      </w:r>
      <w:r w:rsidRPr="00C96521">
        <w:rPr>
          <w:rFonts w:eastAsia="MS Mincho" w:cs="Arial"/>
          <w:szCs w:val="18"/>
          <w:lang w:val="en-GB" w:eastAsia="ja-JP"/>
        </w:rPr>
        <w:t>Streptopelia turtur</w:t>
      </w:r>
      <w:r w:rsidRPr="00C96521">
        <w:rPr>
          <w:rFonts w:eastAsia="MS Mincho" w:cs="Arial"/>
          <w:i/>
          <w:szCs w:val="18"/>
          <w:lang w:val="en-GB" w:eastAsia="ja-JP"/>
        </w:rPr>
        <w:t>)</w:t>
      </w:r>
      <w:r w:rsidRPr="00C96521">
        <w:rPr>
          <w:rFonts w:eastAsia="MS Mincho" w:cs="Arial"/>
          <w:szCs w:val="18"/>
          <w:lang w:val="en-GB" w:eastAsia="ja-JP"/>
        </w:rPr>
        <w:t>. http://jpsp.birds.cz/vysledky.php?taxon=605 (last accessed 28</w:t>
      </w:r>
      <w:r w:rsidRPr="00C96521">
        <w:rPr>
          <w:rFonts w:eastAsia="MS Mincho" w:cs="Arial"/>
          <w:szCs w:val="18"/>
          <w:vertAlign w:val="superscript"/>
          <w:lang w:val="en-GB" w:eastAsia="ja-JP"/>
        </w:rPr>
        <w:t>th</w:t>
      </w:r>
      <w:r w:rsidRPr="00C96521">
        <w:rPr>
          <w:rFonts w:eastAsia="MS Mincho" w:cs="Arial"/>
          <w:szCs w:val="18"/>
          <w:lang w:val="en-GB" w:eastAsia="ja-JP"/>
        </w:rPr>
        <w:t xml:space="preserve"> October 2016)</w:t>
      </w:r>
    </w:p>
    <w:p w14:paraId="5A0B6BAD"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032EA70A" w14:textId="77777777" w:rsidR="00C96521" w:rsidRPr="00965D7D" w:rsidRDefault="00C96521" w:rsidP="00C96521">
      <w:pPr>
        <w:widowControl/>
        <w:autoSpaceDE/>
        <w:autoSpaceDN/>
        <w:adjustRightInd/>
        <w:spacing w:line="276" w:lineRule="auto"/>
        <w:rPr>
          <w:rFonts w:eastAsia="MS Mincho" w:cs="Arial"/>
          <w:szCs w:val="18"/>
          <w:lang w:val="de-DE" w:eastAsia="ja-JP"/>
        </w:rPr>
      </w:pPr>
      <w:r w:rsidRPr="00965D7D">
        <w:rPr>
          <w:rFonts w:eastAsia="MS Mincho" w:cs="Arial"/>
          <w:b/>
          <w:szCs w:val="18"/>
          <w:lang w:val="de-DE" w:eastAsia="ja-JP"/>
        </w:rPr>
        <w:t>DACHVERBAND DEUTSCHER AVIFAUNISTEN (2016)</w:t>
      </w:r>
      <w:r w:rsidRPr="00965D7D">
        <w:rPr>
          <w:rFonts w:eastAsia="MS Mincho" w:cs="Arial"/>
          <w:szCs w:val="18"/>
          <w:lang w:val="de-DE" w:eastAsia="ja-JP"/>
        </w:rPr>
        <w:t xml:space="preserve"> </w:t>
      </w:r>
      <w:r w:rsidRPr="00965D7D">
        <w:rPr>
          <w:rFonts w:eastAsia="MS Mincho" w:cs="Arial"/>
          <w:i/>
          <w:szCs w:val="18"/>
          <w:lang w:val="de-DE" w:eastAsia="ja-JP"/>
        </w:rPr>
        <w:t>Bestandsentwicklung, Verbreitung und jahreszeitliches Auftreten von Brut- und Rastvögeln in Deutschland</w:t>
      </w:r>
      <w:r w:rsidRPr="00965D7D">
        <w:rPr>
          <w:rFonts w:eastAsia="MS Mincho" w:cs="Arial"/>
          <w:szCs w:val="18"/>
          <w:lang w:val="de-DE" w:eastAsia="ja-JP"/>
        </w:rPr>
        <w:t>. Dachverband Deutscher Avifaunisten, Münster.</w:t>
      </w:r>
    </w:p>
    <w:p w14:paraId="2FCAE048" w14:textId="77777777" w:rsidR="00C96521" w:rsidRPr="00965D7D" w:rsidRDefault="00C96521" w:rsidP="00C96521">
      <w:pPr>
        <w:widowControl/>
        <w:autoSpaceDE/>
        <w:autoSpaceDN/>
        <w:adjustRightInd/>
        <w:spacing w:line="276" w:lineRule="auto"/>
        <w:rPr>
          <w:rFonts w:eastAsia="MS Mincho" w:cs="Arial"/>
          <w:b/>
          <w:bCs/>
          <w:szCs w:val="18"/>
          <w:lang w:val="de-DE" w:eastAsia="ja-JP"/>
        </w:rPr>
      </w:pPr>
    </w:p>
    <w:p w14:paraId="150B0619" w14:textId="77777777" w:rsidR="00C96521" w:rsidRPr="00965D7D" w:rsidRDefault="00C96521" w:rsidP="00C96521">
      <w:pPr>
        <w:widowControl/>
        <w:spacing w:line="276" w:lineRule="auto"/>
        <w:rPr>
          <w:rFonts w:eastAsia="MS Mincho" w:cs="Arial"/>
          <w:szCs w:val="18"/>
          <w:lang w:val="de-DE" w:eastAsia="ja-JP"/>
        </w:rPr>
      </w:pPr>
      <w:r w:rsidRPr="00965D7D">
        <w:rPr>
          <w:rFonts w:eastAsia="MS Mincho" w:cs="Arial"/>
          <w:b/>
          <w:szCs w:val="18"/>
          <w:lang w:val="de-DE" w:eastAsia="ja-JP"/>
        </w:rPr>
        <w:t xml:space="preserve">DANKO Z, DAROLOVÁ A and KRIŠTÍN A (2002) </w:t>
      </w:r>
      <w:r w:rsidRPr="00965D7D">
        <w:rPr>
          <w:rFonts w:eastAsia="MS Mincho" w:cs="Arial"/>
          <w:i/>
          <w:szCs w:val="18"/>
          <w:lang w:val="de-DE" w:eastAsia="ja-JP"/>
        </w:rPr>
        <w:t>Rozšírenie vtákov na Slovensku – Birds Distribution in Slovakia</w:t>
      </w:r>
      <w:r w:rsidRPr="00965D7D">
        <w:rPr>
          <w:rFonts w:eastAsia="MS Mincho" w:cs="Arial"/>
          <w:szCs w:val="18"/>
          <w:lang w:val="de-DE" w:eastAsia="ja-JP"/>
        </w:rPr>
        <w:t>. Vydavatel’stvo Slovenskej akadémie vied, Bratislava.</w:t>
      </w:r>
    </w:p>
    <w:p w14:paraId="62F5B2B0" w14:textId="77777777" w:rsidR="00C96521" w:rsidRPr="00965D7D" w:rsidRDefault="00C96521" w:rsidP="00C96521">
      <w:pPr>
        <w:widowControl/>
        <w:autoSpaceDE/>
        <w:autoSpaceDN/>
        <w:adjustRightInd/>
        <w:spacing w:line="276" w:lineRule="auto"/>
        <w:rPr>
          <w:rFonts w:eastAsia="MS Mincho" w:cs="Arial"/>
          <w:b/>
          <w:bCs/>
          <w:szCs w:val="18"/>
          <w:lang w:val="de-DE" w:eastAsia="ja-JP"/>
        </w:rPr>
      </w:pPr>
    </w:p>
    <w:p w14:paraId="06D50054" w14:textId="77777777" w:rsidR="00C96521" w:rsidRPr="00965D7D" w:rsidRDefault="00C96521" w:rsidP="00C96521">
      <w:pPr>
        <w:widowControl/>
        <w:autoSpaceDE/>
        <w:autoSpaceDN/>
        <w:adjustRightInd/>
        <w:spacing w:line="276" w:lineRule="auto"/>
        <w:rPr>
          <w:rFonts w:eastAsia="MS Mincho" w:cs="Arial"/>
          <w:b/>
          <w:bCs/>
          <w:szCs w:val="18"/>
          <w:lang w:val="de-DE" w:eastAsia="ja-JP"/>
        </w:rPr>
      </w:pPr>
      <w:r w:rsidRPr="00965D7D">
        <w:rPr>
          <w:rFonts w:eastAsia="MS Mincho" w:cs="Arial"/>
          <w:b/>
          <w:bCs/>
          <w:szCs w:val="18"/>
          <w:lang w:val="de-DE" w:eastAsia="ja-JP"/>
        </w:rPr>
        <w:t xml:space="preserve">DENAC K and KMECL P (2014) </w:t>
      </w:r>
      <w:r w:rsidRPr="00965D7D">
        <w:rPr>
          <w:rFonts w:eastAsia="MS Mincho" w:cs="Arial"/>
          <w:i/>
          <w:szCs w:val="18"/>
          <w:lang w:val="de-DE" w:eastAsia="ja-JP"/>
        </w:rPr>
        <w:t>Ptice Goričkega (The birds of Goričko)</w:t>
      </w:r>
      <w:r w:rsidRPr="00965D7D">
        <w:rPr>
          <w:rFonts w:eastAsia="MS Mincho" w:cs="Arial"/>
          <w:szCs w:val="18"/>
          <w:lang w:val="de-DE" w:eastAsia="ja-JP"/>
        </w:rPr>
        <w:t>. DOPPS, Ljubljana.</w:t>
      </w:r>
    </w:p>
    <w:p w14:paraId="347A49B1" w14:textId="77777777" w:rsidR="00C96521" w:rsidRPr="00965D7D" w:rsidRDefault="00C96521" w:rsidP="00C96521">
      <w:pPr>
        <w:widowControl/>
        <w:autoSpaceDE/>
        <w:autoSpaceDN/>
        <w:adjustRightInd/>
        <w:spacing w:line="276" w:lineRule="auto"/>
        <w:rPr>
          <w:rFonts w:eastAsia="MS Mincho" w:cs="Arial"/>
          <w:b/>
          <w:bCs/>
          <w:szCs w:val="18"/>
          <w:lang w:val="de-DE" w:eastAsia="ja-JP"/>
        </w:rPr>
      </w:pPr>
    </w:p>
    <w:p w14:paraId="5269E776"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965D7D">
        <w:rPr>
          <w:rFonts w:eastAsia="MS Mincho" w:cs="Arial"/>
          <w:b/>
          <w:szCs w:val="18"/>
          <w:lang w:val="de-DE" w:eastAsia="ja-JP"/>
        </w:rPr>
        <w:t xml:space="preserve">DEVILLERS P, ROGGEMAN W, TRICOT J, DEL MARMOL P, KERWIJN C, JACOB J-P and ANSELIN A (1988) </w:t>
      </w:r>
      <w:r w:rsidRPr="00965D7D">
        <w:rPr>
          <w:rFonts w:eastAsia="MS Mincho" w:cs="Arial"/>
          <w:i/>
          <w:szCs w:val="18"/>
          <w:lang w:val="de-DE" w:eastAsia="ja-JP"/>
        </w:rPr>
        <w:t>Atlas des oiseaux nicheurs de Belgique</w:t>
      </w:r>
      <w:r w:rsidRPr="00965D7D">
        <w:rPr>
          <w:rFonts w:eastAsia="MS Mincho" w:cs="Arial"/>
          <w:szCs w:val="18"/>
          <w:lang w:val="de-DE" w:eastAsia="ja-JP"/>
        </w:rPr>
        <w:t xml:space="preserve">. </w:t>
      </w:r>
      <w:r w:rsidRPr="00890F11">
        <w:rPr>
          <w:rFonts w:eastAsia="MS Mincho" w:cs="Arial"/>
          <w:szCs w:val="18"/>
          <w:lang w:val="fr-FR" w:eastAsia="ja-JP"/>
        </w:rPr>
        <w:t xml:space="preserve">Institut Royal des Sciences Naturelles de Belgique, Bruxelles. </w:t>
      </w:r>
    </w:p>
    <w:p w14:paraId="43E183BE"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p>
    <w:p w14:paraId="3D87DCC0"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bCs/>
          <w:szCs w:val="18"/>
          <w:lang w:val="fr-FR" w:eastAsia="ja-JP"/>
        </w:rPr>
        <w:lastRenderedPageBreak/>
        <w:t xml:space="preserve">DEVORT M, TROLLIET B and VEIGA J (1988) </w:t>
      </w:r>
      <w:r w:rsidRPr="00890F11">
        <w:rPr>
          <w:rFonts w:eastAsia="MS Mincho" w:cs="Arial"/>
          <w:szCs w:val="18"/>
          <w:lang w:val="fr-FR" w:eastAsia="ja-JP"/>
        </w:rPr>
        <w:t xml:space="preserve">Sur la migration postnuptiale de la tourterelle des bois en Gironde. </w:t>
      </w:r>
      <w:r w:rsidRPr="00890F11">
        <w:rPr>
          <w:rFonts w:eastAsia="MS Mincho" w:cs="Arial"/>
          <w:i/>
          <w:iCs/>
          <w:szCs w:val="18"/>
          <w:lang w:val="es-ES" w:eastAsia="ja-JP"/>
        </w:rPr>
        <w:t xml:space="preserve">Gibier Faune Sauvage </w:t>
      </w:r>
      <w:r w:rsidRPr="00890F11">
        <w:rPr>
          <w:rFonts w:eastAsia="MS Mincho" w:cs="Arial"/>
          <w:szCs w:val="18"/>
          <w:lang w:val="es-ES" w:eastAsia="ja-JP"/>
        </w:rPr>
        <w:t>5: 61-70.</w:t>
      </w:r>
    </w:p>
    <w:p w14:paraId="202C8B97"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67F3F186" w14:textId="77777777" w:rsidR="00C96521" w:rsidRPr="00C96521" w:rsidRDefault="00C96521" w:rsidP="00C96521">
      <w:pPr>
        <w:widowControl/>
        <w:spacing w:line="276" w:lineRule="auto"/>
        <w:rPr>
          <w:rFonts w:eastAsia="MS Mincho" w:cs="Arial"/>
          <w:color w:val="000000"/>
          <w:szCs w:val="18"/>
          <w:lang w:val="pt-PT" w:eastAsia="ja-JP"/>
        </w:rPr>
      </w:pPr>
      <w:r w:rsidRPr="00C96521">
        <w:rPr>
          <w:rFonts w:eastAsia="MS Mincho" w:cs="Arial"/>
          <w:b/>
          <w:color w:val="000000"/>
          <w:szCs w:val="18"/>
          <w:lang w:val="pt-PT" w:eastAsia="ja-JP"/>
        </w:rPr>
        <w:t>DIAS (2016</w:t>
      </w:r>
      <w:r w:rsidRPr="00C96521">
        <w:rPr>
          <w:rFonts w:eastAsia="MS Mincho" w:cs="Arial"/>
          <w:b/>
          <w:bCs/>
          <w:color w:val="000000"/>
          <w:szCs w:val="18"/>
          <w:lang w:val="pt-PT" w:eastAsia="ja-JP"/>
        </w:rPr>
        <w:t>)</w:t>
      </w:r>
      <w:r w:rsidRPr="00C96521">
        <w:rPr>
          <w:rFonts w:eastAsia="MS Mincho" w:cs="Arial"/>
          <w:bCs/>
          <w:color w:val="000000"/>
          <w:szCs w:val="18"/>
          <w:lang w:val="pt-PT" w:eastAsia="ja-JP"/>
        </w:rPr>
        <w:t xml:space="preserve"> </w:t>
      </w:r>
      <w:r w:rsidRPr="00C96521">
        <w:rPr>
          <w:rFonts w:eastAsia="MS Mincho" w:cs="Arial"/>
          <w:i/>
          <w:color w:val="000000"/>
          <w:szCs w:val="18"/>
          <w:lang w:val="pt-PT" w:eastAsia="ja-JP"/>
        </w:rPr>
        <w:t>Critérios para a gestão sustentável das populações de rola-brava [</w:t>
      </w:r>
      <w:r w:rsidRPr="00C96521">
        <w:rPr>
          <w:rFonts w:eastAsia="MS Mincho" w:cs="Arial"/>
          <w:i/>
          <w:iCs/>
          <w:color w:val="000000"/>
          <w:szCs w:val="18"/>
          <w:lang w:val="pt-PT" w:eastAsia="ja-JP"/>
        </w:rPr>
        <w:t xml:space="preserve">Streptopelia turtur </w:t>
      </w:r>
      <w:r w:rsidRPr="00C96521">
        <w:rPr>
          <w:rFonts w:eastAsia="MS Mincho" w:cs="Arial"/>
          <w:i/>
          <w:color w:val="000000"/>
          <w:szCs w:val="18"/>
          <w:lang w:val="pt-PT" w:eastAsia="ja-JP"/>
        </w:rPr>
        <w:t>(L.)] em Portugal. Padrões de abundância, reprodução e pressão cinegética</w:t>
      </w:r>
      <w:r w:rsidRPr="00C96521">
        <w:rPr>
          <w:rFonts w:eastAsia="MS Mincho" w:cs="Arial"/>
          <w:color w:val="000000"/>
          <w:szCs w:val="18"/>
          <w:lang w:val="pt-PT" w:eastAsia="ja-JP"/>
        </w:rPr>
        <w:t xml:space="preserve">. </w:t>
      </w:r>
      <w:r w:rsidRPr="00C96521">
        <w:rPr>
          <w:rFonts w:eastAsia="MS Mincho" w:cs="Arial"/>
          <w:bCs/>
          <w:color w:val="000000"/>
          <w:szCs w:val="18"/>
          <w:lang w:val="pt-PT" w:eastAsia="ja-JP"/>
        </w:rPr>
        <w:t>PhD Thesis</w:t>
      </w:r>
      <w:r w:rsidRPr="00C96521">
        <w:rPr>
          <w:rFonts w:eastAsia="MS Mincho" w:cs="Arial"/>
          <w:color w:val="000000"/>
          <w:szCs w:val="18"/>
          <w:lang w:val="pt-PT" w:eastAsia="ja-JP"/>
        </w:rPr>
        <w:t xml:space="preserve">. Instituto Superior de Agronomia, Universidade de Lisboa. </w:t>
      </w:r>
    </w:p>
    <w:p w14:paraId="1485A16F" w14:textId="77777777" w:rsidR="00C96521" w:rsidRPr="00C96521" w:rsidRDefault="00C96521" w:rsidP="00C96521">
      <w:pPr>
        <w:widowControl/>
        <w:spacing w:line="276" w:lineRule="auto"/>
        <w:rPr>
          <w:rFonts w:eastAsia="MS Mincho" w:cs="Arial"/>
          <w:b/>
          <w:color w:val="000000"/>
          <w:szCs w:val="18"/>
          <w:lang w:val="pt-PT" w:eastAsia="ja-JP"/>
        </w:rPr>
      </w:pPr>
    </w:p>
    <w:p w14:paraId="658EED8C" w14:textId="77777777" w:rsidR="00C96521" w:rsidRPr="00C96521" w:rsidRDefault="00C96521" w:rsidP="00C96521">
      <w:pPr>
        <w:widowControl/>
        <w:spacing w:line="276" w:lineRule="auto"/>
        <w:rPr>
          <w:rFonts w:eastAsia="MS Mincho" w:cs="Arial"/>
          <w:b/>
          <w:color w:val="000000"/>
          <w:szCs w:val="18"/>
          <w:lang w:val="pt-PT" w:eastAsia="ja-JP"/>
        </w:rPr>
      </w:pPr>
      <w:r w:rsidRPr="00C96521">
        <w:rPr>
          <w:rFonts w:eastAsia="MS Mincho" w:cs="Arial"/>
          <w:b/>
          <w:color w:val="000000"/>
          <w:szCs w:val="18"/>
          <w:lang w:val="pt-PT" w:eastAsia="ja-JP"/>
        </w:rPr>
        <w:t xml:space="preserve">DIAS S </w:t>
      </w:r>
      <w:r w:rsidRPr="00C96521">
        <w:rPr>
          <w:rFonts w:eastAsia="MS Mincho" w:cs="Arial"/>
          <w:color w:val="000000"/>
          <w:szCs w:val="18"/>
          <w:lang w:val="pt-PT" w:eastAsia="ja-JP"/>
        </w:rPr>
        <w:t xml:space="preserve">and </w:t>
      </w:r>
      <w:r w:rsidRPr="00C96521">
        <w:rPr>
          <w:rFonts w:eastAsia="MS Mincho" w:cs="Arial"/>
          <w:b/>
          <w:color w:val="000000"/>
          <w:szCs w:val="18"/>
          <w:lang w:val="pt-PT" w:eastAsia="ja-JP"/>
        </w:rPr>
        <w:t>FONTOURA P</w:t>
      </w:r>
      <w:r w:rsidRPr="00C96521">
        <w:rPr>
          <w:rFonts w:eastAsia="MS Mincho" w:cs="Arial"/>
          <w:color w:val="000000"/>
          <w:szCs w:val="18"/>
          <w:lang w:val="pt-PT" w:eastAsia="ja-JP"/>
        </w:rPr>
        <w:t xml:space="preserve"> (</w:t>
      </w:r>
      <w:r w:rsidRPr="00C96521">
        <w:rPr>
          <w:rFonts w:eastAsia="MS Mincho" w:cs="Arial"/>
          <w:b/>
          <w:color w:val="000000"/>
          <w:szCs w:val="18"/>
          <w:lang w:val="pt-PT" w:eastAsia="ja-JP"/>
        </w:rPr>
        <w:t xml:space="preserve">1996) </w:t>
      </w:r>
      <w:r w:rsidRPr="00C96521">
        <w:rPr>
          <w:rFonts w:eastAsia="MS Mincho" w:cs="Arial"/>
          <w:color w:val="000000"/>
          <w:szCs w:val="18"/>
          <w:lang w:val="pt-PT" w:eastAsia="ja-JP"/>
        </w:rPr>
        <w:t xml:space="preserve">A alimentação estival da rola-brava no sul de Portugal. Actas do II Congresso Ibérico de Ciências Cinegéticas. </w:t>
      </w:r>
      <w:r w:rsidRPr="00C96521">
        <w:rPr>
          <w:rFonts w:eastAsia="MS Mincho" w:cs="Arial"/>
          <w:i/>
          <w:color w:val="000000"/>
          <w:szCs w:val="18"/>
          <w:lang w:val="pt-PT" w:eastAsia="ja-JP"/>
        </w:rPr>
        <w:t>Revista Florestal</w:t>
      </w:r>
      <w:r w:rsidRPr="00C96521">
        <w:rPr>
          <w:rFonts w:eastAsia="MS Mincho" w:cs="Arial"/>
          <w:color w:val="000000"/>
          <w:szCs w:val="18"/>
          <w:lang w:val="pt-PT" w:eastAsia="ja-JP"/>
        </w:rPr>
        <w:t xml:space="preserve"> 9(1): 227-241.</w:t>
      </w:r>
    </w:p>
    <w:p w14:paraId="373C05FA" w14:textId="77777777" w:rsidR="00C96521" w:rsidRPr="00890F11" w:rsidRDefault="00C96521" w:rsidP="00C96521">
      <w:pPr>
        <w:widowControl/>
        <w:spacing w:line="276" w:lineRule="auto"/>
        <w:rPr>
          <w:rFonts w:eastAsia="MS Mincho" w:cs="Arial"/>
          <w:b/>
          <w:szCs w:val="18"/>
          <w:lang w:val="es-ES" w:eastAsia="ja-JP"/>
        </w:rPr>
      </w:pPr>
    </w:p>
    <w:p w14:paraId="14BE13CD"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 xml:space="preserve">DIAS S, MOREIRA F, BEJA P, CARVALHO M, GORDINHO L, REINO L, OLIVEIRA V and REGO F (2013) </w:t>
      </w:r>
      <w:r w:rsidRPr="00C96521">
        <w:rPr>
          <w:rFonts w:eastAsia="MS Mincho" w:cs="Arial"/>
          <w:szCs w:val="18"/>
          <w:lang w:val="en-GB" w:eastAsia="ja-JP"/>
        </w:rPr>
        <w:t xml:space="preserve">Landscape effects on large-scale abundance patterns of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in Portugal. </w:t>
      </w:r>
      <w:r w:rsidRPr="00C96521">
        <w:rPr>
          <w:rFonts w:eastAsia="MS Mincho" w:cs="Arial"/>
          <w:i/>
          <w:szCs w:val="18"/>
          <w:lang w:val="en-GB" w:eastAsia="ja-JP"/>
        </w:rPr>
        <w:t>European Journal of Wildlife Resources</w:t>
      </w:r>
      <w:r w:rsidRPr="00C96521">
        <w:rPr>
          <w:rFonts w:eastAsia="MS Mincho" w:cs="Arial"/>
          <w:szCs w:val="18"/>
          <w:lang w:val="en-GB" w:eastAsia="ja-JP"/>
        </w:rPr>
        <w:t xml:space="preserve"> 59: 531–541.</w:t>
      </w:r>
    </w:p>
    <w:p w14:paraId="5B0A59FE" w14:textId="77777777" w:rsidR="00C96521" w:rsidRPr="00C96521" w:rsidRDefault="00C96521" w:rsidP="00C96521">
      <w:pPr>
        <w:widowControl/>
        <w:spacing w:line="276" w:lineRule="auto"/>
        <w:rPr>
          <w:rFonts w:eastAsia="MS Mincho" w:cs="Arial"/>
          <w:szCs w:val="18"/>
          <w:lang w:val="en-GB" w:eastAsia="ja-JP"/>
        </w:rPr>
      </w:pPr>
    </w:p>
    <w:p w14:paraId="372B39CB" w14:textId="77777777" w:rsidR="00C96521" w:rsidRPr="00C96521" w:rsidRDefault="00C96521" w:rsidP="00C96521">
      <w:pPr>
        <w:widowControl/>
        <w:spacing w:line="276" w:lineRule="auto"/>
        <w:rPr>
          <w:rFonts w:eastAsia="MS Mincho" w:cs="Arial"/>
          <w:color w:val="000000"/>
          <w:szCs w:val="18"/>
          <w:lang w:val="pt-PT" w:eastAsia="ja-JP"/>
        </w:rPr>
      </w:pPr>
      <w:r w:rsidRPr="00C96521">
        <w:rPr>
          <w:rFonts w:eastAsia="MS Mincho" w:cs="Arial"/>
          <w:b/>
          <w:color w:val="000000"/>
          <w:szCs w:val="18"/>
          <w:lang w:val="pt-PT" w:eastAsia="ja-JP"/>
        </w:rPr>
        <w:t>DILLINGHAM PW and FLETCHER D (2008)</w:t>
      </w:r>
      <w:r w:rsidRPr="00C96521">
        <w:rPr>
          <w:rFonts w:eastAsia="MS Mincho" w:cs="Arial"/>
          <w:color w:val="000000"/>
          <w:szCs w:val="18"/>
          <w:lang w:val="pt-PT" w:eastAsia="ja-JP"/>
        </w:rPr>
        <w:t xml:space="preserve"> Estimating the ability of birds to sustain additional human-caused mortalities using a simple decision rule and allometric relationships. </w:t>
      </w:r>
      <w:r w:rsidRPr="00C96521">
        <w:rPr>
          <w:rFonts w:eastAsia="MS Mincho" w:cs="Arial"/>
          <w:i/>
          <w:color w:val="000000"/>
          <w:szCs w:val="18"/>
          <w:lang w:val="pt-PT" w:eastAsia="ja-JP"/>
        </w:rPr>
        <w:t>Biological Conservation</w:t>
      </w:r>
      <w:r w:rsidRPr="00C96521">
        <w:rPr>
          <w:rFonts w:eastAsia="MS Mincho" w:cs="Arial"/>
          <w:color w:val="000000"/>
          <w:szCs w:val="18"/>
          <w:lang w:val="pt-PT" w:eastAsia="ja-JP"/>
        </w:rPr>
        <w:t xml:space="preserve"> 141(7): 1783 – 1792.</w:t>
      </w:r>
    </w:p>
    <w:p w14:paraId="1054F664" w14:textId="77777777" w:rsidR="00C96521" w:rsidRPr="00890F11" w:rsidRDefault="00C96521" w:rsidP="00C96521">
      <w:pPr>
        <w:widowControl/>
        <w:spacing w:line="276" w:lineRule="auto"/>
        <w:rPr>
          <w:rFonts w:eastAsia="MS Mincho" w:cs="Arial"/>
          <w:szCs w:val="18"/>
          <w:lang w:val="fr-FR" w:eastAsia="ja-JP"/>
        </w:rPr>
      </w:pPr>
    </w:p>
    <w:p w14:paraId="267D2568" w14:textId="77777777" w:rsidR="00C96521" w:rsidRPr="00890F11" w:rsidRDefault="00C96521" w:rsidP="00C96521">
      <w:pPr>
        <w:widowControl/>
        <w:spacing w:line="276" w:lineRule="auto"/>
        <w:rPr>
          <w:rFonts w:eastAsia="MS Mincho" w:cs="Arial"/>
          <w:szCs w:val="18"/>
          <w:lang w:val="fr-FR" w:eastAsia="ja-JP"/>
        </w:rPr>
      </w:pPr>
      <w:r w:rsidRPr="00890F11">
        <w:rPr>
          <w:rFonts w:eastAsia="MS Mincho" w:cs="Arial"/>
          <w:b/>
          <w:szCs w:val="18"/>
          <w:lang w:val="fr-FR" w:eastAsia="ja-JP"/>
        </w:rPr>
        <w:t>DUBOIS C (2002)</w:t>
      </w:r>
      <w:r w:rsidRPr="00890F11">
        <w:rPr>
          <w:rFonts w:eastAsia="MS Mincho" w:cs="Arial"/>
          <w:szCs w:val="18"/>
          <w:lang w:val="fr-FR" w:eastAsia="ja-JP"/>
        </w:rPr>
        <w:t xml:space="preserve"> </w:t>
      </w:r>
      <w:r w:rsidRPr="00890F11">
        <w:rPr>
          <w:rFonts w:eastAsia="MS Mincho" w:cs="Arial"/>
          <w:i/>
          <w:szCs w:val="18"/>
          <w:lang w:val="fr-FR" w:eastAsia="ja-JP"/>
        </w:rPr>
        <w:t>Contribution à l’étude de la tourterelle des bois (</w:t>
      </w:r>
      <w:r w:rsidRPr="00890F11">
        <w:rPr>
          <w:rFonts w:eastAsia="MS Mincho" w:cs="Arial"/>
          <w:szCs w:val="18"/>
          <w:lang w:val="fr-FR" w:eastAsia="ja-JP"/>
        </w:rPr>
        <w:t>Streptopelia turtur</w:t>
      </w:r>
      <w:r w:rsidRPr="00890F11">
        <w:rPr>
          <w:rFonts w:eastAsia="MS Mincho" w:cs="Arial"/>
          <w:i/>
          <w:szCs w:val="18"/>
          <w:lang w:val="fr-FR" w:eastAsia="ja-JP"/>
        </w:rPr>
        <w:t>): Biologie, Zoologie, Chasse</w:t>
      </w:r>
      <w:r w:rsidRPr="00890F11">
        <w:rPr>
          <w:rFonts w:eastAsia="MS Mincho" w:cs="Arial"/>
          <w:szCs w:val="18"/>
          <w:lang w:val="fr-FR" w:eastAsia="ja-JP"/>
        </w:rPr>
        <w:t>. Thèse pour obtenir le grade de Docteur Vétérinaire. Ecole Nationale Vétérinaire, Toulouse.</w:t>
      </w:r>
    </w:p>
    <w:p w14:paraId="2A10E0C6" w14:textId="77777777" w:rsidR="00C96521" w:rsidRPr="00890F11" w:rsidRDefault="00C96521" w:rsidP="00C96521">
      <w:pPr>
        <w:widowControl/>
        <w:spacing w:line="276" w:lineRule="auto"/>
        <w:rPr>
          <w:rFonts w:eastAsia="MS Mincho" w:cs="Arial"/>
          <w:b/>
          <w:szCs w:val="18"/>
          <w:lang w:val="fr-FR" w:eastAsia="ja-JP"/>
        </w:rPr>
      </w:pPr>
    </w:p>
    <w:p w14:paraId="648BC52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fr-FR" w:eastAsia="ja-JP"/>
        </w:rPr>
        <w:t>DUBOIS PJ, LE MARECHAL P, OLIOSO G and YESOU P (2008)</w:t>
      </w:r>
      <w:r w:rsidRPr="00890F11">
        <w:rPr>
          <w:rFonts w:eastAsia="MS Mincho" w:cs="Arial"/>
          <w:szCs w:val="18"/>
          <w:lang w:val="fr-FR" w:eastAsia="ja-JP"/>
        </w:rPr>
        <w:t xml:space="preserve"> </w:t>
      </w:r>
      <w:r w:rsidRPr="00890F11">
        <w:rPr>
          <w:rFonts w:eastAsia="MS Mincho" w:cs="Arial"/>
          <w:i/>
          <w:szCs w:val="18"/>
          <w:lang w:val="fr-FR" w:eastAsia="ja-JP"/>
        </w:rPr>
        <w:t>Nouvel inventaire des oiseaux de France</w:t>
      </w:r>
      <w:r w:rsidRPr="00890F11">
        <w:rPr>
          <w:rFonts w:eastAsia="MS Mincho" w:cs="Arial"/>
          <w:szCs w:val="18"/>
          <w:lang w:val="fr-FR" w:eastAsia="ja-JP"/>
        </w:rPr>
        <w:t xml:space="preserve">. </w:t>
      </w:r>
      <w:r w:rsidRPr="00C96521">
        <w:rPr>
          <w:rFonts w:eastAsia="MS Mincho" w:cs="Arial"/>
          <w:szCs w:val="18"/>
          <w:lang w:val="en-GB" w:eastAsia="ja-JP"/>
        </w:rPr>
        <w:t>Delachaux et Niestlé, Paris.</w:t>
      </w:r>
    </w:p>
    <w:p w14:paraId="6118207E" w14:textId="77777777" w:rsidR="00C96521" w:rsidRPr="00C96521" w:rsidRDefault="00C96521" w:rsidP="00C96521">
      <w:pPr>
        <w:widowControl/>
        <w:spacing w:line="276" w:lineRule="auto"/>
        <w:rPr>
          <w:rFonts w:eastAsia="MS Mincho" w:cs="Arial"/>
          <w:b/>
          <w:szCs w:val="18"/>
          <w:lang w:val="en-GB" w:eastAsia="ja-JP"/>
        </w:rPr>
      </w:pPr>
    </w:p>
    <w:p w14:paraId="75A3771C"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DUNN JC and MORRIS AJ (2012)</w:t>
      </w:r>
      <w:r w:rsidRPr="00C96521">
        <w:rPr>
          <w:rFonts w:eastAsia="MS Mincho" w:cs="Arial"/>
          <w:szCs w:val="18"/>
          <w:lang w:val="en-GB" w:eastAsia="ja-JP"/>
        </w:rPr>
        <w:t xml:space="preserve"> Which features of UK farmland are important in retaining territories of the rapidly declining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Bird Study</w:t>
      </w:r>
      <w:r w:rsidRPr="00C96521">
        <w:rPr>
          <w:rFonts w:eastAsia="MS Mincho" w:cs="Arial"/>
          <w:szCs w:val="18"/>
          <w:lang w:val="en-GB" w:eastAsia="ja-JP"/>
        </w:rPr>
        <w:t xml:space="preserve"> 59(4): 394-402.</w:t>
      </w:r>
    </w:p>
    <w:p w14:paraId="1B1D583F" w14:textId="77777777" w:rsidR="00C96521" w:rsidRPr="00C96521" w:rsidRDefault="00C96521" w:rsidP="00C96521">
      <w:pPr>
        <w:widowControl/>
        <w:spacing w:line="276" w:lineRule="auto"/>
        <w:rPr>
          <w:rFonts w:eastAsia="MS Mincho" w:cs="Arial"/>
          <w:b/>
          <w:szCs w:val="18"/>
          <w:lang w:val="en-GB" w:eastAsia="ja-JP"/>
        </w:rPr>
      </w:pPr>
    </w:p>
    <w:p w14:paraId="4FCF3217"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DUNN JC, MORRIS AJ and GRICE PV (2015)</w:t>
      </w:r>
      <w:r w:rsidRPr="00C96521">
        <w:rPr>
          <w:rFonts w:eastAsia="MS Mincho" w:cs="Arial"/>
          <w:szCs w:val="18"/>
          <w:lang w:val="en-GB" w:eastAsia="ja-JP"/>
        </w:rPr>
        <w:t xml:space="preserve"> Testing bespoke management of foraging habitat for European Turtle Doves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Journal of Nature Conservation</w:t>
      </w:r>
      <w:r w:rsidRPr="00C96521">
        <w:rPr>
          <w:rFonts w:eastAsia="MS Mincho" w:cs="Arial"/>
          <w:szCs w:val="18"/>
          <w:lang w:val="en-GB" w:eastAsia="ja-JP"/>
        </w:rPr>
        <w:t xml:space="preserve"> 25: 23-34.</w:t>
      </w:r>
    </w:p>
    <w:p w14:paraId="5AC187F4" w14:textId="77777777" w:rsidR="00C96521" w:rsidRPr="00C96521" w:rsidRDefault="00C96521" w:rsidP="00C96521">
      <w:pPr>
        <w:widowControl/>
        <w:spacing w:line="276" w:lineRule="auto"/>
        <w:rPr>
          <w:rFonts w:eastAsia="MS Mincho" w:cs="Arial"/>
          <w:b/>
          <w:szCs w:val="18"/>
          <w:lang w:val="en-GB" w:eastAsia="ja-JP"/>
        </w:rPr>
      </w:pPr>
    </w:p>
    <w:p w14:paraId="4D896F2F"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DUNN JC, MORRIS AJ and GRICE PV (2016a)</w:t>
      </w:r>
      <w:r w:rsidRPr="00C96521">
        <w:rPr>
          <w:rFonts w:eastAsia="MS Mincho" w:cs="Arial"/>
          <w:szCs w:val="18"/>
          <w:lang w:val="en-GB" w:eastAsia="ja-JP"/>
        </w:rPr>
        <w:t xml:space="preserve"> Post-fledging habitat selection in a rapidly declining farmland bird, the European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Bird Conservation International</w:t>
      </w:r>
      <w:r w:rsidRPr="00C96521">
        <w:rPr>
          <w:rFonts w:eastAsia="MS Mincho" w:cs="Arial"/>
          <w:szCs w:val="18"/>
          <w:lang w:val="en-GB" w:eastAsia="ja-JP"/>
        </w:rPr>
        <w:t>, available on CJO 2016 doi:10.1017/S0959270916000022.</w:t>
      </w:r>
    </w:p>
    <w:p w14:paraId="2C7B4C38" w14:textId="77777777" w:rsidR="00C96521" w:rsidRPr="00C96521" w:rsidRDefault="00C96521" w:rsidP="00C96521">
      <w:pPr>
        <w:widowControl/>
        <w:spacing w:line="276" w:lineRule="auto"/>
        <w:rPr>
          <w:rFonts w:eastAsia="MS Mincho" w:cs="Arial"/>
          <w:szCs w:val="18"/>
          <w:lang w:val="en-GB" w:eastAsia="ja-JP"/>
        </w:rPr>
      </w:pPr>
    </w:p>
    <w:p w14:paraId="1127DAA3"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DUNN JC, STOCKDALE JE, McCUBBIN A, THOMAS RC, GOODMAN SJ, GRICE PV, MORRIS AJ, HAMER KC and SYMONDSON WOC (2016b)</w:t>
      </w:r>
      <w:r w:rsidRPr="00C96521">
        <w:rPr>
          <w:rFonts w:eastAsia="MS Mincho" w:cs="Arial"/>
          <w:szCs w:val="18"/>
          <w:lang w:val="en-GB" w:eastAsia="ja-JP"/>
        </w:rPr>
        <w:t xml:space="preserve"> Non-cultured faecal and gastrointestinal seed samples fail to detect Trichomonad infection in clinically and sub-clinically infected columbid birds. </w:t>
      </w:r>
      <w:r w:rsidRPr="00C96521">
        <w:rPr>
          <w:rFonts w:eastAsia="MS Mincho" w:cs="Arial"/>
          <w:i/>
          <w:szCs w:val="18"/>
          <w:lang w:val="en-GB" w:eastAsia="ja-JP"/>
        </w:rPr>
        <w:t xml:space="preserve">Conservation Genetic Resources </w:t>
      </w:r>
      <w:r w:rsidRPr="00C96521">
        <w:rPr>
          <w:rFonts w:eastAsia="MS Mincho" w:cs="Arial"/>
          <w:szCs w:val="18"/>
          <w:lang w:val="en-GB" w:eastAsia="ja-JP"/>
        </w:rPr>
        <w:t xml:space="preserve">8: 97–99. </w:t>
      </w:r>
    </w:p>
    <w:p w14:paraId="40FB4DF8" w14:textId="77777777" w:rsidR="00C96521" w:rsidRPr="00C96521" w:rsidRDefault="00C96521" w:rsidP="00C96521">
      <w:pPr>
        <w:widowControl/>
        <w:spacing w:line="276" w:lineRule="auto"/>
        <w:rPr>
          <w:rFonts w:eastAsia="MS Mincho" w:cs="Arial"/>
          <w:szCs w:val="18"/>
          <w:lang w:val="en-GB" w:eastAsia="ja-JP"/>
        </w:rPr>
      </w:pPr>
    </w:p>
    <w:p w14:paraId="03EB0A20"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DUNN JC, STOCKDALE JE, MOORHOUSE-GANN RJ, McCUBBIN A, HIPPERSON H, MORRIS AJ, GRICE PV and SYMONDSON WOC (2016c)</w:t>
      </w:r>
      <w:r w:rsidRPr="00C96521">
        <w:rPr>
          <w:rFonts w:eastAsia="MS Mincho" w:cs="Arial"/>
          <w:szCs w:val="18"/>
          <w:lang w:val="en-GB" w:eastAsia="ja-JP"/>
        </w:rPr>
        <w:t xml:space="preserve"> Molecular analysis of dietary overlap between UK columbids and associations between diet and body condition in the rapidly declining European turtle-dove </w:t>
      </w:r>
      <w:r w:rsidRPr="00C96521">
        <w:rPr>
          <w:rFonts w:eastAsia="MS Mincho" w:cs="Arial"/>
          <w:i/>
          <w:szCs w:val="18"/>
          <w:lang w:val="en-GB" w:eastAsia="ja-JP"/>
        </w:rPr>
        <w:t>Streptopelia turtur</w:t>
      </w:r>
      <w:r w:rsidRPr="00C96521">
        <w:rPr>
          <w:rFonts w:eastAsia="MS Mincho" w:cs="Arial"/>
          <w:szCs w:val="18"/>
          <w:lang w:val="en-GB" w:eastAsia="ja-JP"/>
        </w:rPr>
        <w:t>. RSPB, Sandy (under review).</w:t>
      </w:r>
    </w:p>
    <w:p w14:paraId="6AF017BB" w14:textId="77777777" w:rsidR="00C96521" w:rsidRPr="00C96521" w:rsidRDefault="00C96521" w:rsidP="00C96521">
      <w:pPr>
        <w:widowControl/>
        <w:spacing w:line="276" w:lineRule="auto"/>
        <w:rPr>
          <w:rFonts w:eastAsia="MS Mincho" w:cs="Arial"/>
          <w:szCs w:val="18"/>
          <w:lang w:val="en-GB" w:eastAsia="ja-JP"/>
        </w:rPr>
      </w:pPr>
    </w:p>
    <w:p w14:paraId="17CB6449" w14:textId="77777777" w:rsidR="00C96521" w:rsidRPr="008C00B8" w:rsidRDefault="00C96521" w:rsidP="00C96521">
      <w:pPr>
        <w:widowControl/>
        <w:autoSpaceDE/>
        <w:autoSpaceDN/>
        <w:adjustRightInd/>
        <w:spacing w:line="276" w:lineRule="auto"/>
        <w:rPr>
          <w:rFonts w:cs="Arial"/>
          <w:szCs w:val="18"/>
          <w:lang w:val="de-DE" w:eastAsia="ja-JP"/>
        </w:rPr>
      </w:pPr>
      <w:r w:rsidRPr="00C96521">
        <w:rPr>
          <w:rFonts w:cs="Arial"/>
          <w:b/>
          <w:szCs w:val="18"/>
          <w:lang w:val="en-GB" w:eastAsia="ja-JP"/>
        </w:rPr>
        <w:t>DVORAK M (2017)</w:t>
      </w:r>
      <w:r w:rsidRPr="00C96521">
        <w:rPr>
          <w:rFonts w:cs="Arial"/>
          <w:szCs w:val="18"/>
          <w:lang w:val="en-GB" w:eastAsia="ja-JP"/>
        </w:rPr>
        <w:t xml:space="preserve"> Population estimates of Austrian breeding birds. </w:t>
      </w:r>
      <w:r w:rsidRPr="008C00B8">
        <w:rPr>
          <w:rFonts w:cs="Arial"/>
          <w:i/>
          <w:szCs w:val="18"/>
          <w:lang w:val="de-DE" w:eastAsia="ja-JP"/>
        </w:rPr>
        <w:t>Egretta</w:t>
      </w:r>
      <w:r w:rsidRPr="008C00B8">
        <w:rPr>
          <w:rFonts w:cs="Arial"/>
          <w:szCs w:val="18"/>
          <w:lang w:val="de-DE" w:eastAsia="ja-JP"/>
        </w:rPr>
        <w:t xml:space="preserve"> 55, in preparation.</w:t>
      </w:r>
    </w:p>
    <w:p w14:paraId="70D30807" w14:textId="77777777" w:rsidR="00C96521" w:rsidRPr="008C00B8" w:rsidRDefault="00C96521" w:rsidP="00C96521">
      <w:pPr>
        <w:widowControl/>
        <w:autoSpaceDE/>
        <w:autoSpaceDN/>
        <w:adjustRightInd/>
        <w:spacing w:line="276" w:lineRule="auto"/>
        <w:rPr>
          <w:rFonts w:eastAsia="MS Mincho" w:cs="Arial"/>
          <w:b/>
          <w:szCs w:val="18"/>
          <w:lang w:val="de-DE" w:eastAsia="ja-JP"/>
        </w:rPr>
      </w:pPr>
    </w:p>
    <w:p w14:paraId="6AE7E7A1" w14:textId="77777777" w:rsidR="00C96521" w:rsidRPr="008C00B8" w:rsidRDefault="00C96521" w:rsidP="00C96521">
      <w:pPr>
        <w:widowControl/>
        <w:autoSpaceDE/>
        <w:autoSpaceDN/>
        <w:adjustRightInd/>
        <w:spacing w:line="276" w:lineRule="auto"/>
        <w:rPr>
          <w:rFonts w:eastAsia="MS Mincho" w:cs="Arial"/>
          <w:szCs w:val="18"/>
          <w:lang w:val="de-DE" w:eastAsia="ja-JP"/>
        </w:rPr>
      </w:pPr>
      <w:r w:rsidRPr="008C00B8">
        <w:rPr>
          <w:rFonts w:eastAsia="MS Mincho" w:cs="Arial"/>
          <w:b/>
          <w:szCs w:val="18"/>
          <w:lang w:val="de-DE" w:eastAsia="ja-JP"/>
        </w:rPr>
        <w:t>DVORAK M, RANNER A and BERG H-M (1993)</w:t>
      </w:r>
      <w:r w:rsidRPr="008C00B8">
        <w:rPr>
          <w:rFonts w:eastAsia="MS Mincho" w:cs="Arial"/>
          <w:szCs w:val="18"/>
          <w:lang w:val="de-DE" w:eastAsia="ja-JP"/>
        </w:rPr>
        <w:t xml:space="preserve"> </w:t>
      </w:r>
      <w:r w:rsidRPr="008C00B8">
        <w:rPr>
          <w:rFonts w:eastAsia="MS Mincho" w:cs="Arial"/>
          <w:i/>
          <w:szCs w:val="18"/>
          <w:lang w:val="de-DE" w:eastAsia="ja-JP"/>
        </w:rPr>
        <w:t>Atlas der Brutvögel Österreichs</w:t>
      </w:r>
      <w:r w:rsidRPr="008C00B8">
        <w:rPr>
          <w:rFonts w:eastAsia="MS Mincho" w:cs="Arial"/>
          <w:szCs w:val="18"/>
          <w:lang w:val="de-DE" w:eastAsia="ja-JP"/>
        </w:rPr>
        <w:t xml:space="preserve">. Ergebnisse der Brutvogelkartierung 1981-1985 der Österreichischen Gesellschaft für Vogelkunde. Herausgegeben vom Umweltbundesamt; Bundesministerium für Umwelt, Jugend und Familie. 527 S. </w:t>
      </w:r>
    </w:p>
    <w:p w14:paraId="5DAE0BB0" w14:textId="77777777" w:rsidR="00C96521" w:rsidRPr="008C00B8" w:rsidRDefault="00C96521" w:rsidP="00C96521">
      <w:pPr>
        <w:widowControl/>
        <w:autoSpaceDE/>
        <w:autoSpaceDN/>
        <w:adjustRightInd/>
        <w:spacing w:line="276" w:lineRule="auto"/>
        <w:rPr>
          <w:rFonts w:cs="Arial"/>
          <w:b/>
          <w:szCs w:val="18"/>
          <w:lang w:val="de-DE" w:eastAsia="ja-JP"/>
        </w:rPr>
      </w:pPr>
    </w:p>
    <w:p w14:paraId="7903570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cs="Arial"/>
          <w:b/>
          <w:szCs w:val="18"/>
          <w:lang w:val="en-GB" w:eastAsia="ja-JP"/>
        </w:rPr>
        <w:t>EASON P, RABIA B and ATTUM O (2016)</w:t>
      </w:r>
      <w:r w:rsidRPr="00C96521">
        <w:rPr>
          <w:rFonts w:eastAsia="MS Mincho" w:cs="Arial"/>
          <w:szCs w:val="18"/>
          <w:lang w:val="en-GB" w:eastAsia="ja-JP"/>
        </w:rPr>
        <w:t xml:space="preserve"> Hunting of migratory birds in North Sinai, Egypt. </w:t>
      </w:r>
      <w:r w:rsidRPr="00C96521">
        <w:rPr>
          <w:rFonts w:eastAsia="MS Mincho" w:cs="Arial"/>
          <w:i/>
          <w:szCs w:val="18"/>
          <w:lang w:val="en-GB" w:eastAsia="ja-JP"/>
        </w:rPr>
        <w:t>Bird Conservation International</w:t>
      </w:r>
      <w:r w:rsidRPr="00C96521">
        <w:rPr>
          <w:rFonts w:eastAsia="MS Mincho" w:cs="Arial"/>
          <w:szCs w:val="18"/>
          <w:lang w:val="en-GB" w:eastAsia="ja-JP"/>
        </w:rPr>
        <w:t xml:space="preserve"> 26: 39-51.</w:t>
      </w:r>
    </w:p>
    <w:p w14:paraId="102F47B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0DF281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cs="Arial"/>
          <w:b/>
          <w:szCs w:val="18"/>
          <w:lang w:val="en-GB" w:eastAsia="ja-JP"/>
        </w:rPr>
        <w:t>EATON M, AEBISCHER N, BROWN A, HEARN R, LOCK L, MUSGROVE A, NOBLE D, STROUD D and GREGORY R (2015)</w:t>
      </w:r>
      <w:r w:rsidRPr="00C96521">
        <w:rPr>
          <w:rFonts w:eastAsia="MS Mincho" w:cs="Arial"/>
          <w:szCs w:val="18"/>
          <w:lang w:val="en-GB" w:eastAsia="ja-JP"/>
        </w:rPr>
        <w:t xml:space="preserve"> Birds of Conservation Concern 4: the population status of birds in the UK, Channel Islands and Isle of Man. </w:t>
      </w:r>
      <w:r w:rsidRPr="00C96521">
        <w:rPr>
          <w:rFonts w:eastAsia="MS Mincho" w:cs="Arial"/>
          <w:i/>
          <w:szCs w:val="18"/>
          <w:lang w:val="en-GB" w:eastAsia="ja-JP"/>
        </w:rPr>
        <w:t>British Birds</w:t>
      </w:r>
      <w:r w:rsidRPr="00C96521">
        <w:rPr>
          <w:rFonts w:eastAsia="MS Mincho" w:cs="Arial"/>
          <w:szCs w:val="18"/>
          <w:lang w:val="en-GB" w:eastAsia="ja-JP"/>
        </w:rPr>
        <w:t xml:space="preserve"> 108: 708-746.</w:t>
      </w:r>
    </w:p>
    <w:p w14:paraId="0C122126" w14:textId="77777777" w:rsidR="00C96521" w:rsidRPr="00C96521" w:rsidRDefault="00C96521" w:rsidP="00C96521">
      <w:pPr>
        <w:widowControl/>
        <w:autoSpaceDE/>
        <w:autoSpaceDN/>
        <w:adjustRightInd/>
        <w:spacing w:line="276" w:lineRule="auto"/>
        <w:rPr>
          <w:rFonts w:cs="Arial"/>
          <w:b/>
          <w:szCs w:val="18"/>
          <w:lang w:val="en-GB" w:eastAsia="ja-JP"/>
        </w:rPr>
      </w:pPr>
    </w:p>
    <w:p w14:paraId="2E8E6F0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cs="Arial"/>
          <w:b/>
          <w:szCs w:val="18"/>
          <w:lang w:val="en-GB" w:eastAsia="ja-JP"/>
        </w:rPr>
        <w:t>EBCC/RSPB/BIRDLIFE/STATISTICS NETHERLANDS (2016)</w:t>
      </w:r>
      <w:r w:rsidRPr="00C96521">
        <w:rPr>
          <w:rFonts w:eastAsia="MS Mincho" w:cs="Arial"/>
          <w:szCs w:val="18"/>
          <w:lang w:val="en-GB" w:eastAsia="ja-JP"/>
        </w:rPr>
        <w:t xml:space="preserve"> </w:t>
      </w:r>
      <w:r w:rsidRPr="00C96521">
        <w:rPr>
          <w:rFonts w:eastAsia="MS Mincho" w:cs="Arial"/>
          <w:i/>
          <w:szCs w:val="18"/>
          <w:lang w:val="en-GB" w:eastAsia="ja-JP"/>
        </w:rPr>
        <w:t>Pan-European Common Bird Monitoring Scheme - Trends of common birds in Europe, 2016 update</w:t>
      </w:r>
      <w:r w:rsidRPr="00C96521">
        <w:rPr>
          <w:rFonts w:eastAsia="MS Mincho" w:cs="Arial"/>
          <w:szCs w:val="18"/>
          <w:lang w:val="en-GB" w:eastAsia="ja-JP"/>
        </w:rPr>
        <w:t>. European Bird Census Council, Czech Republic.</w:t>
      </w:r>
    </w:p>
    <w:p w14:paraId="2945EB59"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A626CF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ESCANDELL R (2011)</w:t>
      </w:r>
      <w:r w:rsidRPr="00C96521">
        <w:rPr>
          <w:rFonts w:eastAsia="MS Mincho" w:cs="Arial"/>
          <w:szCs w:val="18"/>
          <w:lang w:val="en-GB" w:eastAsia="ja-JP"/>
        </w:rPr>
        <w:t xml:space="preserve"> The turtle dove. In: </w:t>
      </w:r>
      <w:r w:rsidRPr="00C96521">
        <w:rPr>
          <w:rFonts w:eastAsia="MS Mincho" w:cs="Arial"/>
          <w:i/>
          <w:szCs w:val="18"/>
          <w:lang w:val="en-GB" w:eastAsia="ja-JP"/>
        </w:rPr>
        <w:t>Spring migration in the western Mediterranean and NW Africa: the results of 16 years of the Piccole Isoleproject</w:t>
      </w:r>
      <w:r w:rsidRPr="00C96521">
        <w:rPr>
          <w:rFonts w:eastAsia="MS Mincho" w:cs="Arial"/>
          <w:szCs w:val="18"/>
          <w:lang w:val="en-GB" w:eastAsia="ja-JP"/>
        </w:rPr>
        <w:t xml:space="preserve">. </w:t>
      </w:r>
      <w:r w:rsidRPr="00C96521">
        <w:rPr>
          <w:rFonts w:eastAsia="MS Mincho" w:cs="Arial"/>
          <w:i/>
          <w:szCs w:val="18"/>
          <w:lang w:val="en-GB" w:eastAsia="ja-JP"/>
        </w:rPr>
        <w:t>Monografias del museu de ciencias naturals 6</w:t>
      </w:r>
      <w:r w:rsidRPr="00C96521">
        <w:rPr>
          <w:rFonts w:eastAsia="MS Mincho" w:cs="Arial"/>
          <w:szCs w:val="18"/>
          <w:lang w:val="en-GB" w:eastAsia="ja-JP"/>
        </w:rPr>
        <w:t>. pp 31-37.</w:t>
      </w:r>
    </w:p>
    <w:p w14:paraId="2CFB27B2"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A2E9F5F" w14:textId="52D2682E"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EIONET (2017)</w:t>
      </w:r>
      <w:r w:rsidRPr="00C96521">
        <w:rPr>
          <w:rFonts w:eastAsia="MS Mincho" w:cs="Arial"/>
          <w:szCs w:val="18"/>
          <w:lang w:val="en-GB" w:eastAsia="ja-JP"/>
        </w:rPr>
        <w:t xml:space="preserve"> </w:t>
      </w:r>
      <w:r w:rsidRPr="00C96521">
        <w:rPr>
          <w:rFonts w:eastAsia="MS Mincho" w:cs="Arial"/>
          <w:i/>
          <w:szCs w:val="18"/>
          <w:lang w:val="en-GB" w:eastAsia="ja-JP"/>
        </w:rPr>
        <w:t>Population status and trends at the EU and Member State levels</w:t>
      </w:r>
      <w:r w:rsidRPr="00C96521">
        <w:rPr>
          <w:rFonts w:eastAsia="MS Mincho" w:cs="Arial"/>
          <w:szCs w:val="18"/>
          <w:lang w:val="en-GB" w:eastAsia="ja-JP"/>
        </w:rPr>
        <w:t xml:space="preserve"> – Streptopelia turtur. European Topic Centre on Biological Diversity. http://bd.eionet.europa.eu/article12/summary?period=1&amp;subject=A210 (last accessed 3</w:t>
      </w:r>
      <w:r w:rsidR="007910C0">
        <w:rPr>
          <w:rFonts w:eastAsia="MS Mincho" w:cs="Arial"/>
          <w:szCs w:val="18"/>
          <w:lang w:val="en-GB" w:eastAsia="ja-JP"/>
        </w:rPr>
        <w:t xml:space="preserve"> </w:t>
      </w:r>
      <w:r w:rsidRPr="00C96521">
        <w:rPr>
          <w:rFonts w:eastAsia="MS Mincho" w:cs="Arial"/>
          <w:szCs w:val="18"/>
          <w:lang w:val="en-GB" w:eastAsia="ja-JP"/>
        </w:rPr>
        <w:t>February 2017)</w:t>
      </w:r>
    </w:p>
    <w:p w14:paraId="29A4D2D5"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3390E9F"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C96521">
        <w:rPr>
          <w:rFonts w:eastAsia="MS Mincho" w:cs="Arial"/>
          <w:b/>
          <w:szCs w:val="18"/>
          <w:lang w:val="en-GB" w:eastAsia="ja-JP"/>
        </w:rPr>
        <w:t>ELTS J, LEITO A, LEIVITS A, LUIGUJÕE L, MÄGI E, NELLIS R, NELLIS R, OTS M and PEHLAK H (2013)</w:t>
      </w:r>
      <w:r w:rsidRPr="00C96521">
        <w:rPr>
          <w:rFonts w:eastAsia="MS Mincho" w:cs="Arial"/>
          <w:szCs w:val="18"/>
          <w:lang w:val="en-GB" w:eastAsia="ja-JP"/>
        </w:rPr>
        <w:t xml:space="preserve"> Status and numbers of Estonian birds, 2008–2012. </w:t>
      </w:r>
      <w:r w:rsidRPr="00890F11">
        <w:rPr>
          <w:rFonts w:eastAsia="MS Mincho" w:cs="Arial"/>
          <w:i/>
          <w:szCs w:val="18"/>
          <w:lang w:val="es-ES" w:eastAsia="ja-JP"/>
        </w:rPr>
        <w:t>Hirundo</w:t>
      </w:r>
      <w:r w:rsidRPr="00890F11">
        <w:rPr>
          <w:rFonts w:eastAsia="MS Mincho" w:cs="Arial"/>
          <w:szCs w:val="18"/>
          <w:lang w:val="es-ES" w:eastAsia="ja-JP"/>
        </w:rPr>
        <w:t xml:space="preserve"> 26(2): 80−112.</w:t>
      </w:r>
    </w:p>
    <w:p w14:paraId="2EF2AA0D" w14:textId="77777777" w:rsidR="00C96521" w:rsidRPr="00890F11" w:rsidRDefault="00C96521" w:rsidP="00C96521">
      <w:pPr>
        <w:widowControl/>
        <w:spacing w:line="276" w:lineRule="auto"/>
        <w:rPr>
          <w:rFonts w:eastAsia="MS Mincho" w:cs="Arial"/>
          <w:b/>
          <w:szCs w:val="18"/>
          <w:lang w:val="es-ES" w:eastAsia="ja-JP"/>
        </w:rPr>
      </w:pPr>
    </w:p>
    <w:p w14:paraId="2E7288B8"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EQUIPA ATLAS (2008)</w:t>
      </w:r>
      <w:r w:rsidRPr="00890F11">
        <w:rPr>
          <w:rFonts w:eastAsia="MS Mincho" w:cs="Arial"/>
          <w:szCs w:val="18"/>
          <w:lang w:val="es-ES" w:eastAsia="ja-JP"/>
        </w:rPr>
        <w:t xml:space="preserve"> </w:t>
      </w:r>
      <w:r w:rsidRPr="00890F11">
        <w:rPr>
          <w:rFonts w:eastAsia="MS Mincho" w:cs="Arial"/>
          <w:i/>
          <w:szCs w:val="18"/>
          <w:lang w:val="es-ES" w:eastAsia="ja-JP"/>
        </w:rPr>
        <w:t>Atlas das Aves Nidificantes em Portugal (1999-2005)</w:t>
      </w:r>
      <w:r w:rsidRPr="00890F11">
        <w:rPr>
          <w:rFonts w:eastAsia="MS Mincho" w:cs="Arial"/>
          <w:szCs w:val="18"/>
          <w:lang w:val="es-ES" w:eastAsia="ja-JP"/>
        </w:rPr>
        <w:t>. Instituto da Conservação da Natureza e da Biodiversividade, Sociedade Portuguesa para o Estudo das Aves, Lisboa.</w:t>
      </w:r>
    </w:p>
    <w:p w14:paraId="7AF3C612" w14:textId="77777777" w:rsidR="00C96521" w:rsidRPr="00890F11" w:rsidRDefault="00C96521" w:rsidP="00C96521">
      <w:pPr>
        <w:widowControl/>
        <w:spacing w:line="276" w:lineRule="auto"/>
        <w:rPr>
          <w:rFonts w:eastAsia="MS Mincho" w:cs="Arial"/>
          <w:b/>
          <w:szCs w:val="18"/>
          <w:lang w:val="es-ES" w:eastAsia="ja-JP"/>
        </w:rPr>
      </w:pPr>
    </w:p>
    <w:p w14:paraId="75028876"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ERAUD C, BOUTIN J-M, RIVIÈRE M, BRUN J, BARBRAUD C and LORMÉE H (2009)</w:t>
      </w:r>
      <w:r w:rsidRPr="00C96521">
        <w:rPr>
          <w:rFonts w:eastAsia="MS Mincho" w:cs="Arial"/>
          <w:szCs w:val="18"/>
          <w:lang w:val="en-GB" w:eastAsia="ja-JP"/>
        </w:rPr>
        <w:t xml:space="preserve"> Survival of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in relation to western Africa environmental conditions. </w:t>
      </w:r>
      <w:r w:rsidRPr="00C96521">
        <w:rPr>
          <w:rFonts w:eastAsia="MS Mincho" w:cs="Arial"/>
          <w:i/>
          <w:szCs w:val="18"/>
          <w:lang w:val="en-GB" w:eastAsia="ja-JP"/>
        </w:rPr>
        <w:t>Ibis</w:t>
      </w:r>
      <w:r w:rsidRPr="00C96521">
        <w:rPr>
          <w:rFonts w:eastAsia="MS Mincho" w:cs="Arial"/>
          <w:szCs w:val="18"/>
          <w:lang w:val="en-GB" w:eastAsia="ja-JP"/>
        </w:rPr>
        <w:t xml:space="preserve"> 151: 186–190.</w:t>
      </w:r>
    </w:p>
    <w:p w14:paraId="7D3A14AB" w14:textId="77777777" w:rsidR="00C96521" w:rsidRPr="00C96521" w:rsidRDefault="00C96521" w:rsidP="00C96521">
      <w:pPr>
        <w:widowControl/>
        <w:spacing w:line="276" w:lineRule="auto"/>
        <w:rPr>
          <w:rFonts w:eastAsia="MS Mincho" w:cs="Arial"/>
          <w:b/>
          <w:szCs w:val="18"/>
          <w:lang w:val="en-GB" w:eastAsia="ja-JP"/>
        </w:rPr>
      </w:pPr>
    </w:p>
    <w:p w14:paraId="3837E36D"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ERAUD C, RIVIÈRE M, LORMÉE H, FOX JW, DUCAMP J-J and BOUTIN J-M (2013)</w:t>
      </w:r>
      <w:r w:rsidRPr="00C96521">
        <w:rPr>
          <w:rFonts w:eastAsia="MS Mincho" w:cs="Arial"/>
          <w:szCs w:val="18"/>
          <w:lang w:val="en-GB" w:eastAsia="ja-JP"/>
        </w:rPr>
        <w:t xml:space="preserve"> Migration routes and staging areas of trans-Saharan turtle-doves appraised from light-level geolocators. </w:t>
      </w:r>
      <w:r w:rsidRPr="00C96521">
        <w:rPr>
          <w:rFonts w:eastAsia="MS Mincho" w:cs="Arial"/>
          <w:i/>
          <w:szCs w:val="18"/>
          <w:lang w:val="en-GB" w:eastAsia="ja-JP"/>
        </w:rPr>
        <w:t>PLoS ONE</w:t>
      </w:r>
      <w:r w:rsidRPr="00C96521">
        <w:rPr>
          <w:rFonts w:eastAsia="MS Mincho" w:cs="Arial"/>
          <w:szCs w:val="18"/>
          <w:lang w:val="en-GB" w:eastAsia="ja-JP"/>
        </w:rPr>
        <w:t xml:space="preserve"> 8(3): e59396. doi:10.1371/journal.pone.0059396.</w:t>
      </w:r>
    </w:p>
    <w:p w14:paraId="531C9773"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AEB023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EUROPEAN UNION (2008)</w:t>
      </w:r>
      <w:r w:rsidRPr="00C96521">
        <w:rPr>
          <w:rFonts w:eastAsia="MS Mincho" w:cs="Arial"/>
          <w:szCs w:val="18"/>
          <w:lang w:val="en-GB" w:eastAsia="ja-JP"/>
        </w:rPr>
        <w:t xml:space="preserve"> </w:t>
      </w:r>
      <w:r w:rsidRPr="00C96521">
        <w:rPr>
          <w:rFonts w:eastAsia="MS Mincho" w:cs="Arial"/>
          <w:i/>
          <w:szCs w:val="18"/>
          <w:lang w:val="en-GB" w:eastAsia="ja-JP"/>
        </w:rPr>
        <w:t>Period of reproduction and prenuptial migration of Annex II bird species in the EU</w:t>
      </w:r>
      <w:r w:rsidRPr="00C96521">
        <w:rPr>
          <w:rFonts w:eastAsia="MS Mincho" w:cs="Arial"/>
          <w:szCs w:val="18"/>
          <w:lang w:val="en-GB" w:eastAsia="ja-JP"/>
        </w:rPr>
        <w:t>. http://ec.europa.eu/environment/nature/conservation/wildbirds/hunting/docs/reprod_68-73_en.pdf (last accessed 5th September 2016).</w:t>
      </w:r>
    </w:p>
    <w:p w14:paraId="74C130AD"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275533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EUROPEAN UNION (2013)</w:t>
      </w:r>
      <w:r w:rsidRPr="00C96521">
        <w:rPr>
          <w:rFonts w:eastAsia="MS Mincho" w:cs="Arial"/>
          <w:szCs w:val="18"/>
          <w:lang w:val="en-GB" w:eastAsia="ja-JP"/>
        </w:rPr>
        <w:t xml:space="preserve"> </w:t>
      </w:r>
      <w:r w:rsidRPr="00C96521">
        <w:rPr>
          <w:rFonts w:eastAsia="MS Mincho" w:cs="Arial"/>
          <w:i/>
          <w:szCs w:val="18"/>
          <w:lang w:val="en-GB" w:eastAsia="ja-JP"/>
        </w:rPr>
        <w:t xml:space="preserve">National reporting under Article 12 of the Birds Directive. </w:t>
      </w:r>
      <w:r w:rsidRPr="00C96521">
        <w:rPr>
          <w:rFonts w:eastAsia="MS Mincho" w:cs="Arial"/>
          <w:szCs w:val="18"/>
          <w:lang w:val="en-GB" w:eastAsia="ja-JP"/>
        </w:rPr>
        <w:t>http://bd.eionet.europa.eu/article12/</w:t>
      </w:r>
      <w:r w:rsidRPr="00C96521" w:rsidDel="005813AC">
        <w:rPr>
          <w:rFonts w:eastAsia="MS Mincho" w:cs="Arial"/>
          <w:szCs w:val="18"/>
          <w:lang w:val="en-GB" w:eastAsia="ja-JP"/>
        </w:rPr>
        <w:t xml:space="preserve"> </w:t>
      </w:r>
      <w:r w:rsidRPr="00C96521">
        <w:rPr>
          <w:rFonts w:eastAsia="MS Mincho" w:cs="Arial"/>
          <w:szCs w:val="18"/>
          <w:lang w:val="en-GB" w:eastAsia="ja-JP"/>
        </w:rPr>
        <w:t>(last accessed 5th September 2016).</w:t>
      </w:r>
    </w:p>
    <w:p w14:paraId="5A06FE56"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958056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FAVIA (2016)</w:t>
      </w:r>
      <w:r w:rsidRPr="00C96521">
        <w:rPr>
          <w:rFonts w:eastAsia="MS Mincho" w:cs="Arial"/>
          <w:szCs w:val="18"/>
          <w:lang w:val="en-GB" w:eastAsia="ja-JP"/>
        </w:rPr>
        <w:t xml:space="preserve"> </w:t>
      </w:r>
      <w:r w:rsidRPr="00C96521">
        <w:rPr>
          <w:rFonts w:eastAsia="MS Mincho" w:cs="Arial"/>
          <w:i/>
          <w:szCs w:val="18"/>
          <w:lang w:val="en-GB" w:eastAsia="ja-JP"/>
        </w:rPr>
        <w:t>Small game - turtle-dove hunting</w:t>
      </w:r>
      <w:r w:rsidRPr="00C96521">
        <w:rPr>
          <w:rFonts w:eastAsia="MS Mincho" w:cs="Arial"/>
          <w:szCs w:val="18"/>
          <w:lang w:val="en-GB" w:eastAsia="ja-JP"/>
        </w:rPr>
        <w:t>. http://www.faviaviaggi.com/offers/small-game/animal/turtle-doves-15/?view=1#prettyPhoto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December 2016).</w:t>
      </w:r>
    </w:p>
    <w:p w14:paraId="20D42A4B" w14:textId="77777777" w:rsidR="00C96521" w:rsidRPr="00C96521" w:rsidRDefault="00C96521" w:rsidP="00C96521">
      <w:pPr>
        <w:widowControl/>
        <w:spacing w:line="276" w:lineRule="auto"/>
        <w:rPr>
          <w:rFonts w:eastAsia="MS Mincho" w:cs="Arial"/>
          <w:b/>
          <w:szCs w:val="18"/>
          <w:lang w:val="en-GB" w:eastAsia="ja-JP"/>
        </w:rPr>
      </w:pPr>
    </w:p>
    <w:p w14:paraId="06674BFA"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FEITH H (2011)</w:t>
      </w:r>
      <w:r w:rsidRPr="00890F11">
        <w:rPr>
          <w:rFonts w:eastAsia="MS Mincho" w:cs="Arial"/>
          <w:szCs w:val="18"/>
          <w:lang w:val="es-ES" w:eastAsia="ja-JP"/>
        </w:rPr>
        <w:t xml:space="preserve"> </w:t>
      </w:r>
      <w:r w:rsidRPr="00890F11">
        <w:rPr>
          <w:rFonts w:eastAsia="MS Mincho" w:cs="Arial"/>
          <w:i/>
          <w:szCs w:val="18"/>
          <w:lang w:val="es-ES" w:eastAsia="ja-JP"/>
        </w:rPr>
        <w:t>Projecto Chegadas - relatório 2011</w:t>
      </w:r>
      <w:r w:rsidRPr="00890F11">
        <w:rPr>
          <w:rFonts w:eastAsia="MS Mincho" w:cs="Arial"/>
          <w:szCs w:val="18"/>
          <w:lang w:val="es-ES" w:eastAsia="ja-JP"/>
        </w:rPr>
        <w:t>. Sociedade Portuguesa para o Estudo das Aves. Lisboa.</w:t>
      </w:r>
    </w:p>
    <w:p w14:paraId="43DA694C"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2D065A48" w14:textId="77777777" w:rsidR="00C96521" w:rsidRPr="008C00B8"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FEITH H (2013)</w:t>
      </w:r>
      <w:r w:rsidRPr="00890F11">
        <w:rPr>
          <w:rFonts w:eastAsia="MS Mincho" w:cs="Arial"/>
          <w:szCs w:val="18"/>
          <w:lang w:val="es-ES" w:eastAsia="ja-JP"/>
        </w:rPr>
        <w:t xml:space="preserve"> </w:t>
      </w:r>
      <w:r w:rsidRPr="00890F11">
        <w:rPr>
          <w:rFonts w:eastAsia="MS Mincho" w:cs="Arial"/>
          <w:i/>
          <w:szCs w:val="18"/>
          <w:lang w:val="es-ES" w:eastAsia="ja-JP"/>
        </w:rPr>
        <w:t>Projeto Chegadas - Relatório 2012</w:t>
      </w:r>
      <w:r w:rsidRPr="00890F11">
        <w:rPr>
          <w:rFonts w:eastAsia="MS Mincho" w:cs="Arial"/>
          <w:szCs w:val="18"/>
          <w:lang w:val="es-ES" w:eastAsia="ja-JP"/>
        </w:rPr>
        <w:t xml:space="preserve">. Sociedade Portuguesa para o Estudo das Aves. </w:t>
      </w:r>
      <w:r w:rsidRPr="008C00B8">
        <w:rPr>
          <w:rFonts w:eastAsia="MS Mincho" w:cs="Arial"/>
          <w:szCs w:val="18"/>
          <w:lang w:val="es-ES" w:eastAsia="ja-JP"/>
        </w:rPr>
        <w:t>Lisboa.</w:t>
      </w:r>
    </w:p>
    <w:p w14:paraId="67C2558B" w14:textId="77777777" w:rsidR="00C96521" w:rsidRPr="008C00B8" w:rsidRDefault="00C96521" w:rsidP="00C96521">
      <w:pPr>
        <w:widowControl/>
        <w:spacing w:line="276" w:lineRule="auto"/>
        <w:rPr>
          <w:rFonts w:eastAsia="MS Mincho" w:cs="Arial"/>
          <w:b/>
          <w:szCs w:val="18"/>
          <w:lang w:val="es-ES" w:eastAsia="ja-JP"/>
        </w:rPr>
      </w:pPr>
    </w:p>
    <w:p w14:paraId="2558AA16" w14:textId="77777777" w:rsidR="00C96521" w:rsidRPr="00C96521" w:rsidRDefault="00C96521" w:rsidP="00C96521">
      <w:pPr>
        <w:widowControl/>
        <w:spacing w:line="276" w:lineRule="auto"/>
        <w:rPr>
          <w:rFonts w:eastAsia="MS Mincho" w:cs="Arial"/>
          <w:szCs w:val="18"/>
          <w:lang w:val="en-GB" w:eastAsia="ja-JP"/>
        </w:rPr>
      </w:pPr>
      <w:r w:rsidRPr="008C00B8">
        <w:rPr>
          <w:rFonts w:eastAsia="MS Mincho" w:cs="Arial"/>
          <w:b/>
          <w:szCs w:val="18"/>
          <w:lang w:val="es-ES" w:eastAsia="ja-JP"/>
        </w:rPr>
        <w:t>FENGER M, NYEGAARD T and JØRGENSEN MF (2016)</w:t>
      </w:r>
      <w:r w:rsidRPr="008C00B8">
        <w:rPr>
          <w:rFonts w:eastAsia="MS Mincho" w:cs="Arial"/>
          <w:szCs w:val="18"/>
          <w:lang w:val="es-ES" w:eastAsia="ja-JP"/>
        </w:rPr>
        <w:t xml:space="preserve"> </w:t>
      </w:r>
      <w:r w:rsidRPr="008C00B8">
        <w:rPr>
          <w:rFonts w:eastAsia="MS Mincho" w:cs="Arial"/>
          <w:i/>
          <w:szCs w:val="18"/>
          <w:lang w:val="es-ES" w:eastAsia="ja-JP"/>
        </w:rPr>
        <w:t>Overvågning af de almindelige fuglearter i Danmark 1975-2015</w:t>
      </w:r>
      <w:r w:rsidRPr="008C00B8">
        <w:rPr>
          <w:rFonts w:eastAsia="MS Mincho" w:cs="Arial"/>
          <w:szCs w:val="18"/>
          <w:lang w:val="es-ES" w:eastAsia="ja-JP"/>
        </w:rPr>
        <w:t xml:space="preserve">. Årsrapport for Punkttællingsprogrammet. </w:t>
      </w:r>
      <w:r w:rsidRPr="00C96521">
        <w:rPr>
          <w:rFonts w:eastAsia="MS Mincho" w:cs="Arial"/>
          <w:szCs w:val="18"/>
          <w:lang w:val="en-GB" w:eastAsia="ja-JP"/>
        </w:rPr>
        <w:t>Dansk Ornitologisk Forening.</w:t>
      </w:r>
    </w:p>
    <w:p w14:paraId="5581D9BE" w14:textId="77777777" w:rsidR="00C96521" w:rsidRPr="00C96521" w:rsidRDefault="00C96521" w:rsidP="00C96521">
      <w:pPr>
        <w:widowControl/>
        <w:spacing w:line="276" w:lineRule="auto"/>
        <w:rPr>
          <w:rFonts w:eastAsia="MS Mincho" w:cs="Arial"/>
          <w:szCs w:val="18"/>
          <w:lang w:val="en-GB" w:eastAsia="ja-JP"/>
        </w:rPr>
      </w:pPr>
    </w:p>
    <w:p w14:paraId="718B405C"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FISHER IJ, PAIN DJ and THOMAS VG (2006)</w:t>
      </w:r>
      <w:r w:rsidRPr="00C96521">
        <w:rPr>
          <w:rFonts w:eastAsia="MS Mincho" w:cs="Arial"/>
          <w:szCs w:val="18"/>
          <w:lang w:val="en-GB" w:eastAsia="ja-JP"/>
        </w:rPr>
        <w:t xml:space="preserve"> A review of lead poisoning from ammunition sources in terrestrial birds. </w:t>
      </w:r>
      <w:r w:rsidRPr="00C96521">
        <w:rPr>
          <w:rFonts w:eastAsia="MS Mincho" w:cs="Arial"/>
          <w:i/>
          <w:szCs w:val="18"/>
          <w:lang w:val="en-GB" w:eastAsia="ja-JP"/>
        </w:rPr>
        <w:t>Biological Conservation</w:t>
      </w:r>
      <w:r w:rsidRPr="00C96521">
        <w:rPr>
          <w:rFonts w:eastAsia="MS Mincho" w:cs="Arial"/>
          <w:szCs w:val="18"/>
          <w:lang w:val="en-GB" w:eastAsia="ja-JP"/>
        </w:rPr>
        <w:t xml:space="preserve"> 131: 421-432. </w:t>
      </w:r>
    </w:p>
    <w:p w14:paraId="063110AC" w14:textId="77777777" w:rsidR="00C96521" w:rsidRPr="00C96521" w:rsidRDefault="00C96521" w:rsidP="00C96521">
      <w:pPr>
        <w:widowControl/>
        <w:spacing w:line="276" w:lineRule="auto"/>
        <w:rPr>
          <w:rFonts w:eastAsia="MS Mincho" w:cs="Arial"/>
          <w:szCs w:val="18"/>
          <w:lang w:val="en-GB" w:eastAsia="ja-JP"/>
        </w:rPr>
      </w:pPr>
    </w:p>
    <w:p w14:paraId="235944B8"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FISHER IJ, ASHPOLE JE, PROUD T and MARSH M (compilers) (2016a)</w:t>
      </w:r>
      <w:r w:rsidRPr="00C96521">
        <w:rPr>
          <w:rFonts w:eastAsia="MS Mincho" w:cs="Arial"/>
          <w:szCs w:val="18"/>
          <w:lang w:val="en-GB" w:eastAsia="ja-JP"/>
        </w:rPr>
        <w:t xml:space="preserve"> </w:t>
      </w:r>
      <w:r w:rsidRPr="00C96521">
        <w:rPr>
          <w:rFonts w:eastAsia="MS Mincho" w:cs="Arial"/>
          <w:i/>
          <w:szCs w:val="18"/>
          <w:lang w:val="en-GB" w:eastAsia="ja-JP"/>
        </w:rPr>
        <w:t xml:space="preserve">Status Report for the European Turtle-dove </w:t>
      </w:r>
      <w:r w:rsidRPr="00C96521">
        <w:rPr>
          <w:rFonts w:eastAsia="MS Mincho" w:cs="Arial"/>
          <w:szCs w:val="18"/>
          <w:lang w:val="en-GB" w:eastAsia="ja-JP"/>
        </w:rPr>
        <w:t xml:space="preserve">(Streptopelia turtur). Report of Actions A6, 8, 9 and 10 under the framework of Project LIFE EuroSAP (LIFE14 PRE UK 002). RSPB, Sandy (unpublished report). </w:t>
      </w:r>
    </w:p>
    <w:p w14:paraId="32ADFD18" w14:textId="77777777" w:rsidR="00C96521" w:rsidRPr="00C96521" w:rsidRDefault="00C96521" w:rsidP="00C96521">
      <w:pPr>
        <w:widowControl/>
        <w:spacing w:line="276" w:lineRule="auto"/>
        <w:rPr>
          <w:rFonts w:eastAsia="MS Mincho" w:cs="Arial"/>
          <w:szCs w:val="18"/>
          <w:lang w:val="en-GB" w:eastAsia="ja-JP"/>
        </w:rPr>
      </w:pPr>
    </w:p>
    <w:p w14:paraId="57D348AD"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FISHER IJ, PROUD T and ASHPOLE JE (compilers) (2016b)</w:t>
      </w:r>
      <w:r w:rsidRPr="00C96521">
        <w:rPr>
          <w:rFonts w:eastAsia="MS Mincho" w:cs="Arial"/>
          <w:szCs w:val="18"/>
          <w:lang w:val="en-GB" w:eastAsia="ja-JP"/>
        </w:rPr>
        <w:t xml:space="preserve"> </w:t>
      </w:r>
      <w:r w:rsidRPr="00C96521">
        <w:rPr>
          <w:rFonts w:eastAsia="MS Mincho" w:cs="Arial"/>
          <w:i/>
          <w:szCs w:val="18"/>
          <w:lang w:val="en-GB" w:eastAsia="ja-JP"/>
        </w:rPr>
        <w:t>Review of the EU European Turtle-dove (</w:t>
      </w:r>
      <w:r w:rsidRPr="00C96521">
        <w:rPr>
          <w:rFonts w:eastAsia="MS Mincho" w:cs="Arial"/>
          <w:szCs w:val="18"/>
          <w:lang w:val="en-GB" w:eastAsia="ja-JP"/>
        </w:rPr>
        <w:t>Streptopelia turtur</w:t>
      </w:r>
      <w:r w:rsidRPr="00C96521">
        <w:rPr>
          <w:rFonts w:eastAsia="MS Mincho" w:cs="Arial"/>
          <w:i/>
          <w:szCs w:val="18"/>
          <w:lang w:val="en-GB" w:eastAsia="ja-JP"/>
        </w:rPr>
        <w:t xml:space="preserve">, subspecies </w:t>
      </w:r>
      <w:r w:rsidRPr="00C96521">
        <w:rPr>
          <w:rFonts w:eastAsia="MS Mincho" w:cs="Arial"/>
          <w:szCs w:val="18"/>
          <w:lang w:val="en-GB" w:eastAsia="ja-JP"/>
        </w:rPr>
        <w:t>turtur</w:t>
      </w:r>
      <w:r w:rsidRPr="00C96521">
        <w:rPr>
          <w:rFonts w:eastAsia="MS Mincho" w:cs="Arial"/>
          <w:i/>
          <w:szCs w:val="18"/>
          <w:lang w:val="en-GB" w:eastAsia="ja-JP"/>
        </w:rPr>
        <w:t>) Management Plan</w:t>
      </w:r>
      <w:r w:rsidRPr="00C96521">
        <w:rPr>
          <w:rFonts w:eastAsia="MS Mincho" w:cs="Arial"/>
          <w:szCs w:val="18"/>
          <w:lang w:val="en-GB" w:eastAsia="ja-JP"/>
        </w:rPr>
        <w:t>. Report of Action A3 under the framework of the Project LIFE EuroSAP (LIFE14 PRE UK 002). RSPB, Sandy (unpublished report).</w:t>
      </w:r>
    </w:p>
    <w:p w14:paraId="5F97EF36" w14:textId="77777777" w:rsidR="00C96521" w:rsidRPr="00C96521" w:rsidRDefault="00C96521" w:rsidP="00C96521">
      <w:pPr>
        <w:widowControl/>
        <w:spacing w:line="276" w:lineRule="auto"/>
        <w:rPr>
          <w:rFonts w:eastAsia="MS Mincho"/>
          <w:sz w:val="20"/>
          <w:szCs w:val="20"/>
          <w:lang w:val="en-GB" w:eastAsia="ja-JP"/>
        </w:rPr>
      </w:pPr>
    </w:p>
    <w:p w14:paraId="62C0C6B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FLETCHER MR (1979)</w:t>
      </w:r>
      <w:r w:rsidRPr="00C96521">
        <w:rPr>
          <w:rFonts w:eastAsia="MS Mincho" w:cs="Arial"/>
          <w:bCs/>
          <w:szCs w:val="18"/>
          <w:lang w:val="en-GB" w:eastAsia="ja-JP"/>
        </w:rPr>
        <w:t xml:space="preserve"> </w:t>
      </w:r>
      <w:r w:rsidRPr="00C96521">
        <w:rPr>
          <w:rFonts w:eastAsia="MS Mincho" w:cs="Arial"/>
          <w:szCs w:val="18"/>
          <w:lang w:val="en-GB" w:eastAsia="ja-JP"/>
        </w:rPr>
        <w:t xml:space="preserve">Aggression by Collared Doves </w:t>
      </w:r>
      <w:r w:rsidRPr="00C96521">
        <w:rPr>
          <w:rFonts w:eastAsia="MS Mincho" w:cs="Arial"/>
          <w:i/>
          <w:szCs w:val="18"/>
          <w:lang w:val="en-GB" w:eastAsia="ja-JP"/>
        </w:rPr>
        <w:t>Streptopelia decaocto</w:t>
      </w:r>
      <w:r w:rsidRPr="00C96521">
        <w:rPr>
          <w:rFonts w:eastAsia="MS Mincho" w:cs="Arial"/>
          <w:szCs w:val="18"/>
          <w:lang w:val="en-GB" w:eastAsia="ja-JP"/>
        </w:rPr>
        <w:t xml:space="preserve"> to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British Birds</w:t>
      </w:r>
      <w:r w:rsidRPr="00C96521">
        <w:rPr>
          <w:rFonts w:eastAsia="MS Mincho" w:cs="Arial"/>
          <w:szCs w:val="18"/>
          <w:lang w:val="en-GB" w:eastAsia="ja-JP"/>
        </w:rPr>
        <w:t xml:space="preserve"> 72(7): 346.</w:t>
      </w:r>
    </w:p>
    <w:p w14:paraId="1893CA4C"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78C4967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FLINT VE, BOEHME RL, KOSTIN YV and KUZNETSOV AA (1984)</w:t>
      </w:r>
      <w:r w:rsidRPr="00C96521">
        <w:rPr>
          <w:rFonts w:eastAsia="MS Mincho" w:cs="Arial"/>
          <w:szCs w:val="18"/>
          <w:lang w:val="en-GB" w:eastAsia="ja-JP"/>
        </w:rPr>
        <w:t xml:space="preserve"> </w:t>
      </w:r>
      <w:r w:rsidRPr="00C96521">
        <w:rPr>
          <w:rFonts w:eastAsia="MS Mincho" w:cs="Arial"/>
          <w:i/>
          <w:szCs w:val="18"/>
          <w:lang w:val="en-GB" w:eastAsia="ja-JP"/>
        </w:rPr>
        <w:t>A Field Guide to the Birds of the USSR – Including Eastern Europe and Central Asia</w:t>
      </w:r>
      <w:r w:rsidRPr="00C96521">
        <w:rPr>
          <w:rFonts w:eastAsia="MS Mincho" w:cs="Arial"/>
          <w:szCs w:val="18"/>
          <w:lang w:val="en-GB" w:eastAsia="ja-JP"/>
        </w:rPr>
        <w:t>. Princeton University Press, New Jersey.</w:t>
      </w:r>
    </w:p>
    <w:p w14:paraId="28CCDFF8"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6B90270"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FLINT PR and STEWART PF (1992)</w:t>
      </w:r>
      <w:r w:rsidRPr="00C96521">
        <w:rPr>
          <w:rFonts w:eastAsia="MS Mincho" w:cs="Arial"/>
          <w:szCs w:val="18"/>
          <w:lang w:val="en-GB" w:eastAsia="ja-JP"/>
        </w:rPr>
        <w:t xml:space="preserve"> </w:t>
      </w:r>
      <w:r w:rsidRPr="00C96521">
        <w:rPr>
          <w:rFonts w:eastAsia="MS Mincho" w:cs="Arial"/>
          <w:i/>
          <w:szCs w:val="18"/>
          <w:lang w:val="en-GB" w:eastAsia="ja-JP"/>
        </w:rPr>
        <w:t>The Birds of Cyprus – An annotated check-list</w:t>
      </w:r>
      <w:r w:rsidRPr="00C96521">
        <w:rPr>
          <w:rFonts w:eastAsia="MS Mincho" w:cs="Arial"/>
          <w:szCs w:val="18"/>
          <w:lang w:val="en-GB" w:eastAsia="ja-JP"/>
        </w:rPr>
        <w:t xml:space="preserve">. </w:t>
      </w:r>
      <w:r w:rsidRPr="00890F11">
        <w:rPr>
          <w:rFonts w:eastAsia="MS Mincho" w:cs="Arial"/>
          <w:szCs w:val="18"/>
          <w:lang w:val="fr-FR" w:eastAsia="ja-JP"/>
        </w:rPr>
        <w:t xml:space="preserve">BOU Check-list 6 (Second Edition). </w:t>
      </w:r>
    </w:p>
    <w:p w14:paraId="129F5842"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0609A017" w14:textId="77777777" w:rsidR="00C96521" w:rsidRPr="009213E9"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FNC (2016)</w:t>
      </w:r>
      <w:r w:rsidRPr="00890F11">
        <w:rPr>
          <w:rFonts w:eastAsia="MS Mincho" w:cs="Arial"/>
          <w:szCs w:val="18"/>
          <w:lang w:val="fr-FR" w:eastAsia="ja-JP"/>
        </w:rPr>
        <w:t xml:space="preserve"> </w:t>
      </w:r>
      <w:r w:rsidRPr="00890F11">
        <w:rPr>
          <w:rFonts w:eastAsia="MS Mincho" w:cs="Arial"/>
          <w:i/>
          <w:szCs w:val="18"/>
          <w:lang w:val="fr-FR" w:eastAsia="ja-JP"/>
        </w:rPr>
        <w:t>Conservation des habitats de la Tourterelle des bois (</w:t>
      </w:r>
      <w:r w:rsidRPr="00890F11">
        <w:rPr>
          <w:rFonts w:eastAsia="MS Mincho" w:cs="Arial"/>
          <w:szCs w:val="18"/>
          <w:lang w:val="fr-FR" w:eastAsia="ja-JP"/>
        </w:rPr>
        <w:t>Streptopelia turtur</w:t>
      </w:r>
      <w:r w:rsidRPr="00890F11">
        <w:rPr>
          <w:rFonts w:eastAsia="MS Mincho" w:cs="Arial"/>
          <w:i/>
          <w:szCs w:val="18"/>
          <w:lang w:val="fr-FR" w:eastAsia="ja-JP"/>
        </w:rPr>
        <w:t>) par les chasseurs français</w:t>
      </w:r>
      <w:r w:rsidRPr="00890F11">
        <w:rPr>
          <w:rFonts w:eastAsia="MS Mincho" w:cs="Arial"/>
          <w:szCs w:val="18"/>
          <w:lang w:val="fr-FR" w:eastAsia="ja-JP"/>
        </w:rPr>
        <w:t xml:space="preserve">. </w:t>
      </w:r>
      <w:r w:rsidRPr="009213E9">
        <w:rPr>
          <w:rFonts w:eastAsia="MS Mincho" w:cs="Arial"/>
          <w:szCs w:val="18"/>
          <w:lang w:val="fr-FR" w:eastAsia="ja-JP"/>
        </w:rPr>
        <w:t>Fédération Nationale des Chasseurs (FNC).</w:t>
      </w:r>
    </w:p>
    <w:p w14:paraId="3A4F4A1A" w14:textId="77777777" w:rsidR="00C96521" w:rsidRPr="009213E9" w:rsidRDefault="00C96521" w:rsidP="00C96521">
      <w:pPr>
        <w:widowControl/>
        <w:autoSpaceDE/>
        <w:autoSpaceDN/>
        <w:adjustRightInd/>
        <w:spacing w:line="276" w:lineRule="auto"/>
        <w:rPr>
          <w:rFonts w:eastAsia="MS Mincho" w:cs="Arial"/>
          <w:b/>
          <w:bCs/>
          <w:szCs w:val="18"/>
          <w:lang w:val="fr-FR" w:eastAsia="ja-JP"/>
        </w:rPr>
      </w:pPr>
    </w:p>
    <w:p w14:paraId="0EDAA6A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9213E9">
        <w:rPr>
          <w:rFonts w:eastAsia="MS Mincho" w:cs="Arial"/>
          <w:b/>
          <w:bCs/>
          <w:szCs w:val="18"/>
          <w:lang w:val="fr-FR" w:eastAsia="ja-JP"/>
        </w:rPr>
        <w:t>FONTOURA AP and DIAS S (1995)</w:t>
      </w:r>
      <w:r w:rsidRPr="009213E9">
        <w:rPr>
          <w:rFonts w:eastAsia="MS Mincho" w:cs="Arial"/>
          <w:bCs/>
          <w:szCs w:val="18"/>
          <w:lang w:val="fr-FR" w:eastAsia="ja-JP"/>
        </w:rPr>
        <w:t xml:space="preserve"> </w:t>
      </w:r>
      <w:r w:rsidRPr="009213E9">
        <w:rPr>
          <w:rFonts w:eastAsia="MS Mincho" w:cs="Arial"/>
          <w:szCs w:val="18"/>
          <w:lang w:val="fr-FR" w:eastAsia="ja-JP"/>
        </w:rPr>
        <w:t>Productivity of the turtle-dove (</w:t>
      </w:r>
      <w:r w:rsidRPr="009213E9">
        <w:rPr>
          <w:rFonts w:eastAsia="MS Mincho" w:cs="Arial"/>
          <w:i/>
          <w:szCs w:val="18"/>
          <w:lang w:val="fr-FR" w:eastAsia="ja-JP"/>
        </w:rPr>
        <w:t>Streptopelia turtur</w:t>
      </w:r>
      <w:r w:rsidRPr="009213E9">
        <w:rPr>
          <w:rFonts w:eastAsia="MS Mincho" w:cs="Arial"/>
          <w:szCs w:val="18"/>
          <w:lang w:val="fr-FR" w:eastAsia="ja-JP"/>
        </w:rPr>
        <w:t xml:space="preserve">) in the northwest of Portugal. </w:t>
      </w:r>
      <w:r w:rsidRPr="00C96521">
        <w:rPr>
          <w:rFonts w:eastAsia="MS Mincho" w:cs="Arial"/>
          <w:szCs w:val="18"/>
          <w:lang w:val="en-GB" w:eastAsia="ja-JP"/>
        </w:rPr>
        <w:t xml:space="preserve">In: BOTEV N (ed) </w:t>
      </w:r>
      <w:r w:rsidRPr="00C96521">
        <w:rPr>
          <w:rFonts w:eastAsia="MS Mincho" w:cs="Arial"/>
          <w:i/>
          <w:szCs w:val="18"/>
          <w:lang w:val="en-GB" w:eastAsia="ja-JP"/>
        </w:rPr>
        <w:t xml:space="preserve">Procedures of the International Union of Game Biologists XXII Congress: Game and man. </w:t>
      </w:r>
      <w:r w:rsidRPr="00C96521">
        <w:rPr>
          <w:rFonts w:eastAsia="MS Mincho" w:cs="Arial"/>
          <w:szCs w:val="18"/>
          <w:lang w:val="en-GB" w:eastAsia="ja-JP"/>
        </w:rPr>
        <w:t>Sofia, Bulgaria 4-8 September 1995 (1996). pp 1-6.</w:t>
      </w:r>
    </w:p>
    <w:p w14:paraId="753935E1" w14:textId="77777777" w:rsidR="00C96521" w:rsidRPr="00C96521" w:rsidRDefault="00C96521" w:rsidP="00C96521">
      <w:pPr>
        <w:widowControl/>
        <w:autoSpaceDE/>
        <w:autoSpaceDN/>
        <w:adjustRightInd/>
        <w:spacing w:line="276" w:lineRule="auto"/>
        <w:rPr>
          <w:rFonts w:eastAsia="MS Mincho" w:cs="Arial"/>
          <w:b/>
          <w:color w:val="000000"/>
          <w:szCs w:val="18"/>
          <w:shd w:val="clear" w:color="auto" w:fill="FFFFFF"/>
          <w:lang w:val="en-GB" w:eastAsia="ja-JP"/>
        </w:rPr>
      </w:pPr>
    </w:p>
    <w:p w14:paraId="2ED4DC52"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FRANK B and BATTISTI C (2005)</w:t>
      </w:r>
      <w:r w:rsidRPr="00C96521">
        <w:rPr>
          <w:rFonts w:eastAsia="MS Mincho" w:cs="Arial"/>
          <w:szCs w:val="18"/>
          <w:lang w:val="en-GB" w:eastAsia="ja-JP"/>
        </w:rPr>
        <w:t xml:space="preserve"> Area effect on bird communities, guilds and species in a highly fragmented forest landscape of Central Italy. </w:t>
      </w:r>
      <w:r w:rsidRPr="00C96521">
        <w:rPr>
          <w:rFonts w:eastAsia="MS Mincho" w:cs="Arial"/>
          <w:i/>
          <w:szCs w:val="18"/>
          <w:lang w:val="en-GB" w:eastAsia="ja-JP"/>
        </w:rPr>
        <w:t>Italian Journal of Zoology</w:t>
      </w:r>
      <w:r w:rsidRPr="00C96521">
        <w:rPr>
          <w:rFonts w:eastAsia="MS Mincho" w:cs="Arial"/>
          <w:szCs w:val="18"/>
          <w:lang w:val="en-GB" w:eastAsia="ja-JP"/>
        </w:rPr>
        <w:t xml:space="preserve"> 72(4): 297-304.</w:t>
      </w:r>
    </w:p>
    <w:p w14:paraId="3714F8B3" w14:textId="77777777" w:rsidR="00C96521" w:rsidRPr="00C96521" w:rsidRDefault="00C96521" w:rsidP="00C96521">
      <w:pPr>
        <w:widowControl/>
        <w:spacing w:line="276" w:lineRule="auto"/>
        <w:rPr>
          <w:rFonts w:eastAsia="MS Mincho" w:cs="Arial"/>
          <w:szCs w:val="18"/>
          <w:lang w:val="en-GB" w:eastAsia="ja-JP"/>
        </w:rPr>
      </w:pPr>
    </w:p>
    <w:p w14:paraId="3A95CCBC"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FRANSSON T, KOLEHMAINEN T, KROON C, JANSSON L and WENNINGER T (2010)</w:t>
      </w:r>
      <w:r w:rsidRPr="00C96521">
        <w:rPr>
          <w:rFonts w:eastAsia="MS Mincho" w:cs="Arial"/>
          <w:szCs w:val="18"/>
          <w:lang w:val="en-GB" w:eastAsia="ja-JP"/>
        </w:rPr>
        <w:t xml:space="preserve"> </w:t>
      </w:r>
      <w:r w:rsidRPr="00C96521">
        <w:rPr>
          <w:rFonts w:eastAsia="MS Mincho" w:cs="Arial"/>
          <w:i/>
          <w:szCs w:val="18"/>
          <w:lang w:val="en-GB" w:eastAsia="ja-JP"/>
        </w:rPr>
        <w:t>EURING list of longevity records for European birds</w:t>
      </w:r>
      <w:r w:rsidRPr="00C96521">
        <w:rPr>
          <w:rFonts w:eastAsia="MS Mincho" w:cs="Arial"/>
          <w:szCs w:val="18"/>
          <w:lang w:val="en-GB" w:eastAsia="ja-JP"/>
        </w:rPr>
        <w:t>. http://www.euring.org/data-and-codes/longevity-list?page=3 (last accessed 21</w:t>
      </w:r>
      <w:r w:rsidRPr="00C96521">
        <w:rPr>
          <w:rFonts w:eastAsia="MS Mincho" w:cs="Arial"/>
          <w:szCs w:val="18"/>
          <w:vertAlign w:val="superscript"/>
          <w:lang w:val="en-GB" w:eastAsia="ja-JP"/>
        </w:rPr>
        <w:t>st</w:t>
      </w:r>
      <w:r w:rsidRPr="00C96521">
        <w:rPr>
          <w:rFonts w:eastAsia="MS Mincho" w:cs="Arial"/>
          <w:szCs w:val="18"/>
          <w:lang w:val="en-GB" w:eastAsia="ja-JP"/>
        </w:rPr>
        <w:t xml:space="preserve"> February 2017)</w:t>
      </w:r>
    </w:p>
    <w:p w14:paraId="1FDC1CBE" w14:textId="77777777" w:rsidR="00C96521" w:rsidRPr="00C96521" w:rsidRDefault="00C96521" w:rsidP="00C96521">
      <w:pPr>
        <w:widowControl/>
        <w:spacing w:line="276" w:lineRule="auto"/>
        <w:rPr>
          <w:rFonts w:eastAsia="MS Mincho" w:cs="Arial"/>
          <w:szCs w:val="18"/>
          <w:lang w:val="en-GB" w:eastAsia="ja-JP"/>
        </w:rPr>
      </w:pPr>
    </w:p>
    <w:p w14:paraId="5A4773B2"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GALLO-ORSI U (ed) (2001)</w:t>
      </w:r>
      <w:r w:rsidRPr="00C96521">
        <w:rPr>
          <w:rFonts w:eastAsia="MS Mincho" w:cs="Arial"/>
          <w:szCs w:val="18"/>
          <w:lang w:val="en-GB" w:eastAsia="ja-JP"/>
        </w:rPr>
        <w:t> </w:t>
      </w:r>
      <w:r w:rsidRPr="00C96521">
        <w:rPr>
          <w:rFonts w:eastAsia="MS Mincho" w:cs="Arial"/>
          <w:i/>
          <w:szCs w:val="18"/>
          <w:lang w:val="en-GB" w:eastAsia="ja-JP"/>
        </w:rPr>
        <w:t>Saving Europe’s most threatened birds: progress in implementing European Species Action Plans</w:t>
      </w:r>
      <w:r w:rsidRPr="00C96521">
        <w:rPr>
          <w:rFonts w:eastAsia="MS Mincho" w:cs="Arial"/>
          <w:szCs w:val="18"/>
          <w:lang w:val="en-GB" w:eastAsia="ja-JP"/>
        </w:rPr>
        <w:t>. BirdLife International, Wageningen.</w:t>
      </w:r>
    </w:p>
    <w:p w14:paraId="022E693B" w14:textId="77777777" w:rsidR="00C96521" w:rsidRPr="00C96521" w:rsidRDefault="00C96521" w:rsidP="00C96521">
      <w:pPr>
        <w:widowControl/>
        <w:spacing w:line="276" w:lineRule="auto"/>
        <w:rPr>
          <w:rFonts w:eastAsia="MS Mincho" w:cs="Arial"/>
          <w:szCs w:val="18"/>
          <w:lang w:val="en-GB" w:eastAsia="ja-JP"/>
        </w:rPr>
      </w:pPr>
    </w:p>
    <w:p w14:paraId="4987AFAF"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GAME AND FAUNA SERVICE (2016)</w:t>
      </w:r>
      <w:r w:rsidRPr="00C96521">
        <w:rPr>
          <w:rFonts w:eastAsia="MS Mincho" w:cs="Arial"/>
          <w:szCs w:val="18"/>
          <w:lang w:val="en-GB" w:eastAsia="ja-JP"/>
        </w:rPr>
        <w:t xml:space="preserve"> </w:t>
      </w:r>
      <w:r w:rsidRPr="00C96521">
        <w:rPr>
          <w:rFonts w:eastAsia="MS Mincho" w:cs="Arial"/>
          <w:i/>
          <w:szCs w:val="18"/>
          <w:lang w:val="en-GB" w:eastAsia="ja-JP"/>
        </w:rPr>
        <w:t>Results of Hunting Bag Statistics Survey 2015-2016</w:t>
      </w:r>
      <w:r w:rsidRPr="00C96521">
        <w:rPr>
          <w:rFonts w:eastAsia="MS Mincho" w:cs="Arial"/>
          <w:szCs w:val="18"/>
          <w:lang w:val="en-GB" w:eastAsia="ja-JP"/>
        </w:rPr>
        <w:t xml:space="preserve">. Ministry of Interior, Nicosia, Cyprus. </w:t>
      </w:r>
      <w:hyperlink r:id="rId56" w:history="1">
        <w:r w:rsidRPr="00C96521">
          <w:rPr>
            <w:rFonts w:eastAsia="MS Mincho" w:cs="Arial"/>
            <w:szCs w:val="18"/>
            <w:lang w:val="en-GB" w:eastAsia="ja-JP"/>
          </w:rPr>
          <w:t>http://www.moi.gov.cy/moi/wildlife/wildlife_new.nsf/web23_gr/web23_gr</w:t>
        </w:r>
      </w:hyperlink>
      <w:r w:rsidRPr="00C96521">
        <w:rPr>
          <w:rFonts w:eastAsia="MS Mincho" w:cs="Arial"/>
          <w:szCs w:val="18"/>
          <w:lang w:val="en-GB" w:eastAsia="ja-JP"/>
        </w:rPr>
        <w:t xml:space="preserve"> (last accessed 2nd December 2016).</w:t>
      </w:r>
    </w:p>
    <w:p w14:paraId="756BAFB4" w14:textId="77777777" w:rsidR="00C96521" w:rsidRPr="00C96521" w:rsidRDefault="00C96521" w:rsidP="00C96521">
      <w:pPr>
        <w:widowControl/>
        <w:spacing w:line="276" w:lineRule="auto"/>
        <w:rPr>
          <w:rFonts w:eastAsia="MS Mincho" w:cs="Arial"/>
          <w:b/>
          <w:szCs w:val="18"/>
          <w:lang w:val="en-GB" w:eastAsia="ja-JP"/>
        </w:rPr>
      </w:pPr>
    </w:p>
    <w:p w14:paraId="3F408926"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GARGALLO G, BARRIOCANAL C, CASTANY J, CLARABUCH O, ESCANDELL R, LOPEZ-IBORRA G, RGUIBI-IDRISSI H, ROBSON D and SUAREZ M (2011)</w:t>
      </w:r>
      <w:r w:rsidRPr="00C96521">
        <w:rPr>
          <w:rFonts w:eastAsia="MS Mincho" w:cs="Arial"/>
          <w:szCs w:val="18"/>
          <w:lang w:val="en-GB" w:eastAsia="ja-JP"/>
        </w:rPr>
        <w:t xml:space="preserve"> </w:t>
      </w:r>
      <w:r w:rsidRPr="00C96521">
        <w:rPr>
          <w:rFonts w:eastAsia="MS Mincho" w:cs="Arial"/>
          <w:i/>
          <w:szCs w:val="18"/>
          <w:lang w:val="en-GB" w:eastAsia="ja-JP"/>
        </w:rPr>
        <w:t>Spring migration in the western Mediterranean and NW Africa: the results of 16 years of the Piccole Isole project</w:t>
      </w:r>
      <w:r w:rsidRPr="00C96521">
        <w:rPr>
          <w:rFonts w:eastAsia="MS Mincho" w:cs="Arial"/>
          <w:szCs w:val="18"/>
          <w:lang w:val="en-GB" w:eastAsia="ja-JP"/>
        </w:rPr>
        <w:t>. Monografies del Museu de Ciències Naturals 6, Barcelona.</w:t>
      </w:r>
    </w:p>
    <w:p w14:paraId="29DA3AEB" w14:textId="77777777" w:rsidR="00C96521" w:rsidRPr="00C96521" w:rsidRDefault="00C96521" w:rsidP="00C96521">
      <w:pPr>
        <w:widowControl/>
        <w:autoSpaceDE/>
        <w:autoSpaceDN/>
        <w:adjustRightInd/>
        <w:spacing w:line="276" w:lineRule="auto"/>
        <w:rPr>
          <w:rFonts w:eastAsia="MS Mincho" w:cs="Arial"/>
          <w:b/>
          <w:color w:val="000000"/>
          <w:szCs w:val="18"/>
          <w:shd w:val="clear" w:color="auto" w:fill="FFFFFF"/>
          <w:lang w:val="en-GB" w:eastAsia="ja-JP"/>
        </w:rPr>
      </w:pPr>
    </w:p>
    <w:p w14:paraId="3413011E" w14:textId="77777777" w:rsidR="00C96521" w:rsidRPr="00C96521" w:rsidRDefault="00C96521" w:rsidP="00C96521">
      <w:pPr>
        <w:widowControl/>
        <w:autoSpaceDE/>
        <w:autoSpaceDN/>
        <w:adjustRightInd/>
        <w:spacing w:line="276" w:lineRule="auto"/>
        <w:rPr>
          <w:rFonts w:eastAsia="MS Mincho" w:cs="Arial"/>
          <w:color w:val="000000"/>
          <w:szCs w:val="18"/>
          <w:shd w:val="clear" w:color="auto" w:fill="FFFFFF"/>
          <w:lang w:val="en-GB" w:eastAsia="ja-JP"/>
        </w:rPr>
      </w:pPr>
      <w:r w:rsidRPr="00C96521">
        <w:rPr>
          <w:rFonts w:eastAsia="MS Mincho" w:cs="Arial"/>
          <w:b/>
          <w:color w:val="000000"/>
          <w:szCs w:val="18"/>
          <w:shd w:val="clear" w:color="auto" w:fill="FFFFFF"/>
          <w:lang w:val="en-GB" w:eastAsia="ja-JP"/>
        </w:rPr>
        <w:t>GEDEON K, GRÜNEBERG C, MITSCHKE A, SUDFELDT C, EIKHORST W, FISCHER S, FLADE M, FRICK S, GEIERSBERGER I, KOOP B, KRAMER M, KRÜGER T, ROTH N, RYSLAVY T, STÜBING S, SUDMANN SR, STEFFENS R, VÖKLER F and WITT K (2014)</w:t>
      </w:r>
      <w:r w:rsidRPr="00C96521">
        <w:rPr>
          <w:rFonts w:eastAsia="MS Mincho" w:cs="Arial"/>
          <w:color w:val="000000"/>
          <w:szCs w:val="18"/>
          <w:shd w:val="clear" w:color="auto" w:fill="FFFFFF"/>
          <w:lang w:val="en-GB" w:eastAsia="ja-JP"/>
        </w:rPr>
        <w:t xml:space="preserve"> </w:t>
      </w:r>
      <w:r w:rsidRPr="00C96521">
        <w:rPr>
          <w:rFonts w:eastAsia="MS Mincho" w:cs="Arial"/>
          <w:i/>
          <w:color w:val="000000"/>
          <w:szCs w:val="18"/>
          <w:shd w:val="clear" w:color="auto" w:fill="FFFFFF"/>
          <w:lang w:val="en-GB" w:eastAsia="ja-JP"/>
        </w:rPr>
        <w:t>Atlas Deutscher Brutvogelarten/Atlas of German Breeding Birds</w:t>
      </w:r>
      <w:r w:rsidRPr="00C96521">
        <w:rPr>
          <w:rFonts w:eastAsia="MS Mincho" w:cs="Arial"/>
          <w:color w:val="000000"/>
          <w:szCs w:val="18"/>
          <w:shd w:val="clear" w:color="auto" w:fill="FFFFFF"/>
          <w:lang w:val="en-GB" w:eastAsia="ja-JP"/>
        </w:rPr>
        <w:t>. Stiftung Vogelmonitoring Deutschland and Dachverband Deutscher Avifaunisten, Münster.</w:t>
      </w:r>
    </w:p>
    <w:p w14:paraId="581EBB22"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DFDDC06"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GEISTER I (1995)</w:t>
      </w:r>
      <w:r w:rsidRPr="00C96521">
        <w:rPr>
          <w:rFonts w:eastAsia="MS Mincho" w:cs="Arial"/>
          <w:szCs w:val="18"/>
          <w:lang w:val="en-GB" w:eastAsia="ja-JP"/>
        </w:rPr>
        <w:t xml:space="preserve"> </w:t>
      </w:r>
      <w:r w:rsidRPr="00C96521">
        <w:rPr>
          <w:rFonts w:eastAsia="MS Mincho" w:cs="Arial"/>
          <w:i/>
          <w:szCs w:val="18"/>
          <w:lang w:val="en-GB" w:eastAsia="ja-JP"/>
        </w:rPr>
        <w:t>Ornitološki Atlas Slovenije – Razširjenost gnezdilk</w:t>
      </w:r>
      <w:r w:rsidRPr="00C96521">
        <w:rPr>
          <w:rFonts w:eastAsia="MS Mincho" w:cs="Arial"/>
          <w:szCs w:val="18"/>
          <w:lang w:val="en-GB" w:eastAsia="ja-JP"/>
        </w:rPr>
        <w:t xml:space="preserve">. </w:t>
      </w:r>
      <w:r w:rsidRPr="00890F11">
        <w:rPr>
          <w:rFonts w:eastAsia="MS Mincho" w:cs="Arial"/>
          <w:szCs w:val="18"/>
          <w:lang w:val="fr-FR" w:eastAsia="ja-JP"/>
        </w:rPr>
        <w:t>DZS, Ljubljana.</w:t>
      </w:r>
    </w:p>
    <w:p w14:paraId="7EEE8F65"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p>
    <w:p w14:paraId="20FFFEE5"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fr-FR" w:eastAsia="ja-JP"/>
        </w:rPr>
        <w:t>GEROUDET (1983)</w:t>
      </w:r>
      <w:r w:rsidRPr="00890F11">
        <w:rPr>
          <w:rFonts w:eastAsia="MS Mincho" w:cs="Arial"/>
          <w:bCs/>
          <w:szCs w:val="18"/>
          <w:lang w:val="fr-FR" w:eastAsia="ja-JP"/>
        </w:rPr>
        <w:t xml:space="preserve"> </w:t>
      </w:r>
      <w:r w:rsidRPr="00890F11">
        <w:rPr>
          <w:rFonts w:eastAsia="MS Mincho" w:cs="Arial"/>
          <w:i/>
          <w:szCs w:val="18"/>
          <w:lang w:val="fr-FR" w:eastAsia="ja-JP"/>
        </w:rPr>
        <w:t>Limicoles, Gangas et Pigeons d’Europe. Volume 2.</w:t>
      </w:r>
      <w:r w:rsidRPr="00890F11">
        <w:rPr>
          <w:rFonts w:eastAsia="MS Mincho" w:cs="Arial"/>
          <w:szCs w:val="18"/>
          <w:lang w:val="fr-FR" w:eastAsia="ja-JP"/>
        </w:rPr>
        <w:t xml:space="preserve"> Delachaux et Niestlé, Neuchâtel.</w:t>
      </w:r>
    </w:p>
    <w:p w14:paraId="17E24B92"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5F79D23D"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r w:rsidRPr="00C96521">
        <w:rPr>
          <w:rFonts w:eastAsia="MS Mincho" w:cs="Arial"/>
          <w:b/>
          <w:szCs w:val="18"/>
          <w:lang w:val="en-GB" w:eastAsia="ja-JP"/>
        </w:rPr>
        <w:t>GIBBONS D, MORRISSEY C and MINEAU P (2015)</w:t>
      </w:r>
      <w:r w:rsidRPr="00C96521">
        <w:rPr>
          <w:rFonts w:eastAsia="MS Mincho" w:cs="Arial"/>
          <w:szCs w:val="18"/>
          <w:lang w:val="en-GB" w:eastAsia="ja-JP"/>
        </w:rPr>
        <w:t xml:space="preserve"> A review of the direct and indirect effects of neonicotinoids and fipronil on vertebrate wildlife. </w:t>
      </w:r>
      <w:r w:rsidRPr="00890F11">
        <w:rPr>
          <w:rFonts w:eastAsia="MS Mincho" w:cs="Arial"/>
          <w:i/>
          <w:szCs w:val="18"/>
          <w:lang w:val="fr-FR" w:eastAsia="ja-JP"/>
        </w:rPr>
        <w:t>Environmental Science and Pollution Research</w:t>
      </w:r>
      <w:r w:rsidRPr="00890F11">
        <w:rPr>
          <w:rFonts w:eastAsia="MS Mincho" w:cs="Arial"/>
          <w:szCs w:val="18"/>
          <w:lang w:val="fr-FR" w:eastAsia="ja-JP"/>
        </w:rPr>
        <w:t xml:space="preserve"> 22(1): 103-118.</w:t>
      </w:r>
    </w:p>
    <w:p w14:paraId="5F8362D2"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4E730B5F" w14:textId="6DD71207" w:rsidR="00C96521" w:rsidRPr="008C00B8" w:rsidRDefault="00C96521" w:rsidP="00C96521">
      <w:pPr>
        <w:widowControl/>
        <w:autoSpaceDE/>
        <w:autoSpaceDN/>
        <w:adjustRightInd/>
        <w:spacing w:line="276" w:lineRule="auto"/>
        <w:rPr>
          <w:rFonts w:eastAsia="MS Mincho" w:cs="Arial"/>
          <w:szCs w:val="18"/>
          <w:lang w:val="de-DE" w:eastAsia="ja-JP"/>
        </w:rPr>
      </w:pPr>
      <w:r w:rsidRPr="00890F11">
        <w:rPr>
          <w:rFonts w:eastAsia="MS Mincho" w:cs="Arial"/>
          <w:b/>
          <w:szCs w:val="18"/>
          <w:lang w:val="fr-FR" w:eastAsia="ja-JP"/>
        </w:rPr>
        <w:t>GIRAUDOUX P, DEGAUQUIER R, JONES PJ, WEIGEL J and ISENMANN P (1986)</w:t>
      </w:r>
      <w:r w:rsidRPr="00890F11">
        <w:rPr>
          <w:rFonts w:eastAsia="MS Mincho" w:cs="Arial"/>
          <w:b/>
          <w:bCs/>
          <w:szCs w:val="18"/>
          <w:lang w:val="fr-FR" w:eastAsia="ja-JP"/>
        </w:rPr>
        <w:t xml:space="preserve"> </w:t>
      </w:r>
      <w:r w:rsidRPr="00890F11">
        <w:rPr>
          <w:rFonts w:eastAsia="MS Mincho" w:cs="Arial"/>
          <w:szCs w:val="18"/>
          <w:lang w:val="fr-FR" w:eastAsia="ja-JP"/>
        </w:rPr>
        <w:t xml:space="preserve">Avifaune du Niger: </w:t>
      </w:r>
      <w:r w:rsidR="00526B63">
        <w:rPr>
          <w:rFonts w:eastAsia="MS Mincho" w:cs="Arial"/>
          <w:szCs w:val="18"/>
          <w:lang w:val="fr-FR" w:eastAsia="ja-JP"/>
        </w:rPr>
        <w:t>É</w:t>
      </w:r>
      <w:r w:rsidRPr="00890F11">
        <w:rPr>
          <w:rFonts w:eastAsia="MS Mincho" w:cs="Arial"/>
          <w:szCs w:val="18"/>
          <w:lang w:val="fr-FR" w:eastAsia="ja-JP"/>
        </w:rPr>
        <w:t xml:space="preserve">tat des connaissances en 1986. </w:t>
      </w:r>
      <w:r w:rsidRPr="008C00B8">
        <w:rPr>
          <w:rFonts w:eastAsia="MS Mincho" w:cs="Arial"/>
          <w:i/>
          <w:szCs w:val="18"/>
          <w:lang w:val="de-DE" w:eastAsia="ja-JP"/>
        </w:rPr>
        <w:t>Malimbus</w:t>
      </w:r>
      <w:r w:rsidRPr="008C00B8">
        <w:rPr>
          <w:rFonts w:eastAsia="MS Mincho" w:cs="Arial"/>
          <w:szCs w:val="18"/>
          <w:lang w:val="de-DE" w:eastAsia="ja-JP"/>
        </w:rPr>
        <w:t xml:space="preserve"> 10: 1-140.</w:t>
      </w:r>
    </w:p>
    <w:p w14:paraId="2E8829BC" w14:textId="77777777" w:rsidR="00C96521" w:rsidRPr="008C00B8" w:rsidRDefault="00C96521" w:rsidP="00C96521">
      <w:pPr>
        <w:widowControl/>
        <w:autoSpaceDE/>
        <w:autoSpaceDN/>
        <w:adjustRightInd/>
        <w:spacing w:line="276" w:lineRule="auto"/>
        <w:rPr>
          <w:rFonts w:eastAsia="MS Mincho" w:cs="Arial"/>
          <w:b/>
          <w:bCs/>
          <w:szCs w:val="18"/>
          <w:lang w:val="de-DE" w:eastAsia="ja-JP"/>
        </w:rPr>
      </w:pPr>
    </w:p>
    <w:p w14:paraId="38B5CC31" w14:textId="77777777" w:rsidR="00C96521" w:rsidRPr="008C00B8" w:rsidRDefault="00C96521" w:rsidP="00C96521">
      <w:pPr>
        <w:widowControl/>
        <w:autoSpaceDE/>
        <w:autoSpaceDN/>
        <w:adjustRightInd/>
        <w:spacing w:line="276" w:lineRule="auto"/>
        <w:rPr>
          <w:rFonts w:eastAsia="MS Mincho" w:cs="Arial"/>
          <w:bCs/>
          <w:szCs w:val="18"/>
          <w:lang w:val="de-DE" w:eastAsia="ja-JP"/>
        </w:rPr>
      </w:pPr>
      <w:r w:rsidRPr="008C00B8">
        <w:rPr>
          <w:rFonts w:eastAsia="MS Mincho" w:cs="Arial"/>
          <w:b/>
          <w:bCs/>
          <w:szCs w:val="18"/>
          <w:lang w:val="de-DE" w:eastAsia="ja-JP"/>
        </w:rPr>
        <w:t xml:space="preserve">GORE MEJ (1980) </w:t>
      </w:r>
      <w:r w:rsidRPr="008C00B8">
        <w:rPr>
          <w:rFonts w:eastAsia="MS Mincho" w:cs="Arial"/>
          <w:bCs/>
          <w:szCs w:val="18"/>
          <w:lang w:val="de-DE" w:eastAsia="ja-JP"/>
        </w:rPr>
        <w:t xml:space="preserve">Millions of turtle-doves. </w:t>
      </w:r>
      <w:r w:rsidRPr="008C00B8">
        <w:rPr>
          <w:rFonts w:eastAsia="MS Mincho" w:cs="Arial"/>
          <w:bCs/>
          <w:i/>
          <w:szCs w:val="18"/>
          <w:lang w:val="de-DE" w:eastAsia="ja-JP"/>
        </w:rPr>
        <w:t>Malimbus</w:t>
      </w:r>
      <w:r w:rsidRPr="008C00B8">
        <w:rPr>
          <w:rFonts w:eastAsia="MS Mincho" w:cs="Arial"/>
          <w:bCs/>
          <w:szCs w:val="18"/>
          <w:lang w:val="de-DE" w:eastAsia="ja-JP"/>
        </w:rPr>
        <w:t xml:space="preserve"> 2: 78.</w:t>
      </w:r>
    </w:p>
    <w:p w14:paraId="316744CD" w14:textId="77777777" w:rsidR="00C96521" w:rsidRPr="008C00B8" w:rsidRDefault="00C96521" w:rsidP="00C96521">
      <w:pPr>
        <w:widowControl/>
        <w:autoSpaceDE/>
        <w:autoSpaceDN/>
        <w:adjustRightInd/>
        <w:spacing w:line="276" w:lineRule="auto"/>
        <w:rPr>
          <w:rFonts w:eastAsia="MS Mincho" w:cs="Arial"/>
          <w:szCs w:val="18"/>
          <w:lang w:val="de-DE" w:eastAsia="ja-JP"/>
        </w:rPr>
      </w:pPr>
    </w:p>
    <w:p w14:paraId="61C72D82" w14:textId="77777777" w:rsidR="00C96521" w:rsidRPr="008C00B8" w:rsidRDefault="00C96521" w:rsidP="00C96521">
      <w:pPr>
        <w:widowControl/>
        <w:autoSpaceDE/>
        <w:autoSpaceDN/>
        <w:adjustRightInd/>
        <w:spacing w:line="276" w:lineRule="auto"/>
        <w:rPr>
          <w:rFonts w:eastAsia="MS Mincho" w:cs="Arial"/>
          <w:szCs w:val="18"/>
          <w:lang w:val="de-DE" w:eastAsia="ja-JP"/>
        </w:rPr>
      </w:pPr>
      <w:r w:rsidRPr="008C00B8">
        <w:rPr>
          <w:rFonts w:eastAsia="MS Mincho" w:cs="Arial"/>
          <w:b/>
          <w:bCs/>
          <w:szCs w:val="18"/>
          <w:lang w:val="de-DE" w:eastAsia="ja-JP"/>
        </w:rPr>
        <w:t>GLUTZ VON BLOTZHEIM UM (1980)</w:t>
      </w:r>
      <w:r w:rsidRPr="008C00B8">
        <w:rPr>
          <w:rFonts w:eastAsia="MS Mincho" w:cs="Arial"/>
          <w:bCs/>
          <w:szCs w:val="18"/>
          <w:lang w:val="de-DE" w:eastAsia="ja-JP"/>
        </w:rPr>
        <w:t xml:space="preserve"> </w:t>
      </w:r>
      <w:r w:rsidRPr="008C00B8">
        <w:rPr>
          <w:rFonts w:eastAsia="MS Mincho" w:cs="Arial"/>
          <w:i/>
          <w:szCs w:val="18"/>
          <w:lang w:val="de-DE" w:eastAsia="ja-JP"/>
        </w:rPr>
        <w:t>Handbuch der Vögel Mitteleuropas</w:t>
      </w:r>
      <w:r w:rsidRPr="008C00B8">
        <w:rPr>
          <w:rFonts w:eastAsia="MS Mincho" w:cs="Arial"/>
          <w:szCs w:val="18"/>
          <w:lang w:val="de-DE" w:eastAsia="ja-JP"/>
        </w:rPr>
        <w:t>. Akademische Verlagsgesellschaft, Wiesbaden.</w:t>
      </w:r>
    </w:p>
    <w:p w14:paraId="3129C78B" w14:textId="77777777" w:rsidR="00C96521" w:rsidRPr="008C00B8" w:rsidRDefault="00C96521" w:rsidP="00C96521">
      <w:pPr>
        <w:widowControl/>
        <w:autoSpaceDE/>
        <w:autoSpaceDN/>
        <w:adjustRightInd/>
        <w:spacing w:line="276" w:lineRule="auto"/>
        <w:rPr>
          <w:rFonts w:eastAsia="MS Mincho" w:cs="Arial"/>
          <w:szCs w:val="18"/>
          <w:lang w:val="de-DE" w:eastAsia="ja-JP"/>
        </w:rPr>
      </w:pPr>
    </w:p>
    <w:p w14:paraId="2AD8E7E1"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C00B8">
        <w:rPr>
          <w:rFonts w:eastAsia="MS Mincho" w:cs="Arial"/>
          <w:b/>
          <w:bCs/>
          <w:szCs w:val="18"/>
          <w:lang w:val="de-DE" w:eastAsia="ja-JP"/>
        </w:rPr>
        <w:t>GOLOVAN VI (2002)</w:t>
      </w:r>
      <w:r w:rsidRPr="008C00B8">
        <w:rPr>
          <w:rFonts w:eastAsia="MS Mincho" w:cs="Arial"/>
          <w:szCs w:val="18"/>
          <w:lang w:val="de-DE" w:eastAsia="ja-JP"/>
        </w:rPr>
        <w:t xml:space="preserve"> Turtle-dove. </w:t>
      </w:r>
      <w:r w:rsidRPr="009213E9">
        <w:rPr>
          <w:rFonts w:eastAsia="MS Mincho" w:cs="Arial"/>
          <w:szCs w:val="18"/>
          <w:lang w:val="de-DE" w:eastAsia="ja-JP"/>
        </w:rPr>
        <w:t xml:space="preserve">In: NOSKOV GA. (Editor-in-Chief). </w:t>
      </w:r>
      <w:r w:rsidRPr="00C96521">
        <w:rPr>
          <w:rFonts w:eastAsia="MS Mincho" w:cs="Arial"/>
          <w:i/>
          <w:szCs w:val="18"/>
          <w:lang w:val="en-GB" w:eastAsia="ja-JP"/>
        </w:rPr>
        <w:t>Red Data Book of nature of the Leningrad Region</w:t>
      </w:r>
      <w:r w:rsidRPr="00C96521">
        <w:rPr>
          <w:rFonts w:eastAsia="MS Mincho" w:cs="Arial"/>
          <w:szCs w:val="18"/>
          <w:lang w:val="en-GB" w:eastAsia="ja-JP"/>
        </w:rPr>
        <w:t>. Vol. 3. Animals. World &amp; Family, St Petersburg: 401-402. [in Russian]</w:t>
      </w:r>
    </w:p>
    <w:p w14:paraId="5E44680C"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1586EE0"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GOLOVKIN S (2016)</w:t>
      </w:r>
      <w:r w:rsidRPr="00C96521">
        <w:rPr>
          <w:rFonts w:eastAsia="MS Mincho" w:cs="Arial"/>
          <w:szCs w:val="18"/>
          <w:lang w:val="en-GB" w:eastAsia="ja-JP"/>
        </w:rPr>
        <w:t xml:space="preserve"> </w:t>
      </w:r>
      <w:r w:rsidRPr="00C96521">
        <w:rPr>
          <w:rFonts w:eastAsia="MS Mincho" w:cs="Arial"/>
          <w:i/>
          <w:szCs w:val="18"/>
          <w:lang w:val="en-GB" w:eastAsia="ja-JP"/>
        </w:rPr>
        <w:t>Update on Recommendation No. 164 (2013) of the Bern Convention Standing Committee on the implementation of the Tunis Action Plan 2013-2020 for the eradication of illegal killing, trapping and trade of wild birds. Outcomes of the 3rd Meeting of Special Focal Points for Illegal Killing of Birds, 14-15 April 2016, Tirana.</w:t>
      </w:r>
      <w:r w:rsidRPr="00C96521">
        <w:rPr>
          <w:rFonts w:eastAsia="MS Mincho" w:cs="Arial"/>
          <w:szCs w:val="18"/>
          <w:lang w:val="en-GB" w:eastAsia="ja-JP"/>
        </w:rPr>
        <w:t xml:space="preserve"> http://www.cms.int/sites/default/files/document/Update%20from%20Bern%20Convention%20-%20Mr.%20Sergey%20Golovkin.pdf (last accessed 1st November 2016)</w:t>
      </w:r>
    </w:p>
    <w:p w14:paraId="38A24B09"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52572E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GORBAN I (2016)</w:t>
      </w:r>
      <w:r w:rsidRPr="00C96521">
        <w:rPr>
          <w:rFonts w:eastAsia="MS Mincho" w:cs="Arial"/>
          <w:szCs w:val="18"/>
          <w:lang w:val="en-GB" w:eastAsia="ja-JP"/>
        </w:rPr>
        <w:t xml:space="preserve"> Ukraine – contribution to EBBA2 and a path towards modern European bird monitoring. European Breeding Bird Atlas. http://www.ebba2.info/2016/03/17/ukraine-contribution-to-ebba2-and-a-path-towards-modern-european-bird-monitoring/ (last accessed 31</w:t>
      </w:r>
      <w:r w:rsidRPr="00C96521">
        <w:rPr>
          <w:rFonts w:eastAsia="MS Mincho" w:cs="Arial"/>
          <w:szCs w:val="18"/>
          <w:vertAlign w:val="superscript"/>
          <w:lang w:val="en-GB" w:eastAsia="ja-JP"/>
        </w:rPr>
        <w:t>st</w:t>
      </w:r>
      <w:r w:rsidRPr="00C96521">
        <w:rPr>
          <w:rFonts w:eastAsia="MS Mincho" w:cs="Arial"/>
          <w:szCs w:val="18"/>
          <w:lang w:val="en-GB" w:eastAsia="ja-JP"/>
        </w:rPr>
        <w:t xml:space="preserve"> October 2016)</w:t>
      </w:r>
    </w:p>
    <w:p w14:paraId="48B717E3"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31C29D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GOULSON D (2013) </w:t>
      </w:r>
      <w:r w:rsidRPr="00C96521">
        <w:rPr>
          <w:rFonts w:eastAsia="MS Mincho" w:cs="Arial"/>
          <w:szCs w:val="18"/>
          <w:lang w:val="en-GB" w:eastAsia="ja-JP"/>
        </w:rPr>
        <w:t xml:space="preserve">An overview of the environmental risks posed by neonicotinoid insecticides. </w:t>
      </w:r>
      <w:r w:rsidRPr="00C96521">
        <w:rPr>
          <w:rFonts w:eastAsia="MS Mincho" w:cs="Arial"/>
          <w:i/>
          <w:szCs w:val="18"/>
          <w:lang w:val="en-GB" w:eastAsia="ja-JP"/>
        </w:rPr>
        <w:t>Journal of Applied Ecology</w:t>
      </w:r>
      <w:r w:rsidRPr="00C96521">
        <w:rPr>
          <w:rFonts w:eastAsia="MS Mincho" w:cs="Arial"/>
          <w:szCs w:val="18"/>
          <w:lang w:val="en-GB" w:eastAsia="ja-JP"/>
        </w:rPr>
        <w:t xml:space="preserve"> 50(4): 977-987.</w:t>
      </w:r>
    </w:p>
    <w:p w14:paraId="5A7F11A6"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7D4EBA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GRELL MB, HELDBJERG H, RASMUSSEN B, STABELL M, TOFFT J and VIKSTRØM T</w:t>
      </w:r>
      <w:r w:rsidRPr="00C96521">
        <w:rPr>
          <w:rFonts w:eastAsia="MS Mincho" w:cs="Arial"/>
          <w:b/>
          <w:szCs w:val="18"/>
          <w:lang w:val="en-GB" w:eastAsia="ja-JP"/>
        </w:rPr>
        <w:t xml:space="preserve"> (eds) (2004)</w:t>
      </w:r>
      <w:r w:rsidRPr="00C96521">
        <w:rPr>
          <w:rFonts w:eastAsia="MS Mincho" w:cs="Arial"/>
          <w:szCs w:val="18"/>
          <w:lang w:val="en-GB" w:eastAsia="ja-JP"/>
        </w:rPr>
        <w:t xml:space="preserve"> Truede og sjældne ynglefugle I Danmark 2003. </w:t>
      </w:r>
      <w:r w:rsidRPr="00C96521">
        <w:rPr>
          <w:rFonts w:eastAsia="MS Mincho" w:cs="Arial"/>
          <w:i/>
          <w:szCs w:val="18"/>
          <w:lang w:val="en-GB" w:eastAsia="ja-JP"/>
        </w:rPr>
        <w:t>DOFT (Journal of the Danish Ornithological Society)</w:t>
      </w:r>
      <w:r w:rsidRPr="00C96521">
        <w:rPr>
          <w:rFonts w:eastAsia="MS Mincho" w:cs="Arial"/>
          <w:szCs w:val="18"/>
          <w:lang w:val="en-GB" w:eastAsia="ja-JP"/>
        </w:rPr>
        <w:t xml:space="preserve"> 98: 77.</w:t>
      </w:r>
    </w:p>
    <w:p w14:paraId="1E60C05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0C02B5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lastRenderedPageBreak/>
        <w:t>GUTIÉRREZ-GALÁN A and ALONSO C (2016)</w:t>
      </w:r>
      <w:r w:rsidRPr="00C96521">
        <w:rPr>
          <w:rFonts w:eastAsia="MS Mincho" w:cs="Arial"/>
          <w:szCs w:val="18"/>
          <w:lang w:val="en-GB" w:eastAsia="ja-JP"/>
        </w:rPr>
        <w:t xml:space="preserve"> European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diet composition in Southern Spain: the role of wild seeds in Mediterranean forest areas. </w:t>
      </w:r>
      <w:r w:rsidRPr="00C96521">
        <w:rPr>
          <w:rFonts w:eastAsia="MS Mincho" w:cs="Arial"/>
          <w:i/>
          <w:szCs w:val="18"/>
          <w:lang w:val="en-GB" w:eastAsia="ja-JP"/>
        </w:rPr>
        <w:t>Bird Study</w:t>
      </w:r>
      <w:r w:rsidRPr="00C96521">
        <w:rPr>
          <w:rFonts w:eastAsia="MS Mincho" w:cs="Arial"/>
          <w:szCs w:val="18"/>
          <w:lang w:val="en-GB" w:eastAsia="ja-JP"/>
        </w:rPr>
        <w:t>, 63, 4: 490-499.</w:t>
      </w:r>
    </w:p>
    <w:p w14:paraId="674C737D"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AF7610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HADARICS T and ZALAI T (2008)</w:t>
      </w:r>
      <w:r w:rsidRPr="00C96521">
        <w:rPr>
          <w:rFonts w:eastAsia="MS Mincho" w:cs="Arial"/>
          <w:szCs w:val="18"/>
          <w:lang w:val="en-GB" w:eastAsia="ja-JP"/>
        </w:rPr>
        <w:t xml:space="preserve"> </w:t>
      </w:r>
      <w:r w:rsidRPr="00C96521">
        <w:rPr>
          <w:rFonts w:eastAsia="MS Mincho" w:cs="Arial"/>
          <w:i/>
          <w:szCs w:val="18"/>
          <w:lang w:val="en-GB" w:eastAsia="ja-JP"/>
        </w:rPr>
        <w:t>Magyarország madarainak névjegyzéke. An annotated list of the birds of Hungary</w:t>
      </w:r>
      <w:r w:rsidRPr="00C96521">
        <w:rPr>
          <w:rFonts w:eastAsia="MS Mincho" w:cs="Arial"/>
          <w:szCs w:val="18"/>
          <w:lang w:val="en-GB" w:eastAsia="ja-JP"/>
        </w:rPr>
        <w:t xml:space="preserve"> . </w:t>
      </w:r>
      <w:r w:rsidRPr="00C96521">
        <w:rPr>
          <w:rFonts w:eastAsia="MS Mincho" w:cs="Arial" w:hint="eastAsia"/>
          <w:bCs/>
          <w:szCs w:val="18"/>
          <w:lang w:val="en-GB" w:eastAsia="ja-JP"/>
        </w:rPr>
        <w:t>Magyar Madártani és Természetvédelmi Egyesület</w:t>
      </w:r>
      <w:r w:rsidRPr="00C96521">
        <w:rPr>
          <w:rFonts w:eastAsia="MS Mincho" w:cs="Arial"/>
          <w:bCs/>
          <w:szCs w:val="18"/>
          <w:lang w:val="en-GB" w:eastAsia="ja-JP"/>
        </w:rPr>
        <w:t xml:space="preserve">, </w:t>
      </w:r>
      <w:r w:rsidRPr="00C96521">
        <w:rPr>
          <w:rFonts w:eastAsia="MS Mincho" w:cs="Arial" w:hint="eastAsia"/>
          <w:bCs/>
          <w:szCs w:val="18"/>
          <w:lang w:val="en-GB" w:eastAsia="ja-JP"/>
        </w:rPr>
        <w:t>Budapest</w:t>
      </w:r>
      <w:r w:rsidRPr="00C96521">
        <w:rPr>
          <w:rFonts w:eastAsia="MS Mincho" w:cs="Arial"/>
          <w:bCs/>
          <w:szCs w:val="18"/>
          <w:lang w:val="en-GB" w:eastAsia="ja-JP"/>
        </w:rPr>
        <w:t>.</w:t>
      </w:r>
    </w:p>
    <w:p w14:paraId="7F52D81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839806B" w14:textId="77777777" w:rsidR="00C96521" w:rsidRPr="00C96521" w:rsidRDefault="00C96521" w:rsidP="00C96521">
      <w:pPr>
        <w:widowControl/>
        <w:autoSpaceDE/>
        <w:autoSpaceDN/>
        <w:adjustRightInd/>
        <w:spacing w:line="276" w:lineRule="auto"/>
        <w:rPr>
          <w:rFonts w:eastAsia="MS Mincho" w:cs="Arial"/>
          <w:bCs/>
          <w:szCs w:val="18"/>
          <w:lang w:val="en-GB" w:eastAsia="ja-JP"/>
        </w:rPr>
      </w:pPr>
      <w:r w:rsidRPr="00890F11">
        <w:rPr>
          <w:rFonts w:eastAsia="MS Mincho" w:cs="Arial"/>
          <w:b/>
          <w:bCs/>
          <w:szCs w:val="18"/>
          <w:lang w:val="fr-FR" w:eastAsia="ja-JP"/>
        </w:rPr>
        <w:t>HANANE S (2011)</w:t>
      </w:r>
      <w:r w:rsidRPr="00890F11">
        <w:rPr>
          <w:rFonts w:eastAsia="MS Mincho" w:cs="Arial"/>
          <w:bCs/>
          <w:szCs w:val="18"/>
          <w:lang w:val="fr-FR" w:eastAsia="ja-JP"/>
        </w:rPr>
        <w:t xml:space="preserve"> La reproduction de la tourterelle des bois dans les vergers de Tadla (Maroc central). </w:t>
      </w:r>
      <w:r w:rsidRPr="00C96521">
        <w:rPr>
          <w:rFonts w:eastAsia="MS Mincho" w:cs="Arial"/>
          <w:bCs/>
          <w:i/>
          <w:szCs w:val="18"/>
          <w:lang w:val="en-GB" w:eastAsia="ja-JP"/>
        </w:rPr>
        <w:t>Faune sauvage</w:t>
      </w:r>
      <w:r w:rsidRPr="00C96521">
        <w:rPr>
          <w:rFonts w:eastAsia="MS Mincho" w:cs="Arial"/>
          <w:bCs/>
          <w:szCs w:val="18"/>
          <w:lang w:val="en-GB" w:eastAsia="ja-JP"/>
        </w:rPr>
        <w:t xml:space="preserve"> 293: 30-31. </w:t>
      </w:r>
    </w:p>
    <w:p w14:paraId="41003F0B"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417F6F59"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HANANE S (2012a)</w:t>
      </w:r>
      <w:r w:rsidRPr="00C96521">
        <w:rPr>
          <w:rFonts w:eastAsia="MS Mincho" w:cs="Arial"/>
          <w:szCs w:val="18"/>
          <w:lang w:val="en-GB" w:eastAsia="ja-JP"/>
        </w:rPr>
        <w:t xml:space="preserve"> Do age and type of plantings affect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nest placement in olive agro-ecosystems? </w:t>
      </w:r>
      <w:r w:rsidRPr="00890F11">
        <w:rPr>
          <w:rFonts w:eastAsia="MS Mincho" w:cs="Arial"/>
          <w:i/>
          <w:szCs w:val="18"/>
          <w:lang w:val="fr-FR" w:eastAsia="ja-JP"/>
        </w:rPr>
        <w:t>Ethology, Ecology and Evolution</w:t>
      </w:r>
      <w:r w:rsidRPr="00890F11">
        <w:rPr>
          <w:rFonts w:eastAsia="MS Mincho" w:cs="Arial"/>
          <w:szCs w:val="18"/>
          <w:lang w:val="fr-FR" w:eastAsia="ja-JP"/>
        </w:rPr>
        <w:t xml:space="preserve"> 24: 284-293. </w:t>
      </w:r>
    </w:p>
    <w:p w14:paraId="50DF87D1"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2A6A38A4" w14:textId="77777777" w:rsidR="00C96521" w:rsidRPr="00C96521" w:rsidRDefault="00C96521" w:rsidP="00C96521">
      <w:pPr>
        <w:widowControl/>
        <w:spacing w:line="276" w:lineRule="auto"/>
        <w:rPr>
          <w:rFonts w:eastAsia="MS Mincho" w:cs="Arial"/>
          <w:szCs w:val="18"/>
          <w:lang w:val="en-GB" w:eastAsia="ja-JP"/>
        </w:rPr>
      </w:pPr>
      <w:r w:rsidRPr="00890F11">
        <w:rPr>
          <w:rFonts w:eastAsia="MS Mincho" w:cs="Arial"/>
          <w:b/>
          <w:szCs w:val="18"/>
          <w:lang w:val="fr-FR" w:eastAsia="ja-JP"/>
        </w:rPr>
        <w:t xml:space="preserve">HANANE S (2012b) </w:t>
      </w:r>
      <w:r w:rsidRPr="00890F11">
        <w:rPr>
          <w:rFonts w:eastAsia="MS Mincho" w:cs="Arial"/>
          <w:szCs w:val="18"/>
          <w:lang w:val="fr-FR" w:eastAsia="ja-JP"/>
        </w:rPr>
        <w:t>Les périmètres irrigués du Maroc: une aubaine pour deux espèces d’oiseaux migrateurs, la tourterelle des bois (</w:t>
      </w:r>
      <w:r w:rsidRPr="00890F11">
        <w:rPr>
          <w:rFonts w:eastAsia="MS Mincho" w:cs="Arial"/>
          <w:i/>
          <w:szCs w:val="18"/>
          <w:lang w:val="fr-FR" w:eastAsia="ja-JP"/>
        </w:rPr>
        <w:t>Streptopelia turtur</w:t>
      </w:r>
      <w:r w:rsidRPr="00890F11">
        <w:rPr>
          <w:rFonts w:eastAsia="MS Mincho" w:cs="Arial"/>
          <w:szCs w:val="18"/>
          <w:lang w:val="fr-FR" w:eastAsia="ja-JP"/>
        </w:rPr>
        <w:t>) et la caille des blés (</w:t>
      </w:r>
      <w:r w:rsidRPr="00890F11">
        <w:rPr>
          <w:rFonts w:eastAsia="MS Mincho" w:cs="Arial"/>
          <w:i/>
          <w:szCs w:val="18"/>
          <w:lang w:val="fr-FR" w:eastAsia="ja-JP"/>
        </w:rPr>
        <w:t>Coturnix coturnix</w:t>
      </w:r>
      <w:r w:rsidRPr="00890F11">
        <w:rPr>
          <w:rFonts w:eastAsia="MS Mincho" w:cs="Arial"/>
          <w:szCs w:val="18"/>
          <w:lang w:val="fr-FR" w:eastAsia="ja-JP"/>
        </w:rPr>
        <w:t xml:space="preserve">). </w:t>
      </w:r>
      <w:r w:rsidRPr="00C96521">
        <w:rPr>
          <w:rFonts w:eastAsia="MS Mincho" w:cs="Arial"/>
          <w:i/>
          <w:szCs w:val="18"/>
          <w:lang w:val="en-GB" w:eastAsia="ja-JP"/>
        </w:rPr>
        <w:t>Revue d’Ecologie</w:t>
      </w:r>
      <w:r w:rsidRPr="00C96521">
        <w:rPr>
          <w:rFonts w:eastAsia="MS Mincho" w:cs="Arial"/>
          <w:szCs w:val="18"/>
          <w:lang w:val="en-GB" w:eastAsia="ja-JP"/>
        </w:rPr>
        <w:t xml:space="preserve"> 67: 3-11.</w:t>
      </w:r>
    </w:p>
    <w:p w14:paraId="480BABA4"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2C4980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 xml:space="preserve">HANANE S (2015) </w:t>
      </w:r>
      <w:r w:rsidRPr="00C96521">
        <w:rPr>
          <w:rFonts w:eastAsia="MS Mincho" w:cs="Arial"/>
          <w:szCs w:val="18"/>
          <w:lang w:val="en-GB" w:eastAsia="ja-JP"/>
        </w:rPr>
        <w:t xml:space="preserve">Nest-niche differentiation in two sympatric </w:t>
      </w:r>
      <w:r w:rsidRPr="00C96521">
        <w:rPr>
          <w:rFonts w:eastAsia="MS Mincho" w:cs="Arial"/>
          <w:i/>
          <w:szCs w:val="18"/>
          <w:lang w:val="en-GB" w:eastAsia="ja-JP"/>
        </w:rPr>
        <w:t>Streptopelia</w:t>
      </w:r>
      <w:r w:rsidRPr="00C96521">
        <w:rPr>
          <w:rFonts w:eastAsia="MS Mincho" w:cs="Arial"/>
          <w:szCs w:val="18"/>
          <w:lang w:val="en-GB" w:eastAsia="ja-JP"/>
        </w:rPr>
        <w:t xml:space="preserve"> species from a North African agricultural area: the role of human presence. </w:t>
      </w:r>
      <w:r w:rsidRPr="00C96521">
        <w:rPr>
          <w:rFonts w:eastAsia="MS Mincho" w:cs="Arial"/>
          <w:i/>
          <w:szCs w:val="18"/>
          <w:lang w:val="en-GB" w:eastAsia="ja-JP"/>
        </w:rPr>
        <w:t>Ecological Research</w:t>
      </w:r>
      <w:r w:rsidRPr="00C96521">
        <w:rPr>
          <w:rFonts w:eastAsia="MS Mincho" w:cs="Arial"/>
          <w:szCs w:val="18"/>
          <w:lang w:val="en-GB" w:eastAsia="ja-JP"/>
        </w:rPr>
        <w:t>, 30(4): 573-580.</w:t>
      </w:r>
    </w:p>
    <w:p w14:paraId="4B09427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D48E8F1"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HANANE S (2016a)</w:t>
      </w:r>
      <w:r w:rsidRPr="00C96521">
        <w:rPr>
          <w:rFonts w:eastAsia="MS Mincho" w:cs="Arial"/>
          <w:szCs w:val="18"/>
          <w:lang w:val="en-GB" w:eastAsia="ja-JP"/>
        </w:rPr>
        <w:t xml:space="preserve"> Effects of orchard type and breeding period on Turtle-dove nest density in irrigated agroecosystems. </w:t>
      </w:r>
      <w:r w:rsidRPr="00C96521">
        <w:rPr>
          <w:rFonts w:eastAsia="MS Mincho" w:cs="Arial"/>
          <w:i/>
          <w:szCs w:val="18"/>
          <w:lang w:val="en-GB" w:eastAsia="ja-JP"/>
        </w:rPr>
        <w:t>Bird Study 63(1)</w:t>
      </w:r>
      <w:r w:rsidRPr="00C96521">
        <w:rPr>
          <w:rFonts w:eastAsia="MS Mincho" w:cs="Arial"/>
          <w:szCs w:val="18"/>
          <w:lang w:val="en-GB" w:eastAsia="ja-JP"/>
        </w:rPr>
        <w:t>: 1-5.</w:t>
      </w:r>
    </w:p>
    <w:p w14:paraId="311D381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8FEDD8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HANANE S (2016b)</w:t>
      </w:r>
      <w:r w:rsidRPr="00C96521">
        <w:rPr>
          <w:rFonts w:eastAsia="MS Mincho" w:cs="Arial"/>
          <w:szCs w:val="18"/>
          <w:lang w:val="en-GB" w:eastAsia="ja-JP"/>
        </w:rPr>
        <w:t xml:space="preserve"> Effects of location, orchard type, laying period and nest position on the reproductive performance of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on intensively cultivated farmland. </w:t>
      </w:r>
      <w:r w:rsidRPr="00C96521">
        <w:rPr>
          <w:rFonts w:eastAsia="MS Mincho" w:cs="Arial"/>
          <w:i/>
          <w:szCs w:val="18"/>
          <w:lang w:val="en-GB" w:eastAsia="ja-JP"/>
        </w:rPr>
        <w:t>Avian Research</w:t>
      </w:r>
      <w:r w:rsidRPr="00C96521">
        <w:rPr>
          <w:rFonts w:eastAsia="MS Mincho" w:cs="Arial"/>
          <w:szCs w:val="18"/>
          <w:lang w:val="en-GB" w:eastAsia="ja-JP"/>
        </w:rPr>
        <w:t xml:space="preserve"> 7(4): 1-11.</w:t>
      </w:r>
    </w:p>
    <w:p w14:paraId="748606FE"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4C734E2" w14:textId="77777777" w:rsidR="00C96521" w:rsidRPr="00C96521" w:rsidRDefault="00C96521" w:rsidP="00C96521">
      <w:pPr>
        <w:widowControl/>
        <w:autoSpaceDE/>
        <w:autoSpaceDN/>
        <w:adjustRightInd/>
        <w:spacing w:line="276" w:lineRule="auto"/>
        <w:rPr>
          <w:rFonts w:eastAsia="MS Mincho" w:cs="Arial"/>
          <w:bCs/>
          <w:szCs w:val="18"/>
          <w:lang w:val="en-GB" w:eastAsia="ja-JP"/>
        </w:rPr>
      </w:pPr>
      <w:r w:rsidRPr="00C96521">
        <w:rPr>
          <w:rFonts w:eastAsia="MS Mincho" w:cs="Arial"/>
          <w:b/>
          <w:bCs/>
          <w:szCs w:val="18"/>
          <w:lang w:val="en-GB" w:eastAsia="ja-JP"/>
        </w:rPr>
        <w:t>HANANE S (2017)</w:t>
      </w:r>
      <w:r w:rsidRPr="00C96521">
        <w:rPr>
          <w:rFonts w:eastAsia="MS Mincho" w:cs="Arial"/>
          <w:bCs/>
          <w:szCs w:val="18"/>
          <w:lang w:val="en-GB" w:eastAsia="ja-JP"/>
        </w:rPr>
        <w:t xml:space="preserve"> The European Turtle-dove </w:t>
      </w:r>
      <w:r w:rsidRPr="00C96521">
        <w:rPr>
          <w:rFonts w:eastAsia="MS Mincho" w:cs="Arial"/>
          <w:bCs/>
          <w:i/>
          <w:szCs w:val="18"/>
          <w:lang w:val="en-GB" w:eastAsia="ja-JP"/>
        </w:rPr>
        <w:t>Streptopelia turtur</w:t>
      </w:r>
      <w:r w:rsidRPr="00C96521">
        <w:rPr>
          <w:rFonts w:eastAsia="MS Mincho" w:cs="Arial"/>
          <w:bCs/>
          <w:szCs w:val="18"/>
          <w:lang w:val="en-GB" w:eastAsia="ja-JP"/>
        </w:rPr>
        <w:t xml:space="preserve"> in northwest Africa: A review of current knowledge and priorities for future research. </w:t>
      </w:r>
      <w:r w:rsidRPr="00C96521">
        <w:rPr>
          <w:rFonts w:eastAsia="MS Mincho" w:cs="Arial"/>
          <w:bCs/>
          <w:i/>
          <w:szCs w:val="18"/>
          <w:lang w:val="en-GB" w:eastAsia="ja-JP"/>
        </w:rPr>
        <w:t>Ardeola</w:t>
      </w:r>
      <w:r w:rsidRPr="00C96521">
        <w:rPr>
          <w:rFonts w:eastAsia="MS Mincho" w:cs="Arial"/>
          <w:bCs/>
          <w:szCs w:val="18"/>
          <w:lang w:val="en-GB" w:eastAsia="ja-JP"/>
        </w:rPr>
        <w:t>, 64(2): 273-287.</w:t>
      </w:r>
    </w:p>
    <w:p w14:paraId="7944B09E"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5B389A8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HANANE S and BAAMAL L (2011)</w:t>
      </w:r>
      <w:r w:rsidRPr="00C96521">
        <w:rPr>
          <w:rFonts w:eastAsia="MS Mincho" w:cs="Arial"/>
          <w:szCs w:val="18"/>
          <w:lang w:val="en-GB" w:eastAsia="ja-JP"/>
        </w:rPr>
        <w:t xml:space="preserve"> Are Moroccan fruit orchards suitable breeding habitats for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Bird Study</w:t>
      </w:r>
      <w:r w:rsidRPr="00C96521">
        <w:rPr>
          <w:rFonts w:eastAsia="MS Mincho" w:cs="Arial"/>
          <w:szCs w:val="18"/>
          <w:lang w:val="en-GB" w:eastAsia="ja-JP"/>
        </w:rPr>
        <w:t xml:space="preserve"> 58: 57-67.</w:t>
      </w:r>
    </w:p>
    <w:p w14:paraId="258D1412"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047C703"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 xml:space="preserve">HANANE S and BESNARD A (2014) </w:t>
      </w:r>
      <w:r w:rsidRPr="00C96521">
        <w:rPr>
          <w:rFonts w:eastAsia="MS Mincho" w:cs="Arial"/>
          <w:szCs w:val="18"/>
          <w:lang w:val="en-GB" w:eastAsia="ja-JP"/>
        </w:rPr>
        <w:t xml:space="preserve">Are nest-detection probability methods relevant for estimating turtle-dove breeding populations? A case study in Moroccan agroecosystems. </w:t>
      </w:r>
      <w:r w:rsidRPr="00C96521">
        <w:rPr>
          <w:rFonts w:eastAsia="MS Mincho" w:cs="Arial"/>
          <w:i/>
          <w:szCs w:val="18"/>
          <w:lang w:val="en-GB" w:eastAsia="ja-JP"/>
        </w:rPr>
        <w:t>European Journal of Wildlife Research</w:t>
      </w:r>
      <w:r w:rsidRPr="00C96521">
        <w:rPr>
          <w:rFonts w:eastAsia="MS Mincho" w:cs="Arial"/>
          <w:szCs w:val="18"/>
          <w:lang w:val="en-GB" w:eastAsia="ja-JP"/>
        </w:rPr>
        <w:t xml:space="preserve"> 60: 673-680.</w:t>
      </w:r>
    </w:p>
    <w:p w14:paraId="4CAA9B13"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80C11B3"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 xml:space="preserve">HANANE S and YASSIN M (2017) </w:t>
      </w:r>
      <w:r w:rsidRPr="00C96521">
        <w:rPr>
          <w:rFonts w:eastAsia="MS Mincho" w:cs="Arial"/>
          <w:szCs w:val="18"/>
          <w:lang w:val="en-GB" w:eastAsia="ja-JP"/>
        </w:rPr>
        <w:t xml:space="preserve">Nest-niche differentiation in two sympatric columbid species from a Mediterranean Tetraclinis woodland: Considerations for forest management. </w:t>
      </w:r>
      <w:r w:rsidRPr="00C96521">
        <w:rPr>
          <w:rFonts w:eastAsia="MS Mincho" w:cs="Arial"/>
          <w:i/>
          <w:szCs w:val="18"/>
          <w:lang w:val="en-GB" w:eastAsia="ja-JP"/>
        </w:rPr>
        <w:t>Acta Oecologica</w:t>
      </w:r>
      <w:r w:rsidRPr="00C96521">
        <w:rPr>
          <w:rFonts w:eastAsia="MS Mincho" w:cs="Arial"/>
          <w:szCs w:val="18"/>
          <w:lang w:val="en-GB" w:eastAsia="ja-JP"/>
        </w:rPr>
        <w:t xml:space="preserve"> 78: 47-52.</w:t>
      </w:r>
    </w:p>
    <w:p w14:paraId="120FEC27"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7E34BC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HANDRINOS G and AKRIOTIS T (1997)</w:t>
      </w:r>
      <w:r w:rsidRPr="00C96521">
        <w:rPr>
          <w:rFonts w:eastAsia="MS Mincho" w:cs="Arial"/>
          <w:szCs w:val="18"/>
          <w:lang w:val="en-GB" w:eastAsia="ja-JP"/>
        </w:rPr>
        <w:t xml:space="preserve"> </w:t>
      </w:r>
      <w:r w:rsidRPr="00C96521">
        <w:rPr>
          <w:rFonts w:eastAsia="MS Mincho" w:cs="Arial"/>
          <w:i/>
          <w:szCs w:val="18"/>
          <w:lang w:val="en-GB" w:eastAsia="ja-JP"/>
        </w:rPr>
        <w:t>The Birds of Greece</w:t>
      </w:r>
      <w:r w:rsidRPr="00C96521">
        <w:rPr>
          <w:rFonts w:eastAsia="MS Mincho" w:cs="Arial"/>
          <w:szCs w:val="18"/>
          <w:lang w:val="en-GB" w:eastAsia="ja-JP"/>
        </w:rPr>
        <w:t>. Christopher Helm, London.</w:t>
      </w:r>
    </w:p>
    <w:p w14:paraId="35DE6F8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1685E6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HARRIS SJ, MASSIMINO D, NEWSON SE, EATON MA, MARCHANT JH, BALMER DE, NOBLE DG, GILLINGS S, PROCTER D. and PEARCE-HIGGINS JW (2016) </w:t>
      </w:r>
      <w:r w:rsidRPr="00C96521">
        <w:rPr>
          <w:rFonts w:eastAsia="MS Mincho" w:cs="Arial"/>
          <w:i/>
          <w:szCs w:val="18"/>
          <w:lang w:val="en-GB" w:eastAsia="ja-JP"/>
        </w:rPr>
        <w:t>The Breeding Bird Survey 2015.</w:t>
      </w:r>
      <w:r w:rsidRPr="00C96521">
        <w:rPr>
          <w:rFonts w:eastAsia="MS Mincho" w:cs="Arial"/>
          <w:szCs w:val="18"/>
          <w:lang w:val="en-GB" w:eastAsia="ja-JP"/>
        </w:rPr>
        <w:t xml:space="preserve"> </w:t>
      </w:r>
      <w:r w:rsidRPr="00C96521">
        <w:rPr>
          <w:rFonts w:eastAsia="MS Mincho" w:cs="Arial"/>
          <w:i/>
          <w:szCs w:val="18"/>
          <w:lang w:val="en-GB" w:eastAsia="ja-JP"/>
        </w:rPr>
        <w:t>BTO Research Report 687</w:t>
      </w:r>
      <w:r w:rsidRPr="00C96521">
        <w:rPr>
          <w:rFonts w:eastAsia="MS Mincho" w:cs="Arial"/>
          <w:szCs w:val="18"/>
          <w:lang w:val="en-GB" w:eastAsia="ja-JP"/>
        </w:rPr>
        <w:t>. British Trust for Ornithology, Thetford.</w:t>
      </w:r>
    </w:p>
    <w:p w14:paraId="0BFAC4FA"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2E6374B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HELLICAR M (2016)</w:t>
      </w:r>
      <w:r w:rsidRPr="00C96521">
        <w:rPr>
          <w:rFonts w:eastAsia="MS Mincho" w:cs="Arial"/>
          <w:szCs w:val="18"/>
          <w:lang w:val="en-GB" w:eastAsia="ja-JP"/>
        </w:rPr>
        <w:t xml:space="preserve"> </w:t>
      </w:r>
      <w:r w:rsidRPr="00C96521">
        <w:rPr>
          <w:rFonts w:eastAsia="MS Mincho" w:cs="Arial"/>
          <w:i/>
          <w:szCs w:val="18"/>
          <w:lang w:val="en-GB" w:eastAsia="ja-JP"/>
        </w:rPr>
        <w:t xml:space="preserve">Status of Common Birds in Cyprus, 2015. Ten years of the BirdLife Cyprus Common Birds Monitoring </w:t>
      </w:r>
      <w:r w:rsidRPr="00C96521">
        <w:rPr>
          <w:rFonts w:eastAsia="MS Mincho" w:cs="Arial"/>
          <w:szCs w:val="18"/>
          <w:lang w:val="en-GB" w:eastAsia="ja-JP"/>
        </w:rPr>
        <w:t>Scheme</w:t>
      </w:r>
      <w:r w:rsidRPr="00C96521">
        <w:rPr>
          <w:rFonts w:eastAsia="MS Mincho" w:cs="Arial"/>
          <w:i/>
          <w:szCs w:val="18"/>
          <w:lang w:val="en-GB" w:eastAsia="ja-JP"/>
        </w:rPr>
        <w:t xml:space="preserve"> (CBMS), 2006-2015: Population trends and population size estimates for Cyprus common breeding birds</w:t>
      </w:r>
      <w:r w:rsidRPr="00C96521">
        <w:rPr>
          <w:rFonts w:eastAsia="MS Mincho" w:cs="Arial"/>
          <w:szCs w:val="18"/>
          <w:lang w:val="en-GB" w:eastAsia="ja-JP"/>
        </w:rPr>
        <w:t>. BirdLife Cyprus, Nicosia.</w:t>
      </w:r>
    </w:p>
    <w:p w14:paraId="3880D49D"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41695FD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HENDERSON IG, COOPER J, FULLER RJ and VICKERY J (2000) </w:t>
      </w:r>
      <w:r w:rsidRPr="00C96521">
        <w:rPr>
          <w:rFonts w:eastAsia="MS Mincho" w:cs="Arial"/>
          <w:szCs w:val="18"/>
          <w:lang w:val="en-GB" w:eastAsia="ja-JP"/>
        </w:rPr>
        <w:t xml:space="preserve">The relative abundance of birds on set-aside and neighbouring fields in summer. </w:t>
      </w:r>
      <w:r w:rsidRPr="00C96521">
        <w:rPr>
          <w:rFonts w:eastAsia="MS Mincho" w:cs="Arial"/>
          <w:i/>
          <w:szCs w:val="18"/>
          <w:lang w:val="en-GB" w:eastAsia="ja-JP"/>
        </w:rPr>
        <w:t>Journal of Applied Ecology</w:t>
      </w:r>
      <w:r w:rsidRPr="00C96521">
        <w:rPr>
          <w:rFonts w:eastAsia="MS Mincho" w:cs="Arial"/>
          <w:szCs w:val="18"/>
          <w:lang w:val="en-GB" w:eastAsia="ja-JP"/>
        </w:rPr>
        <w:t xml:space="preserve"> 37: 335-347.</w:t>
      </w:r>
    </w:p>
    <w:p w14:paraId="028F1FB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7C06A13" w14:textId="77777777" w:rsidR="00C96521" w:rsidRPr="00965D7D"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 xml:space="preserve">HENDERSON IG and EVANS AD (2000) </w:t>
      </w:r>
      <w:r w:rsidRPr="00C96521">
        <w:rPr>
          <w:rFonts w:eastAsia="MS Mincho" w:cs="Arial"/>
          <w:szCs w:val="18"/>
          <w:lang w:val="en-GB" w:eastAsia="ja-JP"/>
        </w:rPr>
        <w:t xml:space="preserve">Responses of farmland birds to set-aside and its management. In AEBISCHER NJ, EVANS AD, GRICE PV and VICKERY JA, </w:t>
      </w:r>
      <w:r w:rsidRPr="00C96521">
        <w:rPr>
          <w:rFonts w:eastAsia="MS Mincho" w:cs="Arial"/>
          <w:i/>
          <w:szCs w:val="18"/>
          <w:lang w:val="en-GB" w:eastAsia="ja-JP"/>
        </w:rPr>
        <w:t>Ecology and Conservation of Lowland Farmland Birds</w:t>
      </w:r>
      <w:r w:rsidRPr="00C96521">
        <w:rPr>
          <w:rFonts w:eastAsia="MS Mincho" w:cs="Arial"/>
          <w:szCs w:val="18"/>
          <w:lang w:val="en-GB" w:eastAsia="ja-JP"/>
        </w:rPr>
        <w:t xml:space="preserve">, pp 339-422. </w:t>
      </w:r>
      <w:r w:rsidRPr="00965D7D">
        <w:rPr>
          <w:rFonts w:eastAsia="MS Mincho" w:cs="Arial"/>
          <w:szCs w:val="18"/>
          <w:lang w:val="fr-FR" w:eastAsia="ja-JP"/>
        </w:rPr>
        <w:t>British Ornithologists’ Union, Tring.</w:t>
      </w:r>
    </w:p>
    <w:p w14:paraId="3BB23665" w14:textId="77777777" w:rsidR="00C96521" w:rsidRPr="00965D7D" w:rsidRDefault="00C96521" w:rsidP="00C96521">
      <w:pPr>
        <w:widowControl/>
        <w:autoSpaceDE/>
        <w:autoSpaceDN/>
        <w:adjustRightInd/>
        <w:spacing w:line="276" w:lineRule="auto"/>
        <w:rPr>
          <w:rFonts w:eastAsia="MS Mincho" w:cs="Arial"/>
          <w:b/>
          <w:szCs w:val="18"/>
          <w:lang w:val="fr-FR" w:eastAsia="ja-JP"/>
        </w:rPr>
      </w:pPr>
    </w:p>
    <w:p w14:paraId="3EDD82DA"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965D7D">
        <w:rPr>
          <w:rFonts w:eastAsia="MS Mincho" w:cs="Arial"/>
          <w:b/>
          <w:szCs w:val="18"/>
          <w:lang w:val="fr-FR" w:eastAsia="ja-JP"/>
        </w:rPr>
        <w:t>HIDALGO DE TRUCIOS SJ &amp; ROCHA CAMARERO G (2001a)</w:t>
      </w:r>
      <w:r w:rsidRPr="00965D7D">
        <w:rPr>
          <w:rFonts w:eastAsia="MS Mincho" w:cs="Arial"/>
          <w:szCs w:val="18"/>
          <w:lang w:val="fr-FR" w:eastAsia="ja-JP"/>
        </w:rPr>
        <w:t xml:space="preserve"> Status de la Tourterelle des bois </w:t>
      </w:r>
      <w:r w:rsidRPr="00965D7D">
        <w:rPr>
          <w:rFonts w:eastAsia="MS Mincho" w:cs="Arial"/>
          <w:i/>
          <w:szCs w:val="18"/>
          <w:lang w:val="fr-FR" w:eastAsia="ja-JP"/>
        </w:rPr>
        <w:t>Streptopelia turtur</w:t>
      </w:r>
      <w:r w:rsidRPr="00965D7D">
        <w:rPr>
          <w:rFonts w:eastAsia="MS Mincho" w:cs="Arial"/>
          <w:szCs w:val="18"/>
          <w:lang w:val="fr-FR" w:eastAsia="ja-JP"/>
        </w:rPr>
        <w:t xml:space="preserve"> en Estrémadura (Espagne). </w:t>
      </w:r>
      <w:r w:rsidRPr="00890F11">
        <w:rPr>
          <w:rFonts w:eastAsia="MS Mincho" w:cs="Arial"/>
          <w:szCs w:val="18"/>
          <w:lang w:val="es-ES" w:eastAsia="ja-JP"/>
        </w:rPr>
        <w:t xml:space="preserve">Incidence sur la chasse. </w:t>
      </w:r>
      <w:r w:rsidRPr="00890F11">
        <w:rPr>
          <w:rFonts w:eastAsia="MS Mincho" w:cs="Arial"/>
          <w:i/>
          <w:szCs w:val="18"/>
          <w:lang w:val="es-ES" w:eastAsia="ja-JP"/>
        </w:rPr>
        <w:t>Faune Sauvage</w:t>
      </w:r>
      <w:r w:rsidRPr="00890F11">
        <w:rPr>
          <w:rFonts w:eastAsia="MS Mincho" w:cs="Arial"/>
          <w:szCs w:val="18"/>
          <w:lang w:val="es-ES" w:eastAsia="ja-JP"/>
        </w:rPr>
        <w:t xml:space="preserve"> 253: 82-85.</w:t>
      </w:r>
    </w:p>
    <w:p w14:paraId="52F1CDF2"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21769435"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HIDALGO DE TRUCIOS SJ and ROCHA CAMARERO G (2001b)</w:t>
      </w:r>
      <w:r w:rsidRPr="00890F11">
        <w:rPr>
          <w:rFonts w:eastAsia="MS Mincho" w:cs="Arial"/>
          <w:szCs w:val="18"/>
          <w:lang w:val="es-ES" w:eastAsia="ja-JP"/>
        </w:rPr>
        <w:t xml:space="preserve"> Valoración de la presión cinegética sobre la Tórtola Común en Extremadura. </w:t>
      </w:r>
      <w:r w:rsidRPr="00890F11">
        <w:rPr>
          <w:rFonts w:eastAsia="MS Mincho" w:cs="Arial"/>
          <w:i/>
          <w:szCs w:val="18"/>
          <w:lang w:val="es-ES" w:eastAsia="ja-JP"/>
        </w:rPr>
        <w:t>Naturzale</w:t>
      </w:r>
      <w:r w:rsidRPr="00890F11">
        <w:rPr>
          <w:rFonts w:eastAsia="MS Mincho" w:cs="Arial"/>
          <w:szCs w:val="18"/>
          <w:lang w:val="es-ES" w:eastAsia="ja-JP"/>
        </w:rPr>
        <w:t xml:space="preserve"> 16: 157-171.</w:t>
      </w:r>
    </w:p>
    <w:p w14:paraId="5D20802E"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42E25720"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lastRenderedPageBreak/>
        <w:t>HIDALGO DE TRUCIOS SJ and ROCHA CAMARERO G (2002)</w:t>
      </w:r>
      <w:r w:rsidRPr="00890F11">
        <w:rPr>
          <w:rFonts w:eastAsia="MS Mincho" w:cs="Arial"/>
          <w:szCs w:val="18"/>
          <w:lang w:val="es-ES" w:eastAsia="ja-JP"/>
        </w:rPr>
        <w:t xml:space="preserve"> ¿Qué está pasando en realidad con la Tórtola Común? </w:t>
      </w:r>
      <w:r w:rsidRPr="00890F11">
        <w:rPr>
          <w:rFonts w:eastAsia="MS Mincho" w:cs="Arial"/>
          <w:i/>
          <w:szCs w:val="18"/>
          <w:lang w:val="es-ES" w:eastAsia="ja-JP"/>
        </w:rPr>
        <w:t>Euskonews &amp; Media</w:t>
      </w:r>
      <w:r w:rsidRPr="00890F11">
        <w:rPr>
          <w:rFonts w:eastAsia="MS Mincho" w:cs="Arial"/>
          <w:szCs w:val="18"/>
          <w:lang w:val="es-ES" w:eastAsia="ja-JP"/>
        </w:rPr>
        <w:t>184: 18-25.</w:t>
      </w:r>
    </w:p>
    <w:p w14:paraId="00354E7B"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18106EB9"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HIDALGO DE TRUCIOS SJ and ROCHA CAMARERO G (2003)</w:t>
      </w:r>
      <w:r w:rsidRPr="00890F11">
        <w:rPr>
          <w:rFonts w:eastAsia="MS Mincho" w:cs="Arial"/>
          <w:szCs w:val="18"/>
          <w:lang w:val="es-ES" w:eastAsia="ja-JP"/>
        </w:rPr>
        <w:t xml:space="preserve"> La Caza de la Tórtola Común como actividad sostenible. In: </w:t>
      </w:r>
      <w:r w:rsidRPr="00890F11">
        <w:rPr>
          <w:rFonts w:eastAsia="MS Mincho" w:cs="Arial"/>
          <w:i/>
          <w:szCs w:val="18"/>
          <w:lang w:val="es-ES" w:eastAsia="ja-JP"/>
        </w:rPr>
        <w:t>Conservación, explotación y comercialización de los espacios cinegéticos</w:t>
      </w:r>
      <w:r w:rsidRPr="00890F11">
        <w:rPr>
          <w:rFonts w:eastAsia="MS Mincho" w:cs="Arial"/>
          <w:szCs w:val="18"/>
          <w:lang w:val="es-ES" w:eastAsia="ja-JP"/>
        </w:rPr>
        <w:t>. Editado por el Centro de Desarrollo Rural Campiña Sur. pp135-149.</w:t>
      </w:r>
    </w:p>
    <w:p w14:paraId="49745EDD"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10681A36"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HIDALGO DE TRUCIOS SJ and ROCHA CAMARERO G (2005)</w:t>
      </w:r>
      <w:r w:rsidRPr="00890F11">
        <w:rPr>
          <w:rFonts w:eastAsia="MS Mincho" w:cs="Arial"/>
          <w:szCs w:val="18"/>
          <w:lang w:val="es-ES" w:eastAsia="ja-JP"/>
        </w:rPr>
        <w:t xml:space="preserve"> Revisión del Status de la Tórtola Común </w:t>
      </w:r>
      <w:r w:rsidRPr="00890F11">
        <w:rPr>
          <w:rFonts w:eastAsia="MS Mincho" w:cs="Arial"/>
          <w:i/>
          <w:szCs w:val="18"/>
          <w:lang w:val="es-ES" w:eastAsia="ja-JP"/>
        </w:rPr>
        <w:t>Streptopelia turtur</w:t>
      </w:r>
      <w:r w:rsidRPr="00890F11">
        <w:rPr>
          <w:rFonts w:eastAsia="MS Mincho" w:cs="Arial"/>
          <w:szCs w:val="18"/>
          <w:lang w:val="es-ES" w:eastAsia="ja-JP"/>
        </w:rPr>
        <w:t xml:space="preserve"> en Extremadura, implicaciones en su Conservación. In: LÓPEZ CABALLERO JM (ed) </w:t>
      </w:r>
      <w:r w:rsidRPr="00890F11">
        <w:rPr>
          <w:rFonts w:eastAsia="MS Mincho" w:cs="Arial"/>
          <w:i/>
          <w:szCs w:val="18"/>
          <w:lang w:val="es-ES" w:eastAsia="ja-JP"/>
        </w:rPr>
        <w:t>Conservación de la naturaleza en Extremadura.</w:t>
      </w:r>
      <w:r w:rsidRPr="00890F11">
        <w:rPr>
          <w:rFonts w:eastAsia="MS Mincho" w:cs="Arial"/>
          <w:szCs w:val="18"/>
          <w:lang w:val="es-ES" w:eastAsia="ja-JP"/>
        </w:rPr>
        <w:t>Publica Consejería de Agricultura y Medio Ambiente, Junta de Extremadura, Mérida. pp 427--433.</w:t>
      </w:r>
    </w:p>
    <w:p w14:paraId="04C25214"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2DD36F2E" w14:textId="77777777" w:rsidR="00C96521" w:rsidRPr="00C96521" w:rsidRDefault="00C96521" w:rsidP="00C96521">
      <w:pPr>
        <w:widowControl/>
        <w:spacing w:line="276" w:lineRule="auto"/>
        <w:rPr>
          <w:rFonts w:eastAsia="MS Mincho" w:cs="Arial"/>
          <w:szCs w:val="18"/>
          <w:lang w:val="en-GB" w:eastAsia="ja-JP"/>
        </w:rPr>
      </w:pPr>
      <w:r w:rsidRPr="00890F11">
        <w:rPr>
          <w:rFonts w:eastAsia="MS Mincho" w:cs="Arial"/>
          <w:b/>
          <w:szCs w:val="18"/>
          <w:lang w:val="es-ES" w:eastAsia="ja-JP"/>
        </w:rPr>
        <w:t>HIDALGO DE TRUCIOS SJ (2007)</w:t>
      </w:r>
      <w:r w:rsidRPr="00890F11">
        <w:rPr>
          <w:rFonts w:eastAsia="MS Mincho" w:cs="Arial"/>
          <w:szCs w:val="18"/>
          <w:lang w:val="es-ES" w:eastAsia="ja-JP"/>
        </w:rPr>
        <w:t xml:space="preserve"> Capítulo 6. Certificación de Calidad Cinegética en Áreas Agrícolas y Esteparias. In: CARRANZA J and VARGAS JM (eds) </w:t>
      </w:r>
      <w:r w:rsidRPr="00890F11">
        <w:rPr>
          <w:rFonts w:eastAsia="MS Mincho" w:cs="Arial"/>
          <w:i/>
          <w:szCs w:val="18"/>
          <w:lang w:val="es-ES" w:eastAsia="ja-JP"/>
        </w:rPr>
        <w:t>Criterios para la Certificación de la Calidad Cinegética en España.</w:t>
      </w:r>
      <w:r w:rsidRPr="00890F11">
        <w:rPr>
          <w:rFonts w:eastAsia="MS Mincho" w:cs="Arial"/>
          <w:szCs w:val="18"/>
          <w:lang w:val="es-ES" w:eastAsia="ja-JP"/>
        </w:rPr>
        <w:t xml:space="preserve"> </w:t>
      </w:r>
      <w:r w:rsidRPr="00C96521">
        <w:rPr>
          <w:rFonts w:eastAsia="MS Mincho" w:cs="Arial"/>
          <w:szCs w:val="18"/>
          <w:lang w:val="en-GB" w:eastAsia="ja-JP"/>
        </w:rPr>
        <w:t>Universidad Extremadura, Servicio de Publicaciones, Cáceres. pp 45-51.</w:t>
      </w:r>
    </w:p>
    <w:p w14:paraId="235D0E1B" w14:textId="77777777" w:rsidR="00C96521" w:rsidRPr="00C96521" w:rsidRDefault="00C96521" w:rsidP="00C96521">
      <w:pPr>
        <w:widowControl/>
        <w:spacing w:line="276" w:lineRule="auto"/>
        <w:rPr>
          <w:rFonts w:eastAsia="MS Mincho" w:cs="Arial"/>
          <w:b/>
          <w:bCs/>
          <w:szCs w:val="18"/>
          <w:lang w:val="en-GB" w:eastAsia="ja-JP"/>
        </w:rPr>
      </w:pPr>
    </w:p>
    <w:p w14:paraId="43F2E5D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HILL D (1992)</w:t>
      </w:r>
      <w:r w:rsidRPr="00C96521">
        <w:rPr>
          <w:rFonts w:eastAsia="MS Mincho" w:cs="Arial"/>
          <w:bCs/>
          <w:szCs w:val="18"/>
          <w:lang w:val="en-GB" w:eastAsia="ja-JP"/>
        </w:rPr>
        <w:t xml:space="preserve"> </w:t>
      </w:r>
      <w:r w:rsidRPr="00C96521">
        <w:rPr>
          <w:rFonts w:eastAsia="MS Mincho" w:cs="Arial"/>
          <w:i/>
          <w:szCs w:val="18"/>
          <w:lang w:val="en-GB" w:eastAsia="ja-JP"/>
        </w:rPr>
        <w:t>Assessment of the population dynamics of Turtle-dove in EC countries</w:t>
      </w:r>
      <w:r w:rsidRPr="00C96521">
        <w:rPr>
          <w:rFonts w:eastAsia="MS Mincho" w:cs="Arial"/>
          <w:szCs w:val="18"/>
          <w:lang w:val="en-GB" w:eastAsia="ja-JP"/>
        </w:rPr>
        <w:t>. Report DGXI: 12.</w:t>
      </w:r>
    </w:p>
    <w:p w14:paraId="5868669C"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8355207"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 xml:space="preserve">HIRSCHFELD A and HEYD A (2005) </w:t>
      </w:r>
      <w:r w:rsidRPr="00C96521">
        <w:rPr>
          <w:rFonts w:eastAsia="MS Mincho" w:cs="Arial"/>
          <w:szCs w:val="18"/>
          <w:lang w:val="en-GB" w:eastAsia="ja-JP"/>
        </w:rPr>
        <w:t xml:space="preserve">Mortality of migratory birds caused by hunting in Europe: bag statistics and proposals for the conservation of birds and animal welfare. </w:t>
      </w:r>
      <w:r w:rsidRPr="00C96521">
        <w:rPr>
          <w:rFonts w:eastAsia="MS Mincho" w:cs="Arial"/>
          <w:i/>
          <w:szCs w:val="18"/>
          <w:lang w:val="en-GB" w:eastAsia="ja-JP"/>
        </w:rPr>
        <w:t>Berichte zum Vogelschutz</w:t>
      </w:r>
      <w:r w:rsidRPr="00C96521">
        <w:rPr>
          <w:rFonts w:eastAsia="MS Mincho" w:cs="Arial"/>
          <w:szCs w:val="18"/>
          <w:lang w:val="en-GB" w:eastAsia="ja-JP"/>
        </w:rPr>
        <w:t xml:space="preserve"> 42: 47-74</w:t>
      </w:r>
    </w:p>
    <w:p w14:paraId="7098AAD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BDEBAD8"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HODGE I, READER M, REVOREDO C, CRABTREE R, TUCKER G and KING T (2006)</w:t>
      </w:r>
      <w:r w:rsidRPr="00C96521">
        <w:rPr>
          <w:rFonts w:eastAsia="MS Mincho" w:cs="Arial"/>
          <w:szCs w:val="18"/>
          <w:lang w:val="en-GB" w:eastAsia="ja-JP"/>
        </w:rPr>
        <w:t xml:space="preserve"> </w:t>
      </w:r>
      <w:r w:rsidRPr="00C96521">
        <w:rPr>
          <w:rFonts w:eastAsia="MS Mincho" w:cs="Arial"/>
          <w:i/>
          <w:szCs w:val="18"/>
          <w:lang w:val="en-GB" w:eastAsia="ja-JP"/>
        </w:rPr>
        <w:t>Project to assess future options for set-aside – Final Report for the Department for Environment, Food and Rural Affairs</w:t>
      </w:r>
      <w:r w:rsidRPr="00C96521">
        <w:rPr>
          <w:rFonts w:eastAsia="MS Mincho" w:cs="Arial"/>
          <w:szCs w:val="18"/>
          <w:lang w:val="en-GB" w:eastAsia="ja-JP"/>
        </w:rPr>
        <w:t xml:space="preserve">. University of Cambridge, Department of Land Economy. </w:t>
      </w:r>
    </w:p>
    <w:p w14:paraId="1AB2C7EA"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7AC0E8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HRISTOV I (2015)</w:t>
      </w:r>
      <w:r w:rsidRPr="00C96521">
        <w:rPr>
          <w:rFonts w:eastAsia="MS Mincho" w:cs="Arial"/>
          <w:szCs w:val="18"/>
          <w:lang w:val="en-GB" w:eastAsia="ja-JP"/>
        </w:rPr>
        <w:t xml:space="preserve"> </w:t>
      </w:r>
      <w:r w:rsidRPr="00C96521">
        <w:rPr>
          <w:rFonts w:eastAsia="MS Mincho" w:cs="Arial"/>
          <w:i/>
          <w:szCs w:val="18"/>
          <w:lang w:val="en-GB" w:eastAsia="ja-JP"/>
        </w:rPr>
        <w:t>The State of Common Birds in Bulgaria 2005-2015</w:t>
      </w:r>
      <w:r w:rsidRPr="00C96521">
        <w:rPr>
          <w:rFonts w:eastAsia="MS Mincho" w:cs="Arial"/>
          <w:szCs w:val="18"/>
          <w:lang w:val="en-GB" w:eastAsia="ja-JP"/>
        </w:rPr>
        <w:t>. Conservation series 31. BSPB, Sofia.</w:t>
      </w:r>
    </w:p>
    <w:p w14:paraId="7EB57B65"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134BE0A8" w14:textId="77777777" w:rsidR="00C96521" w:rsidRPr="00890F11" w:rsidRDefault="00C96521" w:rsidP="00C96521">
      <w:pPr>
        <w:widowControl/>
        <w:autoSpaceDE/>
        <w:autoSpaceDN/>
        <w:adjustRightInd/>
        <w:spacing w:line="276" w:lineRule="auto"/>
        <w:rPr>
          <w:rFonts w:eastAsia="MS Mincho" w:cs="Arial"/>
          <w:b/>
          <w:szCs w:val="18"/>
          <w:lang w:val="es-ES" w:eastAsia="ja-JP"/>
        </w:rPr>
      </w:pPr>
      <w:r w:rsidRPr="00C96521">
        <w:rPr>
          <w:rFonts w:eastAsia="MS Mincho" w:cs="Arial"/>
          <w:b/>
          <w:szCs w:val="18"/>
          <w:lang w:val="en-GB" w:eastAsia="ja-JP"/>
        </w:rPr>
        <w:t>IANKOV P (2007)</w:t>
      </w:r>
      <w:r w:rsidRPr="00C96521">
        <w:rPr>
          <w:rFonts w:eastAsia="MS Mincho" w:cs="Arial"/>
          <w:szCs w:val="18"/>
          <w:lang w:val="en-GB" w:eastAsia="ja-JP"/>
        </w:rPr>
        <w:t xml:space="preserve"> </w:t>
      </w:r>
      <w:r w:rsidRPr="00C96521">
        <w:rPr>
          <w:rFonts w:eastAsia="MS Mincho" w:cs="Arial"/>
          <w:i/>
          <w:szCs w:val="18"/>
          <w:lang w:val="en-GB" w:eastAsia="ja-JP"/>
        </w:rPr>
        <w:t>Atlas of Breeding Birds in Bulgaria</w:t>
      </w:r>
      <w:r w:rsidRPr="00C96521">
        <w:rPr>
          <w:rFonts w:eastAsia="MS Mincho" w:cs="Arial"/>
          <w:szCs w:val="18"/>
          <w:lang w:val="en-GB" w:eastAsia="ja-JP"/>
        </w:rPr>
        <w:t xml:space="preserve">. Bulgarian Society for the Protection of Birds, Conservation Series 10. </w:t>
      </w:r>
      <w:r w:rsidRPr="00890F11">
        <w:rPr>
          <w:rFonts w:eastAsia="MS Mincho" w:cs="Arial"/>
          <w:szCs w:val="18"/>
          <w:lang w:val="es-ES" w:eastAsia="ja-JP"/>
        </w:rPr>
        <w:t>BSPB, Sofia.</w:t>
      </w:r>
    </w:p>
    <w:p w14:paraId="60F65662"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655CE722"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ICO (2016)</w:t>
      </w:r>
      <w:r w:rsidRPr="00890F11">
        <w:rPr>
          <w:rFonts w:eastAsia="MS Mincho" w:cs="Arial"/>
          <w:szCs w:val="18"/>
          <w:lang w:val="es-ES" w:eastAsia="ja-JP"/>
        </w:rPr>
        <w:t xml:space="preserve"> </w:t>
      </w:r>
      <w:r w:rsidRPr="00890F11">
        <w:rPr>
          <w:rFonts w:eastAsia="MS Mincho" w:cs="Arial"/>
          <w:i/>
          <w:szCs w:val="18"/>
          <w:lang w:val="es-ES" w:eastAsia="ja-JP"/>
        </w:rPr>
        <w:t>SIOC: servidor d'informació ornitològica de Catalunya</w:t>
      </w:r>
      <w:r w:rsidRPr="00890F11">
        <w:rPr>
          <w:rFonts w:eastAsia="MS Mincho" w:cs="Arial"/>
          <w:szCs w:val="18"/>
          <w:lang w:val="es-ES" w:eastAsia="ja-JP"/>
        </w:rPr>
        <w:t>. ICO, Barcelona.</w:t>
      </w:r>
    </w:p>
    <w:p w14:paraId="381BF505"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23938959"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bCs/>
          <w:szCs w:val="18"/>
          <w:lang w:val="es-ES" w:eastAsia="ja-JP"/>
        </w:rPr>
        <w:t>ICONA (1989)</w:t>
      </w:r>
      <w:r w:rsidRPr="00890F11">
        <w:rPr>
          <w:rFonts w:eastAsia="MS Mincho" w:cs="Arial"/>
          <w:bCs/>
          <w:szCs w:val="18"/>
          <w:lang w:val="es-ES" w:eastAsia="ja-JP"/>
        </w:rPr>
        <w:t xml:space="preserve"> </w:t>
      </w:r>
      <w:r w:rsidRPr="00890F11">
        <w:rPr>
          <w:rFonts w:eastAsia="MS Mincho" w:cs="Arial"/>
          <w:i/>
          <w:szCs w:val="18"/>
          <w:lang w:val="es-ES" w:eastAsia="ja-JP"/>
        </w:rPr>
        <w:t xml:space="preserve">Determination del status de la tortola comun </w:t>
      </w:r>
      <w:r w:rsidRPr="00890F11">
        <w:rPr>
          <w:rFonts w:eastAsia="MS Mincho" w:cs="Arial"/>
          <w:szCs w:val="18"/>
          <w:lang w:val="es-ES" w:eastAsia="ja-JP"/>
        </w:rPr>
        <w:t>Streptopelia turtur</w:t>
      </w:r>
      <w:r w:rsidRPr="00890F11">
        <w:rPr>
          <w:rFonts w:eastAsia="MS Mincho" w:cs="Arial"/>
          <w:i/>
          <w:szCs w:val="18"/>
          <w:lang w:val="es-ES" w:eastAsia="ja-JP"/>
        </w:rPr>
        <w:t>. Final Report.</w:t>
      </w:r>
      <w:r w:rsidRPr="00890F11">
        <w:rPr>
          <w:rFonts w:eastAsia="MS Mincho" w:cs="Arial"/>
          <w:szCs w:val="18"/>
          <w:lang w:val="es-ES" w:eastAsia="ja-JP"/>
        </w:rPr>
        <w:t xml:space="preserve"> Instituto Nacional para la Conservación de la Naturaleza, Servicio de Vida Silvestre, Madrid.</w:t>
      </w:r>
    </w:p>
    <w:p w14:paraId="6E08EE93"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67B5760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INSTITUTE FOR NATURE CONSERVATION OF SERBIA (2015)</w:t>
      </w:r>
      <w:r w:rsidRPr="00C96521">
        <w:rPr>
          <w:rFonts w:eastAsia="MS Mincho" w:cs="Arial"/>
          <w:i/>
          <w:szCs w:val="18"/>
          <w:lang w:val="en-GB" w:eastAsia="ja-JP"/>
        </w:rPr>
        <w:t xml:space="preserve"> A grey partridge and turtle-dove hunting ban in Serbia. </w:t>
      </w:r>
      <w:hyperlink r:id="rId57" w:history="1">
        <w:r w:rsidRPr="00C96521">
          <w:rPr>
            <w:rFonts w:eastAsia="MS Mincho" w:cs="Arial"/>
            <w:szCs w:val="18"/>
            <w:lang w:val="en-GB" w:eastAsia="ja-JP"/>
          </w:rPr>
          <w:t>http://www.zzps.rs/novo/index.php?jezik=_en&amp;strana=vest&amp;n=282</w:t>
        </w:r>
      </w:hyperlink>
      <w:r w:rsidRPr="00C96521">
        <w:rPr>
          <w:rFonts w:eastAsia="MS Mincho" w:cs="Arial"/>
          <w:szCs w:val="18"/>
          <w:lang w:val="en-GB" w:eastAsia="ja-JP"/>
        </w:rPr>
        <w:t xml:space="preserve"> (last accessed 25th November 2016)</w:t>
      </w:r>
    </w:p>
    <w:p w14:paraId="377E223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CF2935B"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ISSA N and MULLER Y (2015)</w:t>
      </w:r>
      <w:r w:rsidRPr="00890F11">
        <w:rPr>
          <w:rFonts w:eastAsia="MS Mincho" w:cs="Arial"/>
          <w:szCs w:val="18"/>
          <w:lang w:val="fr-FR" w:eastAsia="ja-JP"/>
        </w:rPr>
        <w:t xml:space="preserve"> </w:t>
      </w:r>
      <w:r w:rsidRPr="00890F11">
        <w:rPr>
          <w:rFonts w:eastAsia="MS Mincho" w:cs="Arial"/>
          <w:i/>
          <w:szCs w:val="18"/>
          <w:lang w:val="fr-FR" w:eastAsia="ja-JP"/>
        </w:rPr>
        <w:t>Atlas des oiseaux de France métropolitaine, nidification et présence hivernale</w:t>
      </w:r>
      <w:r w:rsidRPr="00890F11">
        <w:rPr>
          <w:rFonts w:eastAsia="MS Mincho" w:cs="Arial"/>
          <w:szCs w:val="18"/>
          <w:lang w:val="fr-FR" w:eastAsia="ja-JP"/>
        </w:rPr>
        <w:t>. LPO, SEOF and MNHN, Delachaux and Niestlé, Paris.</w:t>
      </w:r>
    </w:p>
    <w:p w14:paraId="010BF6EF"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430CDF7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fr-FR" w:eastAsia="ja-JP"/>
        </w:rPr>
        <w:t>ISSA N and BOUTIN J-M (2015)</w:t>
      </w:r>
      <w:r w:rsidRPr="00890F11">
        <w:rPr>
          <w:rFonts w:eastAsia="MS Mincho" w:cs="Arial"/>
          <w:szCs w:val="18"/>
          <w:lang w:val="fr-FR" w:eastAsia="ja-JP"/>
        </w:rPr>
        <w:t xml:space="preserve"> Tourterelle des bois </w:t>
      </w:r>
      <w:r w:rsidRPr="00890F11">
        <w:rPr>
          <w:rFonts w:eastAsia="MS Mincho" w:cs="Arial"/>
          <w:i/>
          <w:szCs w:val="18"/>
          <w:lang w:val="fr-FR" w:eastAsia="ja-JP"/>
        </w:rPr>
        <w:t>Streptopelia turtur</w:t>
      </w:r>
      <w:r w:rsidRPr="00890F11">
        <w:rPr>
          <w:rFonts w:eastAsia="MS Mincho" w:cs="Arial"/>
          <w:szCs w:val="18"/>
          <w:lang w:val="fr-FR" w:eastAsia="ja-JP"/>
        </w:rPr>
        <w:t xml:space="preserve">. In: MULLER Y and ISSA N (coordinators) </w:t>
      </w:r>
      <w:r w:rsidRPr="00890F11">
        <w:rPr>
          <w:rFonts w:eastAsia="MS Mincho" w:cs="Arial"/>
          <w:i/>
          <w:szCs w:val="18"/>
          <w:lang w:val="fr-FR" w:eastAsia="ja-JP"/>
        </w:rPr>
        <w:t>Atlas des oiseaux de France métropolitaine, nidification et présence hivernale</w:t>
      </w:r>
      <w:r w:rsidRPr="00890F11">
        <w:rPr>
          <w:rFonts w:eastAsia="MS Mincho" w:cs="Arial"/>
          <w:szCs w:val="18"/>
          <w:lang w:val="fr-FR" w:eastAsia="ja-JP"/>
        </w:rPr>
        <w:t xml:space="preserve">. </w:t>
      </w:r>
      <w:r w:rsidRPr="00C96521">
        <w:rPr>
          <w:rFonts w:eastAsia="MS Mincho" w:cs="Arial"/>
          <w:szCs w:val="18"/>
          <w:lang w:val="en-GB" w:eastAsia="ja-JP"/>
        </w:rPr>
        <w:t>LPO, SEOF and MNHN, Delachaux and Niestlé, Paris.</w:t>
      </w:r>
    </w:p>
    <w:p w14:paraId="5FE53A8F"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80467F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IUCN COMITATO ITALIANO (2012</w:t>
      </w:r>
      <w:r w:rsidRPr="00C96521">
        <w:rPr>
          <w:rFonts w:eastAsia="MS Mincho" w:cs="Arial"/>
          <w:szCs w:val="18"/>
          <w:lang w:val="en-GB" w:eastAsia="ja-JP"/>
        </w:rPr>
        <w:t xml:space="preserve">) </w:t>
      </w:r>
      <w:r w:rsidRPr="00C96521">
        <w:rPr>
          <w:rFonts w:eastAsia="MS Mincho" w:cs="Arial"/>
          <w:i/>
          <w:szCs w:val="18"/>
          <w:lang w:val="en-GB" w:eastAsia="ja-JP"/>
        </w:rPr>
        <w:t>Streptopelia turtur</w:t>
      </w:r>
      <w:r w:rsidRPr="00C96521">
        <w:rPr>
          <w:rFonts w:eastAsia="MS Mincho" w:cs="Arial"/>
          <w:szCs w:val="18"/>
          <w:lang w:val="en-GB" w:eastAsia="ja-JP"/>
        </w:rPr>
        <w:t>. http://www.iucn.it/scheda.php?id=1425556678 (last accessed 28</w:t>
      </w:r>
      <w:r w:rsidRPr="00C96521">
        <w:rPr>
          <w:rFonts w:eastAsia="MS Mincho" w:cs="Arial"/>
          <w:szCs w:val="18"/>
          <w:vertAlign w:val="superscript"/>
          <w:lang w:val="en-GB" w:eastAsia="ja-JP"/>
        </w:rPr>
        <w:t>th</w:t>
      </w:r>
      <w:r w:rsidRPr="00C96521">
        <w:rPr>
          <w:rFonts w:eastAsia="MS Mincho" w:cs="Arial"/>
          <w:szCs w:val="18"/>
          <w:lang w:val="en-GB" w:eastAsia="ja-JP"/>
        </w:rPr>
        <w:t xml:space="preserve"> October 2016)</w:t>
      </w:r>
    </w:p>
    <w:p w14:paraId="5C14B39C"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213B5BE3"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r w:rsidRPr="00C96521">
        <w:rPr>
          <w:rFonts w:eastAsia="MS Mincho" w:cs="Arial"/>
          <w:b/>
          <w:bCs/>
          <w:szCs w:val="18"/>
          <w:lang w:val="en-GB" w:eastAsia="ja-JP"/>
        </w:rPr>
        <w:t>IVANCHEV VP and DENIS LS (2011)</w:t>
      </w:r>
      <w:r w:rsidRPr="00C96521">
        <w:rPr>
          <w:rFonts w:eastAsia="MS Mincho" w:cs="Arial"/>
          <w:szCs w:val="18"/>
          <w:lang w:val="en-GB" w:eastAsia="ja-JP"/>
        </w:rPr>
        <w:t xml:space="preserve"> Turtle-dove. In: IVANCHEV VP and KAZAKOVA MV (eds). </w:t>
      </w:r>
      <w:r w:rsidRPr="00C96521">
        <w:rPr>
          <w:rFonts w:eastAsia="MS Mincho" w:cs="Arial"/>
          <w:i/>
          <w:szCs w:val="18"/>
          <w:lang w:val="en-GB" w:eastAsia="ja-JP"/>
        </w:rPr>
        <w:t>Red Data Book of Ryazan Region</w:t>
      </w:r>
      <w:r w:rsidRPr="00C96521">
        <w:rPr>
          <w:rFonts w:eastAsia="MS Mincho" w:cs="Arial"/>
          <w:szCs w:val="18"/>
          <w:lang w:val="en-GB" w:eastAsia="ja-JP"/>
        </w:rPr>
        <w:t xml:space="preserve">. NP Golos Gubernii, Ryazan: 109. </w:t>
      </w:r>
      <w:r w:rsidRPr="00890F11">
        <w:rPr>
          <w:rFonts w:eastAsia="MS Mincho" w:cs="Arial"/>
          <w:szCs w:val="18"/>
          <w:lang w:val="fr-FR" w:eastAsia="ja-JP"/>
        </w:rPr>
        <w:t>[in Russian]</w:t>
      </w:r>
    </w:p>
    <w:p w14:paraId="7D40E2BC"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3D474D3E" w14:textId="73C7DF35"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JACOB J-P, DEHEM C, BURNEL A, DAMBIERMONT J-L, FASOL M, KINET T, VAN DER ELST D and PAQUET J-Y (2010)</w:t>
      </w:r>
      <w:r w:rsidRPr="00890F11">
        <w:rPr>
          <w:rFonts w:eastAsia="MS Mincho" w:cs="Arial"/>
          <w:szCs w:val="18"/>
          <w:lang w:val="fr-FR" w:eastAsia="ja-JP"/>
        </w:rPr>
        <w:t xml:space="preserve"> </w:t>
      </w:r>
      <w:r w:rsidRPr="00890F11">
        <w:rPr>
          <w:rFonts w:eastAsia="MS Mincho" w:cs="Arial"/>
          <w:i/>
          <w:szCs w:val="18"/>
          <w:lang w:val="fr-FR" w:eastAsia="ja-JP"/>
        </w:rPr>
        <w:t>Atlas des oiseaux nicheurs de Wallonie 2001-2007. Serie Faune-Flore-Habitats 5. Gembloux.</w:t>
      </w:r>
      <w:r w:rsidRPr="00890F11">
        <w:rPr>
          <w:rFonts w:eastAsia="MS Mincho" w:cs="Arial"/>
          <w:szCs w:val="18"/>
          <w:lang w:val="fr-FR" w:eastAsia="ja-JP"/>
        </w:rPr>
        <w:t xml:space="preserve"> Publication d’Aves et du </w:t>
      </w:r>
      <w:r w:rsidR="00526B63" w:rsidRPr="00890F11">
        <w:rPr>
          <w:rFonts w:eastAsia="MS Mincho" w:cs="Arial"/>
          <w:szCs w:val="18"/>
          <w:lang w:val="fr-FR" w:eastAsia="ja-JP"/>
        </w:rPr>
        <w:t>Département</w:t>
      </w:r>
      <w:r w:rsidRPr="00890F11">
        <w:rPr>
          <w:rFonts w:eastAsia="MS Mincho" w:cs="Arial"/>
          <w:szCs w:val="18"/>
          <w:lang w:val="fr-FR" w:eastAsia="ja-JP"/>
        </w:rPr>
        <w:t xml:space="preserve"> de l’</w:t>
      </w:r>
      <w:r w:rsidR="00526B63">
        <w:rPr>
          <w:rFonts w:eastAsia="MS Mincho" w:cs="Arial"/>
          <w:szCs w:val="18"/>
          <w:lang w:val="fr-FR" w:eastAsia="ja-JP"/>
        </w:rPr>
        <w:t>É</w:t>
      </w:r>
      <w:r w:rsidRPr="00890F11">
        <w:rPr>
          <w:rFonts w:eastAsia="MS Mincho" w:cs="Arial"/>
          <w:szCs w:val="18"/>
          <w:lang w:val="fr-FR" w:eastAsia="ja-JP"/>
        </w:rPr>
        <w:t xml:space="preserve">tude du Milieu Naturel et Agricole, Wallonie. </w:t>
      </w:r>
    </w:p>
    <w:p w14:paraId="736B229B" w14:textId="77777777" w:rsidR="00C96521" w:rsidRPr="00890F11" w:rsidRDefault="00C96521" w:rsidP="00C96521">
      <w:pPr>
        <w:widowControl/>
        <w:autoSpaceDE/>
        <w:autoSpaceDN/>
        <w:adjustRightInd/>
        <w:spacing w:line="276" w:lineRule="auto"/>
        <w:rPr>
          <w:rFonts w:eastAsia="MS Mincho" w:cs="Arial"/>
          <w:b/>
          <w:bCs/>
          <w:szCs w:val="18"/>
          <w:lang w:val="fr-FR" w:eastAsia="ja-JP"/>
        </w:rPr>
      </w:pPr>
    </w:p>
    <w:p w14:paraId="701B8167" w14:textId="77777777" w:rsidR="00C96521" w:rsidRPr="00695F1D"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bCs/>
          <w:szCs w:val="18"/>
          <w:lang w:val="en-GB" w:eastAsia="ja-JP"/>
        </w:rPr>
        <w:t>JARRY G (1994)</w:t>
      </w:r>
      <w:r w:rsidRPr="00C96521">
        <w:rPr>
          <w:rFonts w:eastAsia="MS Mincho" w:cs="Arial"/>
          <w:bCs/>
          <w:szCs w:val="18"/>
          <w:lang w:val="en-GB" w:eastAsia="ja-JP"/>
        </w:rPr>
        <w:t xml:space="preserve"> </w:t>
      </w:r>
      <w:r w:rsidRPr="00C96521">
        <w:rPr>
          <w:rFonts w:eastAsia="MS Mincho" w:cs="Arial"/>
          <w:szCs w:val="18"/>
          <w:lang w:val="en-GB" w:eastAsia="ja-JP"/>
        </w:rPr>
        <w:t xml:space="preserve">Turtle dove </w:t>
      </w:r>
      <w:r w:rsidRPr="00C96521">
        <w:rPr>
          <w:rFonts w:eastAsia="MS Mincho" w:cs="Arial"/>
          <w:i/>
          <w:szCs w:val="18"/>
          <w:lang w:val="en-GB" w:eastAsia="ja-JP"/>
        </w:rPr>
        <w:t>Streptopelia turtur</w:t>
      </w:r>
      <w:r w:rsidRPr="00C96521">
        <w:rPr>
          <w:rFonts w:eastAsia="MS Mincho" w:cs="Arial"/>
          <w:szCs w:val="18"/>
          <w:lang w:val="en-GB" w:eastAsia="ja-JP"/>
        </w:rPr>
        <w:t xml:space="preserve">. In: SOCHA CM (ed) </w:t>
      </w:r>
      <w:r w:rsidRPr="00C96521">
        <w:rPr>
          <w:rFonts w:eastAsia="MS Mincho" w:cs="Arial"/>
          <w:i/>
          <w:szCs w:val="18"/>
          <w:lang w:val="en-GB" w:eastAsia="ja-JP"/>
        </w:rPr>
        <w:t>Birds in Europe: their conservation status</w:t>
      </w:r>
      <w:r w:rsidRPr="00C96521">
        <w:rPr>
          <w:rFonts w:eastAsia="MS Mincho" w:cs="Arial"/>
          <w:szCs w:val="18"/>
          <w:lang w:val="en-GB" w:eastAsia="ja-JP"/>
        </w:rPr>
        <w:t xml:space="preserve">. </w:t>
      </w:r>
      <w:r w:rsidRPr="00695F1D">
        <w:rPr>
          <w:rFonts w:eastAsia="MS Mincho" w:cs="Arial"/>
          <w:szCs w:val="18"/>
          <w:lang w:val="fr-FR" w:eastAsia="ja-JP"/>
        </w:rPr>
        <w:t>Conservation Series 3, BirdLife International, Cambridge. pp 320-321.</w:t>
      </w:r>
    </w:p>
    <w:p w14:paraId="6A40383D" w14:textId="77777777" w:rsidR="00C96521" w:rsidRPr="00695F1D" w:rsidRDefault="00C96521" w:rsidP="00C96521">
      <w:pPr>
        <w:widowControl/>
        <w:autoSpaceDE/>
        <w:autoSpaceDN/>
        <w:adjustRightInd/>
        <w:spacing w:line="276" w:lineRule="auto"/>
        <w:rPr>
          <w:rFonts w:eastAsia="MS Mincho" w:cs="Arial"/>
          <w:b/>
          <w:szCs w:val="18"/>
          <w:lang w:val="fr-FR" w:eastAsia="ja-JP"/>
        </w:rPr>
      </w:pPr>
    </w:p>
    <w:p w14:paraId="3CBA64B0" w14:textId="06FBF14D"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szCs w:val="18"/>
          <w:lang w:val="fr-FR" w:eastAsia="ja-JP"/>
        </w:rPr>
        <w:t>JIGUET F (2016)</w:t>
      </w:r>
      <w:r w:rsidRPr="00890F11">
        <w:rPr>
          <w:rFonts w:eastAsia="MS Mincho" w:cs="Arial"/>
          <w:szCs w:val="18"/>
          <w:lang w:val="fr-FR" w:eastAsia="ja-JP"/>
        </w:rPr>
        <w:t xml:space="preserve"> </w:t>
      </w:r>
      <w:r w:rsidRPr="00890F11">
        <w:rPr>
          <w:rFonts w:eastAsia="MS Mincho" w:cs="Arial"/>
          <w:i/>
          <w:szCs w:val="18"/>
          <w:lang w:val="fr-FR" w:eastAsia="ja-JP"/>
        </w:rPr>
        <w:t>Les résultats nationaux du programme STOC de 1989 à 2015</w:t>
      </w:r>
      <w:r w:rsidRPr="00890F11">
        <w:rPr>
          <w:rFonts w:eastAsia="MS Mincho" w:cs="Arial"/>
          <w:szCs w:val="18"/>
          <w:lang w:val="fr-FR" w:eastAsia="ja-JP"/>
        </w:rPr>
        <w:t>. http://vigienature.mnhn.fr/page/tourterelle-des-bois (last accessed 10</w:t>
      </w:r>
      <w:r w:rsidRPr="00890F11">
        <w:rPr>
          <w:rFonts w:eastAsia="MS Mincho" w:cs="Arial"/>
          <w:szCs w:val="18"/>
          <w:vertAlign w:val="superscript"/>
          <w:lang w:val="fr-FR" w:eastAsia="ja-JP"/>
        </w:rPr>
        <w:t>h</w:t>
      </w:r>
      <w:r w:rsidRPr="00890F11">
        <w:rPr>
          <w:rFonts w:eastAsia="MS Mincho" w:cs="Arial"/>
          <w:szCs w:val="18"/>
          <w:lang w:val="fr-FR" w:eastAsia="ja-JP"/>
        </w:rPr>
        <w:t xml:space="preserve"> November 2016)</w:t>
      </w:r>
    </w:p>
    <w:p w14:paraId="55B57653"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2D892572" w14:textId="77777777" w:rsidR="00C96521" w:rsidRPr="00890F11" w:rsidRDefault="00C96521" w:rsidP="00C96521">
      <w:pPr>
        <w:widowControl/>
        <w:autoSpaceDE/>
        <w:autoSpaceDN/>
        <w:adjustRightInd/>
        <w:spacing w:line="276" w:lineRule="auto"/>
        <w:rPr>
          <w:rFonts w:eastAsia="MS Mincho" w:cs="Arial"/>
          <w:b/>
          <w:szCs w:val="18"/>
          <w:lang w:val="fr-FR" w:eastAsia="ja-JP"/>
        </w:rPr>
      </w:pPr>
      <w:r w:rsidRPr="00890F11">
        <w:rPr>
          <w:rFonts w:eastAsia="MS Mincho" w:cs="Arial"/>
          <w:b/>
          <w:szCs w:val="18"/>
          <w:lang w:val="es-ES" w:eastAsia="ja-JP"/>
        </w:rPr>
        <w:lastRenderedPageBreak/>
        <w:t xml:space="preserve">JIMÉNEZ R, HODAR J Á and CAMACHO I </w:t>
      </w:r>
      <w:r w:rsidRPr="00890F11">
        <w:rPr>
          <w:rFonts w:eastAsia="MS Mincho" w:cs="Arial"/>
          <w:szCs w:val="18"/>
          <w:lang w:val="es-ES" w:eastAsia="ja-JP"/>
        </w:rPr>
        <w:t>(1992) La alimentación de la tortola comun (</w:t>
      </w:r>
      <w:r w:rsidRPr="00890F11">
        <w:rPr>
          <w:rFonts w:eastAsia="MS Mincho" w:cs="Arial"/>
          <w:i/>
          <w:szCs w:val="18"/>
          <w:lang w:val="es-ES" w:eastAsia="ja-JP"/>
        </w:rPr>
        <w:t>Streptopelia turtur</w:t>
      </w:r>
      <w:r w:rsidRPr="00890F11">
        <w:rPr>
          <w:rFonts w:eastAsia="MS Mincho" w:cs="Arial"/>
          <w:szCs w:val="18"/>
          <w:lang w:val="es-ES" w:eastAsia="ja-JP"/>
        </w:rPr>
        <w:t xml:space="preserve">) en el sur de Espana. </w:t>
      </w:r>
      <w:r w:rsidRPr="00890F11">
        <w:rPr>
          <w:rFonts w:eastAsia="MS Mincho" w:cs="Arial"/>
          <w:i/>
          <w:szCs w:val="18"/>
          <w:lang w:val="fr-FR" w:eastAsia="ja-JP"/>
        </w:rPr>
        <w:t>Gibier Faune Sauvage</w:t>
      </w:r>
      <w:r w:rsidRPr="00890F11">
        <w:rPr>
          <w:rFonts w:eastAsia="MS Mincho" w:cs="Arial"/>
          <w:szCs w:val="18"/>
          <w:lang w:val="fr-FR" w:eastAsia="ja-JP"/>
        </w:rPr>
        <w:t xml:space="preserve"> 9: 119-126.</w:t>
      </w:r>
    </w:p>
    <w:p w14:paraId="016E5159"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00336906" w14:textId="08DB69AB" w:rsidR="00C96521" w:rsidRPr="00890F11" w:rsidRDefault="00C96521" w:rsidP="00C96521">
      <w:pPr>
        <w:widowControl/>
        <w:spacing w:line="276" w:lineRule="auto"/>
        <w:rPr>
          <w:rFonts w:eastAsia="MS Mincho" w:cs="Arial"/>
          <w:szCs w:val="18"/>
          <w:lang w:val="fr-FR" w:eastAsia="ja-JP"/>
        </w:rPr>
      </w:pPr>
      <w:r w:rsidRPr="00890F11">
        <w:rPr>
          <w:rFonts w:eastAsia="MS Mincho" w:cs="Arial"/>
          <w:b/>
          <w:szCs w:val="18"/>
          <w:lang w:val="fr-FR" w:eastAsia="ja-JP"/>
        </w:rPr>
        <w:t>JOURNAL OFFICIEL DE LA REPUBLIQUE ISLAMIQUE DE MAURITANIE (1997)</w:t>
      </w:r>
      <w:r w:rsidRPr="00890F11">
        <w:rPr>
          <w:rFonts w:eastAsia="MS Mincho" w:cs="Arial"/>
          <w:szCs w:val="18"/>
          <w:lang w:val="fr-FR" w:eastAsia="ja-JP"/>
        </w:rPr>
        <w:t xml:space="preserve"> Loi N° 97- 006 du 20 janvier 1997 abrogeant et </w:t>
      </w:r>
      <w:r w:rsidR="00526B63" w:rsidRPr="00890F11">
        <w:rPr>
          <w:rFonts w:eastAsia="MS Mincho" w:cs="Arial"/>
          <w:szCs w:val="18"/>
          <w:lang w:val="fr-FR" w:eastAsia="ja-JP"/>
        </w:rPr>
        <w:t>remplaçant</w:t>
      </w:r>
      <w:r w:rsidRPr="00890F11">
        <w:rPr>
          <w:rFonts w:eastAsia="MS Mincho" w:cs="Arial"/>
          <w:szCs w:val="18"/>
          <w:lang w:val="fr-FR" w:eastAsia="ja-JP"/>
        </w:rPr>
        <w:t xml:space="preserve"> la loi n° 75-003 du 15 janvier 1975 portant code de la chasse et de la protection de la nature. </w:t>
      </w:r>
      <w:r w:rsidRPr="00890F11">
        <w:rPr>
          <w:rFonts w:eastAsia="MS Mincho" w:cs="Arial"/>
          <w:i/>
          <w:szCs w:val="18"/>
          <w:lang w:val="fr-FR" w:eastAsia="ja-JP"/>
        </w:rPr>
        <w:t>Journal Officiel de la République Islamique de Mauritanie</w:t>
      </w:r>
      <w:r w:rsidRPr="00890F11">
        <w:rPr>
          <w:rFonts w:eastAsia="MS Mincho" w:cs="Arial"/>
          <w:szCs w:val="18"/>
          <w:lang w:val="fr-FR" w:eastAsia="ja-JP"/>
        </w:rPr>
        <w:t xml:space="preserve"> 896: 155-161.</w:t>
      </w:r>
    </w:p>
    <w:p w14:paraId="4F50CCAB" w14:textId="77777777" w:rsidR="00C96521" w:rsidRPr="00890F11" w:rsidRDefault="00C96521" w:rsidP="00C96521">
      <w:pPr>
        <w:widowControl/>
        <w:spacing w:line="276" w:lineRule="auto"/>
        <w:rPr>
          <w:rFonts w:eastAsia="MS Mincho" w:cs="Arial"/>
          <w:b/>
          <w:szCs w:val="18"/>
          <w:lang w:val="fr-FR" w:eastAsia="ja-JP"/>
        </w:rPr>
      </w:pPr>
    </w:p>
    <w:p w14:paraId="69C89804" w14:textId="5E5FEB6B" w:rsidR="00C96521" w:rsidRPr="00890F11" w:rsidRDefault="00C96521" w:rsidP="00C96521">
      <w:pPr>
        <w:widowControl/>
        <w:spacing w:line="276" w:lineRule="auto"/>
        <w:rPr>
          <w:rFonts w:eastAsia="MS Mincho" w:cs="Arial"/>
          <w:szCs w:val="18"/>
          <w:lang w:val="fr-FR" w:eastAsia="ja-JP"/>
        </w:rPr>
      </w:pPr>
      <w:r w:rsidRPr="00890F11">
        <w:rPr>
          <w:rFonts w:eastAsia="MS Mincho" w:cs="Arial"/>
          <w:b/>
          <w:szCs w:val="18"/>
          <w:lang w:val="fr-FR" w:eastAsia="ja-JP"/>
        </w:rPr>
        <w:t xml:space="preserve">KAFI F, HANANE S, BENSOUILAH T, ZERAOULA A, BRAHMIA H and HOUHAMDI M (2015) </w:t>
      </w:r>
      <w:r w:rsidRPr="00890F11">
        <w:rPr>
          <w:rFonts w:eastAsia="MS Mincho" w:cs="Arial"/>
          <w:szCs w:val="18"/>
          <w:lang w:val="fr-FR" w:eastAsia="ja-JP"/>
        </w:rPr>
        <w:t xml:space="preserve">Les facteurs </w:t>
      </w:r>
      <w:r w:rsidR="00526B63" w:rsidRPr="00890F11">
        <w:rPr>
          <w:rFonts w:eastAsia="MS Mincho" w:cs="Arial"/>
          <w:szCs w:val="18"/>
          <w:lang w:val="fr-FR" w:eastAsia="ja-JP"/>
        </w:rPr>
        <w:t>déterminant</w:t>
      </w:r>
      <w:r w:rsidRPr="00890F11">
        <w:rPr>
          <w:rFonts w:eastAsia="MS Mincho" w:cs="Arial"/>
          <w:szCs w:val="18"/>
          <w:lang w:val="fr-FR" w:eastAsia="ja-JP"/>
        </w:rPr>
        <w:t xml:space="preserve"> le succès de la reproduction des tourterelles des bois (</w:t>
      </w:r>
      <w:r w:rsidRPr="00890F11">
        <w:rPr>
          <w:rFonts w:eastAsia="MS Mincho" w:cs="Arial"/>
          <w:i/>
          <w:szCs w:val="18"/>
          <w:lang w:val="fr-FR" w:eastAsia="ja-JP"/>
        </w:rPr>
        <w:t>Streptopelia turtur</w:t>
      </w:r>
      <w:r w:rsidRPr="00890F11">
        <w:rPr>
          <w:rFonts w:eastAsia="MS Mincho" w:cs="Arial"/>
          <w:szCs w:val="18"/>
          <w:lang w:val="fr-FR" w:eastAsia="ja-JP"/>
        </w:rPr>
        <w:t xml:space="preserve">) dans un milieu agricole Nord-Africain. </w:t>
      </w:r>
      <w:r w:rsidRPr="00890F11">
        <w:rPr>
          <w:rFonts w:eastAsia="MS Mincho" w:cs="Arial"/>
          <w:i/>
          <w:szCs w:val="18"/>
          <w:lang w:val="fr-FR" w:eastAsia="ja-JP"/>
        </w:rPr>
        <w:t>Revue d’Ecologie (Terre et Vie)</w:t>
      </w:r>
      <w:r w:rsidRPr="00890F11">
        <w:rPr>
          <w:rFonts w:eastAsia="MS Mincho" w:cs="Arial"/>
          <w:szCs w:val="18"/>
          <w:lang w:val="fr-FR" w:eastAsia="ja-JP"/>
        </w:rPr>
        <w:t xml:space="preserve"> 70(3): 271-279.</w:t>
      </w:r>
    </w:p>
    <w:p w14:paraId="4F7CC85D"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011F7BBE" w14:textId="77777777" w:rsidR="00C96521" w:rsidRPr="00890F11" w:rsidRDefault="00C96521" w:rsidP="00C96521">
      <w:pPr>
        <w:widowControl/>
        <w:spacing w:line="276" w:lineRule="auto"/>
        <w:rPr>
          <w:rFonts w:eastAsia="MS Mincho" w:cs="Arial"/>
          <w:b/>
          <w:szCs w:val="18"/>
          <w:lang w:val="fr-FR" w:eastAsia="ja-JP"/>
        </w:rPr>
      </w:pPr>
      <w:r w:rsidRPr="00890F11">
        <w:rPr>
          <w:rFonts w:eastAsia="MS Mincho" w:cs="Arial"/>
          <w:b/>
          <w:szCs w:val="18"/>
          <w:lang w:val="fr-FR" w:eastAsia="ja-JP"/>
        </w:rPr>
        <w:t xml:space="preserve">KEENLEYSIDE C, ELTS J, FIGECZKY G, FIŠER B, GALVÁNEK D, HELLICAR M, IRŠA L, JOBDA M, KOORBERG P, KOUNNAMAS C, KURLAVIČIUS P, MADERIÈ B, MEDVED A, METERA D, PEZOLD T, PRIEDNIEKS J, RAČINSKIS E, RAUDONIKIS L, SZILVÁCSKU Z, VAIČIŪNAITÉ R and ZÁMECNÍK V (2006) </w:t>
      </w:r>
      <w:r w:rsidRPr="00890F11">
        <w:rPr>
          <w:rFonts w:eastAsia="MS Mincho" w:cs="Arial"/>
          <w:i/>
          <w:szCs w:val="18"/>
          <w:lang w:val="fr-FR" w:eastAsia="ja-JP"/>
        </w:rPr>
        <w:t>Farmland birds and agri-environment schemes in New Member States – A report for the Royal Society for the Protection of Birds</w:t>
      </w:r>
      <w:r w:rsidRPr="00890F11">
        <w:rPr>
          <w:rFonts w:eastAsia="MS Mincho" w:cs="Arial"/>
          <w:szCs w:val="18"/>
          <w:lang w:val="fr-FR" w:eastAsia="ja-JP"/>
        </w:rPr>
        <w:t>. RSPB, Sandy.</w:t>
      </w:r>
    </w:p>
    <w:p w14:paraId="2FDAE757"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7BE9BABC" w14:textId="77777777" w:rsidR="00C96521" w:rsidRPr="00890F11" w:rsidRDefault="00C96521" w:rsidP="00C96521">
      <w:pPr>
        <w:widowControl/>
        <w:autoSpaceDE/>
        <w:autoSpaceDN/>
        <w:adjustRightInd/>
        <w:spacing w:line="276" w:lineRule="auto"/>
        <w:rPr>
          <w:rFonts w:eastAsia="MS Mincho" w:cs="Arial"/>
          <w:b/>
          <w:szCs w:val="18"/>
          <w:lang w:val="fr-FR" w:eastAsia="ja-JP"/>
        </w:rPr>
      </w:pPr>
      <w:r w:rsidRPr="00890F11">
        <w:rPr>
          <w:rFonts w:eastAsia="MS Mincho" w:cs="Arial"/>
          <w:b/>
          <w:szCs w:val="18"/>
          <w:lang w:val="fr-FR" w:eastAsia="ja-JP"/>
        </w:rPr>
        <w:t xml:space="preserve">KERUS V (2005) </w:t>
      </w:r>
      <w:r w:rsidRPr="00890F11">
        <w:rPr>
          <w:rFonts w:eastAsia="MS Mincho" w:cs="Arial"/>
          <w:i/>
          <w:szCs w:val="18"/>
          <w:lang w:val="fr-FR" w:eastAsia="ja-JP"/>
        </w:rPr>
        <w:t>Latvijas ligzdojošo putnu atlants</w:t>
      </w:r>
      <w:r w:rsidRPr="00890F11">
        <w:rPr>
          <w:rFonts w:eastAsia="MS Mincho" w:cs="Arial"/>
          <w:szCs w:val="18"/>
          <w:lang w:val="fr-FR" w:eastAsia="ja-JP"/>
        </w:rPr>
        <w:t>. Latvijas Ornitoloģijas biedrība, Riga.</w:t>
      </w:r>
    </w:p>
    <w:p w14:paraId="50ADCA99"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3642416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KIRWAN GM, BOYLA K, CASTELL P, DEMIRCI B, ÖZEN M, WELCH H and MARLOW T (2008) </w:t>
      </w:r>
      <w:r w:rsidRPr="00C96521">
        <w:rPr>
          <w:rFonts w:eastAsia="MS Mincho" w:cs="Arial"/>
          <w:i/>
          <w:szCs w:val="18"/>
          <w:lang w:val="en-GB" w:eastAsia="ja-JP"/>
        </w:rPr>
        <w:t>The Birds of Turkey</w:t>
      </w:r>
      <w:r w:rsidRPr="00C96521">
        <w:rPr>
          <w:rFonts w:eastAsia="MS Mincho" w:cs="Arial"/>
          <w:szCs w:val="18"/>
          <w:lang w:val="en-GB" w:eastAsia="ja-JP"/>
        </w:rPr>
        <w:t>. Christopher Helm, London.</w:t>
      </w:r>
    </w:p>
    <w:p w14:paraId="26D3BC8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3F42BAF"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KMECL P and FIGELJ J (2015)</w:t>
      </w:r>
      <w:r w:rsidRPr="00C96521">
        <w:rPr>
          <w:rFonts w:eastAsia="MS Mincho" w:cs="Arial"/>
          <w:szCs w:val="18"/>
          <w:lang w:val="en-GB" w:eastAsia="ja-JP"/>
        </w:rPr>
        <w:t xml:space="preserve"> </w:t>
      </w:r>
      <w:r w:rsidRPr="00C96521">
        <w:rPr>
          <w:rFonts w:eastAsia="MS Mincho" w:cs="Arial"/>
          <w:i/>
          <w:szCs w:val="18"/>
          <w:lang w:val="en-GB" w:eastAsia="ja-JP"/>
        </w:rPr>
        <w:t>Monitoring splošno razširjenih vrst ptic za določitev slovenskega indeksa ptic kmetijske krajine - poročilo za leto 2015</w:t>
      </w:r>
      <w:r w:rsidRPr="00C96521">
        <w:rPr>
          <w:rFonts w:eastAsia="MS Mincho" w:cs="Arial"/>
          <w:szCs w:val="18"/>
          <w:lang w:val="en-GB" w:eastAsia="ja-JP"/>
        </w:rPr>
        <w:t>. DOPPS, Ljubljana.</w:t>
      </w:r>
    </w:p>
    <w:p w14:paraId="693CAB98"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78FC9F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KURESOO A, PEHLAK H and NELLIS R (2011)</w:t>
      </w:r>
      <w:r w:rsidRPr="00C96521">
        <w:rPr>
          <w:rFonts w:eastAsia="MS Mincho" w:cs="Arial"/>
          <w:szCs w:val="18"/>
          <w:lang w:val="en-GB" w:eastAsia="ja-JP"/>
        </w:rPr>
        <w:t xml:space="preserve"> Population trends of common birds in Estonia in 1983-2010. </w:t>
      </w:r>
      <w:r w:rsidRPr="00C96521">
        <w:rPr>
          <w:rFonts w:eastAsia="MS Mincho" w:cs="Arial"/>
          <w:i/>
          <w:szCs w:val="18"/>
          <w:lang w:val="en-GB" w:eastAsia="ja-JP"/>
        </w:rPr>
        <w:t>Estonian Journal of Ecology</w:t>
      </w:r>
      <w:r w:rsidRPr="00C96521">
        <w:rPr>
          <w:rFonts w:eastAsia="MS Mincho" w:cs="Arial"/>
          <w:szCs w:val="18"/>
          <w:lang w:val="en-GB" w:eastAsia="ja-JP"/>
        </w:rPr>
        <w:t xml:space="preserve"> 60(2): 88-110.</w:t>
      </w:r>
    </w:p>
    <w:p w14:paraId="4243400D"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8FD053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KURLAVIČIUS P (2006)</w:t>
      </w:r>
      <w:r w:rsidRPr="00C96521">
        <w:rPr>
          <w:rFonts w:eastAsia="MS Mincho" w:cs="Arial"/>
          <w:szCs w:val="18"/>
          <w:lang w:val="en-GB" w:eastAsia="ja-JP"/>
        </w:rPr>
        <w:t xml:space="preserve"> </w:t>
      </w:r>
      <w:r w:rsidRPr="00C96521">
        <w:rPr>
          <w:rFonts w:eastAsia="MS Mincho" w:cs="Arial"/>
          <w:i/>
          <w:szCs w:val="18"/>
          <w:lang w:val="en-GB" w:eastAsia="ja-JP"/>
        </w:rPr>
        <w:t>Lietuvos Perinčių Paukščių Atlasas</w:t>
      </w:r>
      <w:r w:rsidRPr="00C96521">
        <w:rPr>
          <w:rFonts w:eastAsia="MS Mincho" w:cs="Arial"/>
          <w:szCs w:val="18"/>
          <w:lang w:val="en-GB" w:eastAsia="ja-JP"/>
        </w:rPr>
        <w:t xml:space="preserve">. Lututė, Kaunas. </w:t>
      </w:r>
    </w:p>
    <w:p w14:paraId="0DBE0EA9"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F4530A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KUSSEROW D and BROUWER J (2011) </w:t>
      </w:r>
      <w:r w:rsidRPr="00C96521">
        <w:rPr>
          <w:rFonts w:eastAsia="MS Mincho" w:cs="Arial"/>
          <w:szCs w:val="18"/>
          <w:lang w:val="en-GB" w:eastAsia="ja-JP"/>
        </w:rPr>
        <w:t xml:space="preserve">Europe-bound migratory passerines, heat-struck in Niger before they cross the Sahara. </w:t>
      </w:r>
      <w:r w:rsidRPr="00C96521">
        <w:rPr>
          <w:rFonts w:eastAsia="MS Mincho" w:cs="Arial"/>
          <w:i/>
          <w:szCs w:val="18"/>
          <w:lang w:val="en-GB" w:eastAsia="ja-JP"/>
        </w:rPr>
        <w:t>West African Bird DataBase</w:t>
      </w:r>
      <w:r w:rsidRPr="00C96521">
        <w:rPr>
          <w:rFonts w:eastAsia="MS Mincho" w:cs="Arial"/>
          <w:szCs w:val="18"/>
          <w:lang w:val="en-GB" w:eastAsia="ja-JP"/>
        </w:rPr>
        <w:t>.</w:t>
      </w:r>
    </w:p>
    <w:p w14:paraId="2C68468B"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7670E19"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LEGAKIS A and MARAGKOU P (2009)</w:t>
      </w:r>
      <w:r w:rsidRPr="00C96521">
        <w:rPr>
          <w:rFonts w:eastAsia="MS Mincho" w:cs="Arial"/>
          <w:szCs w:val="18"/>
          <w:lang w:val="en-GB" w:eastAsia="ja-JP"/>
        </w:rPr>
        <w:t xml:space="preserve"> </w:t>
      </w:r>
      <w:r w:rsidRPr="00C96521">
        <w:rPr>
          <w:rFonts w:eastAsia="MS Mincho" w:cs="Arial"/>
          <w:i/>
          <w:szCs w:val="18"/>
          <w:lang w:val="en-GB" w:eastAsia="ja-JP"/>
        </w:rPr>
        <w:t>The Red Data Book of Threatened Animals in Greece</w:t>
      </w:r>
      <w:r w:rsidRPr="00C96521">
        <w:rPr>
          <w:rFonts w:eastAsia="MS Mincho" w:cs="Arial"/>
          <w:szCs w:val="18"/>
          <w:lang w:val="en-GB" w:eastAsia="ja-JP"/>
        </w:rPr>
        <w:t>. Hellenic Zoological Society, Athens.</w:t>
      </w:r>
    </w:p>
    <w:p w14:paraId="0794B97D"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6F9CB32B" w14:textId="518894C9"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LEHIKOINEN A (2016)</w:t>
      </w:r>
      <w:r w:rsidRPr="00C96521">
        <w:rPr>
          <w:rFonts w:eastAsia="MS Mincho" w:cs="Arial"/>
          <w:szCs w:val="18"/>
          <w:lang w:val="en-GB" w:eastAsia="ja-JP"/>
        </w:rPr>
        <w:t xml:space="preserve"> </w:t>
      </w:r>
      <w:r w:rsidRPr="00C96521">
        <w:rPr>
          <w:rFonts w:eastAsia="MS Mincho" w:cs="Arial"/>
          <w:i/>
          <w:szCs w:val="18"/>
          <w:lang w:val="en-GB" w:eastAsia="ja-JP"/>
        </w:rPr>
        <w:t>Turtle-dove (</w:t>
      </w:r>
      <w:r w:rsidRPr="00C96521">
        <w:rPr>
          <w:rFonts w:eastAsia="MS Mincho" w:cs="Arial"/>
          <w:szCs w:val="18"/>
          <w:lang w:val="en-GB" w:eastAsia="ja-JP"/>
        </w:rPr>
        <w:t>Streptopelia turtur</w:t>
      </w:r>
      <w:r w:rsidRPr="00C96521">
        <w:rPr>
          <w:rFonts w:eastAsia="MS Mincho" w:cs="Arial"/>
          <w:i/>
          <w:szCs w:val="18"/>
          <w:lang w:val="en-GB" w:eastAsia="ja-JP"/>
        </w:rPr>
        <w:t>). Finnish Bird Atlas.</w:t>
      </w:r>
      <w:r w:rsidRPr="00C96521">
        <w:rPr>
          <w:rFonts w:eastAsia="MS Mincho" w:cs="Arial"/>
          <w:szCs w:val="18"/>
          <w:lang w:val="en-GB" w:eastAsia="ja-JP"/>
        </w:rPr>
        <w:t xml:space="preserve"> http://atlas3.lintuatlas.fi/tulokset/laji/turturikyyhky (last accessed 28</w:t>
      </w:r>
      <w:r w:rsidRPr="00C96521">
        <w:rPr>
          <w:rFonts w:eastAsia="MS Mincho" w:cs="Arial"/>
          <w:szCs w:val="18"/>
          <w:vertAlign w:val="superscript"/>
          <w:lang w:val="en-GB" w:eastAsia="ja-JP"/>
        </w:rPr>
        <w:t xml:space="preserve"> </w:t>
      </w:r>
      <w:r w:rsidRPr="00C96521">
        <w:rPr>
          <w:rFonts w:eastAsia="MS Mincho" w:cs="Arial"/>
          <w:szCs w:val="18"/>
          <w:lang w:val="en-GB" w:eastAsia="ja-JP"/>
        </w:rPr>
        <w:t>October 2016)</w:t>
      </w:r>
    </w:p>
    <w:p w14:paraId="699272C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24932F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LENNON RJ, DUNN JC, STOCKDALE JE, GOODMAN SJ, MORRIS AJ and HAMER KC (2013) </w:t>
      </w:r>
      <w:r w:rsidRPr="00C96521">
        <w:rPr>
          <w:rFonts w:eastAsia="MS Mincho" w:cs="Arial"/>
          <w:szCs w:val="18"/>
          <w:lang w:val="en-GB" w:eastAsia="ja-JP"/>
        </w:rPr>
        <w:t xml:space="preserve">Trichomonad parasite infection in four species of Columbidae in the UK. </w:t>
      </w:r>
      <w:r w:rsidRPr="00C96521">
        <w:rPr>
          <w:rFonts w:eastAsia="MS Mincho" w:cs="Arial"/>
          <w:i/>
          <w:szCs w:val="18"/>
          <w:lang w:val="en-GB" w:eastAsia="ja-JP"/>
        </w:rPr>
        <w:t>Parasitology</w:t>
      </w:r>
      <w:r w:rsidRPr="00C96521">
        <w:rPr>
          <w:rFonts w:eastAsia="MS Mincho" w:cs="Arial"/>
          <w:szCs w:val="18"/>
          <w:lang w:val="en-GB" w:eastAsia="ja-JP"/>
        </w:rPr>
        <w:t xml:space="preserve"> 140: 1368-1376.</w:t>
      </w:r>
    </w:p>
    <w:p w14:paraId="3D34702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FBEE31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LEOPOLD A (1953)</w:t>
      </w:r>
      <w:r w:rsidRPr="00C96521">
        <w:rPr>
          <w:rFonts w:eastAsia="MS Mincho" w:cs="Arial"/>
          <w:szCs w:val="18"/>
          <w:lang w:val="en-GB" w:eastAsia="ja-JP"/>
        </w:rPr>
        <w:t xml:space="preserve"> On a Monument to the Pigeon, In </w:t>
      </w:r>
      <w:r w:rsidRPr="00C96521">
        <w:rPr>
          <w:rFonts w:eastAsia="MS Mincho" w:cs="Arial"/>
          <w:i/>
          <w:szCs w:val="18"/>
          <w:lang w:val="en-GB" w:eastAsia="ja-JP"/>
        </w:rPr>
        <w:t>A Sand County Almanac.</w:t>
      </w:r>
      <w:r w:rsidRPr="00C96521">
        <w:rPr>
          <w:rFonts w:eastAsia="MS Mincho" w:cs="Arial"/>
          <w:szCs w:val="18"/>
          <w:lang w:val="en-GB" w:eastAsia="ja-JP"/>
        </w:rPr>
        <w:t xml:space="preserve"> Oxford University Press, Oxford.</w:t>
      </w:r>
    </w:p>
    <w:p w14:paraId="791A5379" w14:textId="77777777" w:rsidR="00C96521" w:rsidRPr="00C96521" w:rsidRDefault="00C96521" w:rsidP="00C96521">
      <w:pPr>
        <w:widowControl/>
        <w:spacing w:line="276" w:lineRule="auto"/>
        <w:rPr>
          <w:rFonts w:eastAsia="MS Mincho" w:cs="Arial"/>
          <w:b/>
          <w:szCs w:val="18"/>
          <w:lang w:val="en-GB" w:eastAsia="ja-JP"/>
        </w:rPr>
      </w:pPr>
    </w:p>
    <w:p w14:paraId="020147AA" w14:textId="77777777" w:rsidR="00C96521" w:rsidRPr="00965D7D" w:rsidRDefault="00C96521" w:rsidP="00C96521">
      <w:pPr>
        <w:widowControl/>
        <w:spacing w:line="276" w:lineRule="auto"/>
        <w:rPr>
          <w:rFonts w:eastAsia="MS Mincho" w:cs="Arial"/>
          <w:szCs w:val="18"/>
          <w:lang w:val="de-DE" w:eastAsia="ja-JP"/>
        </w:rPr>
      </w:pPr>
      <w:r w:rsidRPr="00C96521">
        <w:rPr>
          <w:rFonts w:eastAsia="MS Mincho" w:cs="Arial"/>
          <w:b/>
          <w:szCs w:val="18"/>
          <w:lang w:val="en-GB" w:eastAsia="ja-JP"/>
        </w:rPr>
        <w:t>LICHERI D and SPINA F (2005)</w:t>
      </w:r>
      <w:r w:rsidRPr="00C96521">
        <w:rPr>
          <w:rFonts w:eastAsia="MS Mincho" w:cs="Arial"/>
          <w:szCs w:val="18"/>
          <w:lang w:val="en-GB" w:eastAsia="ja-JP"/>
        </w:rPr>
        <w:t xml:space="preserve"> Biodiversità dell’avifauna italiana: variabilità morfologica nei non-Passeriformi. </w:t>
      </w:r>
      <w:r w:rsidRPr="00965D7D">
        <w:rPr>
          <w:rFonts w:eastAsia="MS Mincho" w:cs="Arial"/>
          <w:i/>
          <w:szCs w:val="18"/>
          <w:lang w:val="de-DE" w:eastAsia="ja-JP"/>
        </w:rPr>
        <w:t>Biologia e Conservazione della Fauna</w:t>
      </w:r>
      <w:r w:rsidRPr="00965D7D">
        <w:rPr>
          <w:rFonts w:eastAsia="MS Mincho" w:cs="Arial"/>
          <w:szCs w:val="18"/>
          <w:lang w:val="de-DE" w:eastAsia="ja-JP"/>
        </w:rPr>
        <w:t xml:space="preserve"> 114: 1-192.</w:t>
      </w:r>
    </w:p>
    <w:p w14:paraId="0626FE3B" w14:textId="77777777" w:rsidR="00C96521" w:rsidRPr="00965D7D" w:rsidRDefault="00C96521" w:rsidP="00C96521">
      <w:pPr>
        <w:widowControl/>
        <w:spacing w:line="276" w:lineRule="auto"/>
        <w:rPr>
          <w:rFonts w:eastAsia="MS Mincho" w:cs="Arial"/>
          <w:b/>
          <w:szCs w:val="18"/>
          <w:lang w:val="de-DE" w:eastAsia="ja-JP"/>
        </w:rPr>
      </w:pPr>
    </w:p>
    <w:p w14:paraId="20F3DD21" w14:textId="77777777" w:rsidR="00C96521" w:rsidRPr="00965D7D" w:rsidRDefault="00C96521" w:rsidP="00C96521">
      <w:pPr>
        <w:widowControl/>
        <w:spacing w:line="276" w:lineRule="auto"/>
        <w:rPr>
          <w:rFonts w:eastAsia="MS Mincho"/>
          <w:szCs w:val="18"/>
          <w:lang w:val="de-DE" w:eastAsia="ja-JP"/>
        </w:rPr>
      </w:pPr>
      <w:r w:rsidRPr="00965D7D">
        <w:rPr>
          <w:rFonts w:eastAsia="MS Mincho" w:cs="Arial"/>
          <w:b/>
          <w:szCs w:val="18"/>
          <w:lang w:val="de-DE" w:eastAsia="ja-JP"/>
        </w:rPr>
        <w:t xml:space="preserve">LIECHTENSTEINISCHES LANDESGESETZBLATT (2003) </w:t>
      </w:r>
      <w:r w:rsidRPr="00965D7D">
        <w:rPr>
          <w:rFonts w:eastAsia="MS Mincho" w:cs="Arial"/>
          <w:i/>
          <w:szCs w:val="18"/>
          <w:lang w:val="de-DE" w:eastAsia="ja-JP"/>
        </w:rPr>
        <w:t>Verordnung vom 30. September 2003 über die Hege des Wildes, die Abschussplanung, - durchführung und - kontrolle sowie die Kostenregelung von Massnahmen der Wildschadenverhü- tung (Hegeverordnung; HegeV).</w:t>
      </w:r>
      <w:r w:rsidRPr="00965D7D">
        <w:rPr>
          <w:rFonts w:eastAsia="MS Mincho" w:cs="Arial"/>
          <w:szCs w:val="18"/>
          <w:lang w:val="de-DE" w:eastAsia="ja-JP"/>
        </w:rPr>
        <w:t xml:space="preserve"> </w:t>
      </w:r>
      <w:r w:rsidRPr="00965D7D">
        <w:rPr>
          <w:rFonts w:eastAsia="MS Mincho"/>
          <w:szCs w:val="18"/>
          <w:lang w:val="de-DE" w:eastAsia="ja-JP"/>
        </w:rPr>
        <w:t>https://www.gesetze.li/lilexprod/ifshowpdf.jsp?lgblid=2003198000&amp;version=3&amp;signed=n&amp;tablesel=0</w:t>
      </w:r>
    </w:p>
    <w:p w14:paraId="4676EE3B" w14:textId="21A909EF" w:rsidR="00C96521" w:rsidRPr="00965D7D" w:rsidRDefault="00C96521" w:rsidP="00C96521">
      <w:pPr>
        <w:widowControl/>
        <w:spacing w:line="276" w:lineRule="auto"/>
        <w:rPr>
          <w:rFonts w:eastAsia="MS Mincho" w:cs="Arial"/>
          <w:b/>
          <w:szCs w:val="18"/>
          <w:lang w:val="de-DE" w:eastAsia="ja-JP"/>
        </w:rPr>
      </w:pPr>
      <w:r w:rsidRPr="00965D7D">
        <w:rPr>
          <w:rFonts w:eastAsia="MS Mincho" w:cs="Arial"/>
          <w:szCs w:val="18"/>
          <w:lang w:val="de-DE" w:eastAsia="ja-JP"/>
        </w:rPr>
        <w:t>(last accessed 25 November 2016).</w:t>
      </w:r>
    </w:p>
    <w:p w14:paraId="5B9E2151" w14:textId="77777777" w:rsidR="00C96521" w:rsidRPr="00965D7D" w:rsidRDefault="00C96521" w:rsidP="00C96521">
      <w:pPr>
        <w:widowControl/>
        <w:spacing w:line="276" w:lineRule="auto"/>
        <w:rPr>
          <w:rFonts w:eastAsia="MS Mincho" w:cs="Arial"/>
          <w:b/>
          <w:szCs w:val="18"/>
          <w:lang w:val="de-DE" w:eastAsia="ja-JP"/>
        </w:rPr>
      </w:pPr>
    </w:p>
    <w:p w14:paraId="5C70F458" w14:textId="1B0AD64A" w:rsidR="00C96521" w:rsidRPr="00965D7D" w:rsidRDefault="00C96521" w:rsidP="00C96521">
      <w:pPr>
        <w:widowControl/>
        <w:spacing w:line="276" w:lineRule="auto"/>
        <w:rPr>
          <w:rFonts w:eastAsia="MS Mincho" w:cs="Arial"/>
          <w:szCs w:val="18"/>
          <w:lang w:val="de-DE" w:eastAsia="ja-JP"/>
        </w:rPr>
      </w:pPr>
      <w:r w:rsidRPr="00965D7D">
        <w:rPr>
          <w:rFonts w:eastAsia="MS Mincho" w:cs="Arial"/>
          <w:b/>
          <w:szCs w:val="18"/>
          <w:lang w:val="de-DE" w:eastAsia="ja-JP"/>
        </w:rPr>
        <w:t>LIETUVOS ORNITOLOGŲ DRAUGIJA (2013)</w:t>
      </w:r>
      <w:r w:rsidRPr="00965D7D">
        <w:rPr>
          <w:rFonts w:eastAsia="MS Mincho" w:cs="Arial"/>
          <w:szCs w:val="18"/>
          <w:lang w:val="de-DE" w:eastAsia="ja-JP"/>
        </w:rPr>
        <w:t xml:space="preserve"> </w:t>
      </w:r>
      <w:r w:rsidRPr="00965D7D">
        <w:rPr>
          <w:rFonts w:eastAsia="MS Mincho" w:cs="Arial"/>
          <w:i/>
          <w:szCs w:val="18"/>
          <w:lang w:val="de-DE" w:eastAsia="ja-JP"/>
        </w:rPr>
        <w:t>Paukščių populiacijų gausos pokyčiai Lietuvoje</w:t>
      </w:r>
      <w:r w:rsidRPr="00965D7D">
        <w:rPr>
          <w:rFonts w:eastAsia="MS Mincho" w:cs="Arial"/>
          <w:szCs w:val="18"/>
          <w:lang w:val="de-DE" w:eastAsia="ja-JP"/>
        </w:rPr>
        <w:t>. http://www.virtualusprocesai.lt/ipgs/view.php?kat_id=2 (last accessed 28</w:t>
      </w:r>
      <w:r w:rsidRPr="00965D7D">
        <w:rPr>
          <w:rFonts w:eastAsia="MS Mincho" w:cs="Arial"/>
          <w:szCs w:val="18"/>
          <w:vertAlign w:val="superscript"/>
          <w:lang w:val="de-DE" w:eastAsia="ja-JP"/>
        </w:rPr>
        <w:t xml:space="preserve"> </w:t>
      </w:r>
      <w:r w:rsidRPr="00965D7D">
        <w:rPr>
          <w:rFonts w:eastAsia="MS Mincho" w:cs="Arial"/>
          <w:szCs w:val="18"/>
          <w:lang w:val="de-DE" w:eastAsia="ja-JP"/>
        </w:rPr>
        <w:t>October 2016)</w:t>
      </w:r>
    </w:p>
    <w:p w14:paraId="745ABE97" w14:textId="77777777" w:rsidR="00C96521" w:rsidRPr="00965D7D" w:rsidRDefault="00C96521" w:rsidP="00C96521">
      <w:pPr>
        <w:widowControl/>
        <w:autoSpaceDE/>
        <w:autoSpaceDN/>
        <w:adjustRightInd/>
        <w:spacing w:line="276" w:lineRule="auto"/>
        <w:rPr>
          <w:rFonts w:eastAsia="MS Mincho" w:cs="Arial"/>
          <w:b/>
          <w:szCs w:val="18"/>
          <w:lang w:val="de-DE" w:eastAsia="ja-JP"/>
        </w:rPr>
      </w:pPr>
    </w:p>
    <w:p w14:paraId="584E92E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fr-FR" w:eastAsia="ja-JP"/>
        </w:rPr>
        <w:t xml:space="preserve">LIPPENS CL and WILLE H (1972) </w:t>
      </w:r>
      <w:r w:rsidRPr="00890F11">
        <w:rPr>
          <w:rFonts w:eastAsia="MS Mincho" w:cs="Arial"/>
          <w:i/>
          <w:szCs w:val="18"/>
          <w:lang w:val="fr-FR" w:eastAsia="ja-JP"/>
        </w:rPr>
        <w:t>Atlas des oiseaux de Belgique et d’Europe occidentale</w:t>
      </w:r>
      <w:r w:rsidRPr="00890F11">
        <w:rPr>
          <w:rFonts w:eastAsia="MS Mincho" w:cs="Arial"/>
          <w:szCs w:val="18"/>
          <w:lang w:val="fr-FR" w:eastAsia="ja-JP"/>
        </w:rPr>
        <w:t xml:space="preserve">. </w:t>
      </w:r>
      <w:r w:rsidRPr="00C96521">
        <w:rPr>
          <w:rFonts w:eastAsia="MS Mincho" w:cs="Arial"/>
          <w:szCs w:val="18"/>
          <w:lang w:val="en-GB" w:eastAsia="ja-JP"/>
        </w:rPr>
        <w:t>Editions Lannoo, Tielt.</w:t>
      </w:r>
    </w:p>
    <w:p w14:paraId="59667F0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C2545C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LIPU/SEO/HOS (2015)</w:t>
      </w:r>
      <w:r w:rsidRPr="00C96521">
        <w:rPr>
          <w:rFonts w:eastAsia="MS Mincho" w:cs="Arial"/>
          <w:szCs w:val="18"/>
          <w:lang w:val="en-GB" w:eastAsia="ja-JP"/>
        </w:rPr>
        <w:t xml:space="preserve"> </w:t>
      </w:r>
      <w:r w:rsidRPr="00C96521">
        <w:rPr>
          <w:rFonts w:eastAsia="MS Mincho" w:cs="Arial"/>
          <w:i/>
          <w:szCs w:val="18"/>
          <w:lang w:val="en-GB" w:eastAsia="ja-JP"/>
        </w:rPr>
        <w:t>Leaving is Living – Layman’s Report LIFE Project “A Safe Haven for Wild Birds” (LIFE INF IT 253)</w:t>
      </w:r>
      <w:r w:rsidRPr="00C96521">
        <w:rPr>
          <w:rFonts w:eastAsia="MS Mincho" w:cs="Arial"/>
          <w:szCs w:val="18"/>
          <w:lang w:val="en-GB" w:eastAsia="ja-JP"/>
        </w:rPr>
        <w:t>. Lega Italiana Protezione Uccelli, SEO/BirdLife, Hellenic Ornithological Society, J Walter Thompson Worldwide.</w:t>
      </w:r>
    </w:p>
    <w:p w14:paraId="4CF3C42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EB80D1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LJURI DI, GORYACHKIN SV, KARAVAEVA NA, DENISENKO EA and NEFEDOVA TG (2010) </w:t>
      </w:r>
      <w:r w:rsidRPr="00C96521">
        <w:rPr>
          <w:rFonts w:eastAsia="MS Mincho" w:cs="Arial"/>
          <w:szCs w:val="18"/>
          <w:lang w:val="en-GB" w:eastAsia="ja-JP"/>
        </w:rPr>
        <w:t xml:space="preserve">Dynamics of agricultural lands in Russia in the 20th century and post-farming recovery of vegetation and soils. </w:t>
      </w:r>
      <w:r w:rsidRPr="00C96521">
        <w:rPr>
          <w:rFonts w:eastAsia="MS Mincho" w:cs="Arial"/>
          <w:i/>
          <w:szCs w:val="18"/>
          <w:lang w:val="en-GB" w:eastAsia="ja-JP"/>
        </w:rPr>
        <w:t>GEOS</w:t>
      </w:r>
      <w:r w:rsidRPr="00C96521">
        <w:rPr>
          <w:rFonts w:eastAsia="MS Mincho" w:cs="Arial"/>
          <w:szCs w:val="18"/>
          <w:lang w:val="en-GB" w:eastAsia="ja-JP"/>
        </w:rPr>
        <w:t>, Moscow. [in Russian]</w:t>
      </w:r>
    </w:p>
    <w:p w14:paraId="35DB02CC"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E0724FA" w14:textId="77777777" w:rsidR="00C96521" w:rsidRPr="00965D7D" w:rsidRDefault="00C96521" w:rsidP="00C96521">
      <w:pPr>
        <w:widowControl/>
        <w:autoSpaceDE/>
        <w:autoSpaceDN/>
        <w:adjustRightInd/>
        <w:spacing w:line="276" w:lineRule="auto"/>
        <w:rPr>
          <w:rFonts w:eastAsia="MS Mincho" w:cs="Arial"/>
          <w:b/>
          <w:bCs/>
          <w:szCs w:val="18"/>
          <w:lang w:val="de-DE" w:eastAsia="ja-JP"/>
        </w:rPr>
      </w:pPr>
      <w:r w:rsidRPr="00C96521">
        <w:rPr>
          <w:rFonts w:eastAsia="MS Mincho" w:cs="Arial"/>
          <w:b/>
          <w:szCs w:val="18"/>
          <w:lang w:val="en-GB" w:eastAsia="ja-JP"/>
        </w:rPr>
        <w:t>LOPEZ-ANTIA A, ORTIZ-SANTALIESTRA ME, MOUGEOT F and MATEO R (2013)</w:t>
      </w:r>
      <w:r w:rsidRPr="00C96521">
        <w:rPr>
          <w:rFonts w:eastAsia="MS Mincho" w:cs="Arial"/>
          <w:szCs w:val="18"/>
          <w:lang w:val="en-GB" w:eastAsia="ja-JP"/>
        </w:rPr>
        <w:t xml:space="preserve"> Experimental exposure of red-legged partridges (</w:t>
      </w:r>
      <w:r w:rsidRPr="00C96521">
        <w:rPr>
          <w:rFonts w:eastAsia="MS Mincho" w:cs="Arial"/>
          <w:i/>
          <w:szCs w:val="18"/>
          <w:lang w:val="en-GB" w:eastAsia="ja-JP"/>
        </w:rPr>
        <w:t>Alectoris rufa</w:t>
      </w:r>
      <w:r w:rsidRPr="00C96521">
        <w:rPr>
          <w:rFonts w:eastAsia="MS Mincho" w:cs="Arial"/>
          <w:szCs w:val="18"/>
          <w:lang w:val="en-GB" w:eastAsia="ja-JP"/>
        </w:rPr>
        <w:t xml:space="preserve">) to seeds coated with imidacloprid, thiram and difenoconazole. </w:t>
      </w:r>
      <w:r w:rsidRPr="00965D7D">
        <w:rPr>
          <w:rFonts w:eastAsia="MS Mincho" w:cs="Arial"/>
          <w:i/>
          <w:szCs w:val="18"/>
          <w:lang w:val="de-DE" w:eastAsia="ja-JP"/>
        </w:rPr>
        <w:t>Ecotoxicology</w:t>
      </w:r>
      <w:r w:rsidRPr="00965D7D">
        <w:rPr>
          <w:rFonts w:eastAsia="MS Mincho" w:cs="Arial"/>
          <w:szCs w:val="18"/>
          <w:lang w:val="de-DE" w:eastAsia="ja-JP"/>
        </w:rPr>
        <w:t xml:space="preserve"> 22(1): 125-138.</w:t>
      </w:r>
    </w:p>
    <w:p w14:paraId="63224EA1" w14:textId="77777777" w:rsidR="00C96521" w:rsidRPr="00965D7D" w:rsidRDefault="00C96521" w:rsidP="00C96521">
      <w:pPr>
        <w:widowControl/>
        <w:autoSpaceDE/>
        <w:autoSpaceDN/>
        <w:adjustRightInd/>
        <w:spacing w:line="276" w:lineRule="auto"/>
        <w:rPr>
          <w:rFonts w:eastAsia="MS Mincho" w:cs="Arial"/>
          <w:b/>
          <w:szCs w:val="18"/>
          <w:lang w:val="de-DE" w:eastAsia="ja-JP"/>
        </w:rPr>
      </w:pPr>
    </w:p>
    <w:p w14:paraId="362F5F17" w14:textId="77777777" w:rsidR="00C96521" w:rsidRPr="008C00B8" w:rsidRDefault="00C96521" w:rsidP="00C96521">
      <w:pPr>
        <w:widowControl/>
        <w:autoSpaceDE/>
        <w:autoSpaceDN/>
        <w:adjustRightInd/>
        <w:spacing w:line="276" w:lineRule="auto"/>
        <w:rPr>
          <w:rFonts w:eastAsia="MS Mincho" w:cs="Arial"/>
          <w:szCs w:val="18"/>
          <w:lang w:val="de-DE" w:eastAsia="ja-JP"/>
        </w:rPr>
      </w:pPr>
      <w:r w:rsidRPr="00965D7D">
        <w:rPr>
          <w:rFonts w:eastAsia="MS Mincho" w:cs="Arial"/>
          <w:b/>
          <w:szCs w:val="18"/>
          <w:lang w:val="de-DE" w:eastAsia="ja-JP"/>
        </w:rPr>
        <w:t>LORGÉ P and BIVER G (2010)</w:t>
      </w:r>
      <w:r w:rsidRPr="00965D7D">
        <w:rPr>
          <w:rFonts w:eastAsia="MS Mincho" w:cs="Arial"/>
          <w:szCs w:val="18"/>
          <w:lang w:val="de-DE" w:eastAsia="ja-JP"/>
        </w:rPr>
        <w:t xml:space="preserve"> Die Rote Liste der Brutvögel Luxemburgs – 2009. </w:t>
      </w:r>
      <w:r w:rsidRPr="008C00B8">
        <w:rPr>
          <w:rFonts w:eastAsia="MS Mincho" w:cs="Arial"/>
          <w:i/>
          <w:szCs w:val="18"/>
          <w:lang w:val="de-DE" w:eastAsia="ja-JP"/>
        </w:rPr>
        <w:t>Regulus Wissenschaftliche Berichte</w:t>
      </w:r>
      <w:r w:rsidRPr="008C00B8">
        <w:rPr>
          <w:rFonts w:eastAsia="MS Mincho" w:cs="Arial"/>
          <w:szCs w:val="18"/>
          <w:lang w:val="de-DE" w:eastAsia="ja-JP"/>
        </w:rPr>
        <w:t xml:space="preserve"> 25, 67-72.</w:t>
      </w:r>
    </w:p>
    <w:p w14:paraId="525FBEB6" w14:textId="77777777" w:rsidR="00C96521" w:rsidRPr="008C00B8" w:rsidRDefault="00C96521" w:rsidP="00C96521">
      <w:pPr>
        <w:widowControl/>
        <w:autoSpaceDE/>
        <w:autoSpaceDN/>
        <w:adjustRightInd/>
        <w:spacing w:line="276" w:lineRule="auto"/>
        <w:rPr>
          <w:rFonts w:eastAsia="MS Mincho" w:cs="Arial"/>
          <w:szCs w:val="18"/>
          <w:lang w:val="de-DE" w:eastAsia="ja-JP"/>
        </w:rPr>
      </w:pPr>
    </w:p>
    <w:p w14:paraId="3E241F4A"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965D7D">
        <w:rPr>
          <w:rFonts w:eastAsia="MS Mincho" w:cs="Arial"/>
          <w:b/>
          <w:szCs w:val="18"/>
          <w:lang w:val="de-DE" w:eastAsia="ja-JP"/>
        </w:rPr>
        <w:t>LORGÉ P, BASTIAN M and KLEIN K (2014)</w:t>
      </w:r>
      <w:r w:rsidRPr="00965D7D">
        <w:rPr>
          <w:rFonts w:eastAsia="MS Mincho" w:cs="Arial"/>
          <w:szCs w:val="18"/>
          <w:lang w:val="de-DE" w:eastAsia="ja-JP"/>
        </w:rPr>
        <w:t xml:space="preserve"> Die Rote Liste der Brutvögel Luxemburgs 2014. </w:t>
      </w:r>
      <w:r w:rsidRPr="00890F11">
        <w:rPr>
          <w:rFonts w:eastAsia="MS Mincho" w:cs="Arial"/>
          <w:i/>
          <w:szCs w:val="18"/>
          <w:lang w:val="fr-FR" w:eastAsia="ja-JP"/>
        </w:rPr>
        <w:t>Regulus Wissenschaftliche Berichte</w:t>
      </w:r>
      <w:r w:rsidRPr="00890F11">
        <w:rPr>
          <w:rFonts w:eastAsia="MS Mincho" w:cs="Arial"/>
          <w:szCs w:val="18"/>
          <w:lang w:val="fr-FR" w:eastAsia="ja-JP"/>
        </w:rPr>
        <w:t xml:space="preserve"> 30: 58-65.</w:t>
      </w:r>
    </w:p>
    <w:p w14:paraId="0AD12530"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148C6AF9" w14:textId="77777777" w:rsidR="00C96521" w:rsidRPr="00890F11" w:rsidRDefault="00C96521" w:rsidP="00C96521">
      <w:pPr>
        <w:widowControl/>
        <w:autoSpaceDE/>
        <w:autoSpaceDN/>
        <w:adjustRightInd/>
        <w:spacing w:line="276" w:lineRule="auto"/>
        <w:rPr>
          <w:rFonts w:eastAsia="MS Mincho" w:cs="Arial"/>
          <w:color w:val="FFFFFF"/>
          <w:szCs w:val="18"/>
          <w:lang w:val="fr-FR" w:eastAsia="ja-JP"/>
        </w:rPr>
      </w:pPr>
      <w:r w:rsidRPr="00890F11">
        <w:rPr>
          <w:rFonts w:eastAsia="MS Mincho" w:cs="Arial"/>
          <w:b/>
          <w:szCs w:val="18"/>
          <w:lang w:val="fr-FR" w:eastAsia="ja-JP"/>
        </w:rPr>
        <w:t>LORMÉE H (2013)</w:t>
      </w:r>
      <w:r w:rsidRPr="00890F11">
        <w:rPr>
          <w:rFonts w:eastAsia="MS Mincho" w:cs="Arial"/>
          <w:szCs w:val="18"/>
          <w:lang w:val="fr-FR" w:eastAsia="ja-JP"/>
        </w:rPr>
        <w:t xml:space="preserve"> </w:t>
      </w:r>
      <w:r w:rsidRPr="00890F11">
        <w:rPr>
          <w:rFonts w:eastAsia="MS Mincho" w:cs="Arial"/>
          <w:i/>
          <w:szCs w:val="18"/>
          <w:lang w:val="fr-FR" w:eastAsia="ja-JP"/>
        </w:rPr>
        <w:t>Programme d’études Colombidés – Bilan de la campagne 2012</w:t>
      </w:r>
      <w:r w:rsidRPr="00890F11">
        <w:rPr>
          <w:rFonts w:eastAsia="MS Mincho" w:cs="Arial"/>
          <w:szCs w:val="18"/>
          <w:lang w:val="fr-FR" w:eastAsia="ja-JP"/>
        </w:rPr>
        <w:t>. Office National de la Chasse et de la Faune Sauvage, Villiers-en-Bois.</w:t>
      </w:r>
    </w:p>
    <w:p w14:paraId="69F07F56" w14:textId="77777777" w:rsidR="00C96521" w:rsidRPr="00890F11" w:rsidRDefault="00C96521" w:rsidP="00C96521">
      <w:pPr>
        <w:widowControl/>
        <w:autoSpaceDE/>
        <w:autoSpaceDN/>
        <w:adjustRightInd/>
        <w:spacing w:line="276" w:lineRule="auto"/>
        <w:rPr>
          <w:rFonts w:eastAsia="MS Mincho" w:cs="Arial"/>
          <w:b/>
          <w:szCs w:val="18"/>
          <w:lang w:val="fr-FR" w:eastAsia="ja-JP"/>
        </w:rPr>
      </w:pPr>
    </w:p>
    <w:p w14:paraId="4A51FEE0"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LORMÉE H, BOUTIN J-M, PINAUD D, BIDAULT H and ERAUD C (2016)</w:t>
      </w:r>
      <w:r w:rsidRPr="00C96521">
        <w:rPr>
          <w:rFonts w:eastAsia="MS Mincho" w:cs="Arial"/>
          <w:szCs w:val="18"/>
          <w:lang w:val="en-GB" w:eastAsia="ja-JP"/>
        </w:rPr>
        <w:t xml:space="preserve">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migration routes and wintering areas revealed using satellite telemetry. </w:t>
      </w:r>
      <w:r w:rsidRPr="00C96521">
        <w:rPr>
          <w:rFonts w:eastAsia="MS Mincho" w:cs="Arial"/>
          <w:i/>
          <w:szCs w:val="18"/>
          <w:lang w:val="en-GB" w:eastAsia="ja-JP"/>
        </w:rPr>
        <w:t>Bird Study</w:t>
      </w:r>
      <w:r w:rsidRPr="00C96521">
        <w:rPr>
          <w:rFonts w:eastAsia="MS Mincho" w:cs="Arial"/>
          <w:szCs w:val="18"/>
          <w:lang w:val="en-GB" w:eastAsia="ja-JP"/>
        </w:rPr>
        <w:t xml:space="preserve"> DOI: 10.1080/00063657.2016.1185086</w:t>
      </w:r>
    </w:p>
    <w:p w14:paraId="46ABC22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643FF6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LUOMUS (2016)</w:t>
      </w:r>
      <w:r w:rsidRPr="00C96521">
        <w:rPr>
          <w:rFonts w:eastAsia="MS Mincho" w:cs="Arial"/>
          <w:szCs w:val="18"/>
          <w:lang w:val="en-GB" w:eastAsia="ja-JP"/>
        </w:rPr>
        <w:t xml:space="preserve"> </w:t>
      </w:r>
      <w:r w:rsidRPr="00C96521">
        <w:rPr>
          <w:rFonts w:eastAsia="MS Mincho" w:cs="Arial"/>
          <w:i/>
          <w:szCs w:val="18"/>
          <w:lang w:val="en-GB" w:eastAsia="ja-JP"/>
        </w:rPr>
        <w:t>Russian Bird Atlas 2005-2017</w:t>
      </w:r>
      <w:r w:rsidRPr="00C96521">
        <w:rPr>
          <w:rFonts w:eastAsia="MS Mincho" w:cs="Arial"/>
          <w:szCs w:val="18"/>
          <w:lang w:val="en-GB" w:eastAsia="ja-JP"/>
        </w:rPr>
        <w:t>. http://www.luomus.fi/fi/venajan-lintuatlas-2005-2017 (last accessed 31</w:t>
      </w:r>
      <w:r w:rsidRPr="00C96521">
        <w:rPr>
          <w:rFonts w:eastAsia="MS Mincho" w:cs="Arial"/>
          <w:szCs w:val="18"/>
          <w:vertAlign w:val="superscript"/>
          <w:lang w:val="en-GB" w:eastAsia="ja-JP"/>
        </w:rPr>
        <w:t xml:space="preserve">st </w:t>
      </w:r>
      <w:r w:rsidRPr="00C96521">
        <w:rPr>
          <w:rFonts w:eastAsia="MS Mincho" w:cs="Arial"/>
          <w:szCs w:val="18"/>
          <w:lang w:val="en-GB" w:eastAsia="ja-JP"/>
        </w:rPr>
        <w:t>October 2016)</w:t>
      </w:r>
    </w:p>
    <w:p w14:paraId="39AAC759" w14:textId="77777777" w:rsidR="00C96521" w:rsidRPr="00C96521" w:rsidRDefault="00C96521" w:rsidP="00C96521">
      <w:pPr>
        <w:widowControl/>
        <w:spacing w:line="276" w:lineRule="auto"/>
        <w:rPr>
          <w:rFonts w:eastAsia="MS Mincho" w:cs="Arial"/>
          <w:b/>
          <w:szCs w:val="18"/>
          <w:lang w:val="en-GB" w:eastAsia="ja-JP"/>
        </w:rPr>
      </w:pPr>
    </w:p>
    <w:p w14:paraId="67AE777F" w14:textId="1A02FF49"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LUTZ M (2007)</w:t>
      </w:r>
      <w:r w:rsidRPr="00C96521">
        <w:rPr>
          <w:rFonts w:eastAsia="MS Mincho" w:cs="Arial"/>
          <w:szCs w:val="18"/>
          <w:lang w:val="en-GB" w:eastAsia="ja-JP"/>
        </w:rPr>
        <w:t xml:space="preserve"> </w:t>
      </w:r>
      <w:r w:rsidRPr="00C96521">
        <w:rPr>
          <w:rFonts w:eastAsia="MS Mincho" w:cs="Arial"/>
          <w:i/>
          <w:szCs w:val="18"/>
          <w:lang w:val="en-GB" w:eastAsia="ja-JP"/>
        </w:rPr>
        <w:t xml:space="preserve">Management Plan for </w:t>
      </w:r>
      <w:r w:rsidR="003A3278">
        <w:rPr>
          <w:rFonts w:eastAsia="MS Mincho" w:cs="Arial"/>
          <w:i/>
          <w:szCs w:val="18"/>
          <w:lang w:val="en-GB" w:eastAsia="ja-JP"/>
        </w:rPr>
        <w:t>T</w:t>
      </w:r>
      <w:r w:rsidRPr="00C96521">
        <w:rPr>
          <w:rFonts w:eastAsia="MS Mincho" w:cs="Arial"/>
          <w:i/>
          <w:szCs w:val="18"/>
          <w:lang w:val="en-GB" w:eastAsia="ja-JP"/>
        </w:rPr>
        <w:t>urtle</w:t>
      </w:r>
      <w:r w:rsidR="003A3278">
        <w:rPr>
          <w:rFonts w:eastAsia="MS Mincho" w:cs="Arial"/>
          <w:i/>
          <w:szCs w:val="18"/>
          <w:lang w:val="en-GB" w:eastAsia="ja-JP"/>
        </w:rPr>
        <w:t xml:space="preserve"> D</w:t>
      </w:r>
      <w:r w:rsidRPr="00C96521">
        <w:rPr>
          <w:rFonts w:eastAsia="MS Mincho" w:cs="Arial"/>
          <w:i/>
          <w:szCs w:val="18"/>
          <w:lang w:val="en-GB" w:eastAsia="ja-JP"/>
        </w:rPr>
        <w:t>ove (</w:t>
      </w:r>
      <w:r w:rsidRPr="00C96521">
        <w:rPr>
          <w:rFonts w:eastAsia="MS Mincho" w:cs="Arial"/>
          <w:szCs w:val="18"/>
          <w:lang w:val="en-GB" w:eastAsia="ja-JP"/>
        </w:rPr>
        <w:t>Streptopelia turtur</w:t>
      </w:r>
      <w:r w:rsidRPr="00C96521">
        <w:rPr>
          <w:rFonts w:eastAsia="MS Mincho" w:cs="Arial"/>
          <w:i/>
          <w:szCs w:val="18"/>
          <w:lang w:val="en-GB" w:eastAsia="ja-JP"/>
        </w:rPr>
        <w:t>) 2007-2009</w:t>
      </w:r>
      <w:r w:rsidRPr="00C96521">
        <w:rPr>
          <w:rFonts w:eastAsia="MS Mincho" w:cs="Arial"/>
          <w:szCs w:val="18"/>
          <w:lang w:val="en-GB" w:eastAsia="ja-JP"/>
        </w:rPr>
        <w:t>. European Commission, Technical Report 007-2007.</w:t>
      </w:r>
    </w:p>
    <w:p w14:paraId="2B2B3EFF"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51C79C7" w14:textId="77777777" w:rsidR="00C96521" w:rsidRPr="00890F11" w:rsidRDefault="00C96521" w:rsidP="00C96521">
      <w:pPr>
        <w:widowControl/>
        <w:spacing w:line="276" w:lineRule="auto"/>
        <w:rPr>
          <w:rFonts w:eastAsia="MS Mincho" w:cs="Arial"/>
          <w:szCs w:val="18"/>
          <w:lang w:val="es-ES" w:eastAsia="ja-JP"/>
        </w:rPr>
      </w:pPr>
      <w:r w:rsidRPr="00C96521">
        <w:rPr>
          <w:rFonts w:eastAsia="MS Mincho" w:cs="Arial"/>
          <w:b/>
          <w:szCs w:val="18"/>
          <w:lang w:val="en-GB" w:eastAsia="ja-JP"/>
        </w:rPr>
        <w:t>MACCHIO S, MESSINEO A, LICHERI D and SPINA F (1999)</w:t>
      </w:r>
      <w:r w:rsidRPr="00C96521">
        <w:rPr>
          <w:rFonts w:eastAsia="MS Mincho" w:cs="Arial"/>
          <w:szCs w:val="18"/>
          <w:lang w:val="en-GB" w:eastAsia="ja-JP"/>
        </w:rPr>
        <w:t xml:space="preserve"> Atlante della distribuzione geografica e stagionale degli uccelli inanellati in Italia negli anni 1980-1994. </w:t>
      </w:r>
      <w:r w:rsidRPr="00890F11">
        <w:rPr>
          <w:rFonts w:eastAsia="MS Mincho" w:cs="Arial"/>
          <w:i/>
          <w:szCs w:val="18"/>
          <w:lang w:val="es-ES" w:eastAsia="ja-JP"/>
        </w:rPr>
        <w:t>Biologia e Conservazione della Fauna</w:t>
      </w:r>
      <w:r w:rsidRPr="00890F11">
        <w:rPr>
          <w:rFonts w:eastAsia="MS Mincho" w:cs="Arial"/>
          <w:szCs w:val="18"/>
          <w:lang w:val="es-ES" w:eastAsia="ja-JP"/>
        </w:rPr>
        <w:t xml:space="preserve"> 103: 1-276.</w:t>
      </w:r>
    </w:p>
    <w:p w14:paraId="2078A987"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500C588A" w14:textId="77777777" w:rsidR="00C96521" w:rsidRPr="00890F11" w:rsidRDefault="00C96521" w:rsidP="00C96521">
      <w:pPr>
        <w:widowControl/>
        <w:autoSpaceDE/>
        <w:autoSpaceDN/>
        <w:adjustRightInd/>
        <w:spacing w:line="276" w:lineRule="auto"/>
        <w:rPr>
          <w:rFonts w:eastAsia="MS Mincho" w:cs="Arial"/>
          <w:b/>
          <w:szCs w:val="18"/>
          <w:lang w:val="es-ES" w:eastAsia="ja-JP"/>
        </w:rPr>
      </w:pPr>
      <w:r w:rsidRPr="00890F11">
        <w:rPr>
          <w:rFonts w:eastAsia="MS Mincho" w:cs="Arial"/>
          <w:b/>
          <w:szCs w:val="18"/>
          <w:lang w:val="es-ES" w:eastAsia="ja-JP"/>
        </w:rPr>
        <w:t>MADROÑO A, GONZALEZ C and ATIENZA JC (2004)</w:t>
      </w:r>
      <w:r w:rsidRPr="00890F11">
        <w:rPr>
          <w:rFonts w:eastAsia="MS Mincho" w:cs="Arial"/>
          <w:szCs w:val="18"/>
          <w:lang w:val="es-ES" w:eastAsia="ja-JP"/>
        </w:rPr>
        <w:t xml:space="preserve"> </w:t>
      </w:r>
      <w:r w:rsidRPr="00890F11">
        <w:rPr>
          <w:rFonts w:eastAsia="MS Mincho" w:cs="Arial"/>
          <w:i/>
          <w:szCs w:val="18"/>
          <w:lang w:val="es-ES" w:eastAsia="ja-JP"/>
        </w:rPr>
        <w:t>Libro Rojo de las Aves de España. Dirección General para la Biodiversidad</w:t>
      </w:r>
      <w:r w:rsidRPr="00890F11">
        <w:rPr>
          <w:rFonts w:eastAsia="MS Mincho" w:cs="Arial"/>
          <w:szCs w:val="18"/>
          <w:lang w:val="es-ES" w:eastAsia="ja-JP"/>
        </w:rPr>
        <w:t>. SEO/BirdLife, Madrid.</w:t>
      </w:r>
    </w:p>
    <w:p w14:paraId="04AD7E54"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0ED407FA" w14:textId="77777777" w:rsidR="00C96521" w:rsidRPr="00890F11" w:rsidRDefault="00C96521" w:rsidP="00C96521">
      <w:pPr>
        <w:widowControl/>
        <w:autoSpaceDE/>
        <w:autoSpaceDN/>
        <w:adjustRightInd/>
        <w:spacing w:line="276" w:lineRule="auto"/>
        <w:rPr>
          <w:rFonts w:eastAsia="MS Mincho" w:cs="Arial"/>
          <w:bCs/>
          <w:szCs w:val="18"/>
          <w:lang w:val="es-ES" w:eastAsia="ja-JP"/>
        </w:rPr>
      </w:pPr>
      <w:r w:rsidRPr="00890F11">
        <w:rPr>
          <w:rFonts w:eastAsia="MS Mincho" w:cs="Arial"/>
          <w:b/>
          <w:bCs/>
          <w:szCs w:val="18"/>
          <w:lang w:val="es-ES" w:eastAsia="ja-JP"/>
        </w:rPr>
        <w:t xml:space="preserve">MAPAMA (2016) </w:t>
      </w:r>
      <w:r w:rsidRPr="00890F11">
        <w:rPr>
          <w:rFonts w:eastAsia="MS Mincho" w:cs="Arial"/>
          <w:bCs/>
          <w:i/>
          <w:szCs w:val="18"/>
          <w:lang w:val="es-ES" w:eastAsia="ja-JP"/>
        </w:rPr>
        <w:t xml:space="preserve">Estadística Anual de Caza. </w:t>
      </w:r>
      <w:r w:rsidRPr="00890F11">
        <w:rPr>
          <w:rFonts w:eastAsia="MS Mincho" w:cs="Arial"/>
          <w:bCs/>
          <w:szCs w:val="18"/>
          <w:lang w:val="es-ES" w:eastAsia="ja-JP"/>
        </w:rPr>
        <w:t>Ministerio de Agricultura y Pesca, Alimentación y Medio Ambiente, Madrid.</w:t>
      </w:r>
    </w:p>
    <w:p w14:paraId="7742C2C8" w14:textId="77777777" w:rsidR="00C96521" w:rsidRPr="00890F11" w:rsidRDefault="00C96521" w:rsidP="00C96521">
      <w:pPr>
        <w:widowControl/>
        <w:autoSpaceDE/>
        <w:autoSpaceDN/>
        <w:adjustRightInd/>
        <w:spacing w:line="276" w:lineRule="auto"/>
        <w:rPr>
          <w:rFonts w:eastAsia="MS Mincho" w:cs="Arial"/>
          <w:bCs/>
          <w:szCs w:val="18"/>
          <w:lang w:val="es-ES" w:eastAsia="ja-JP"/>
        </w:rPr>
      </w:pPr>
    </w:p>
    <w:p w14:paraId="57375F00" w14:textId="77777777" w:rsidR="00C96521" w:rsidRPr="00C96521" w:rsidRDefault="00C96521" w:rsidP="00C96521">
      <w:pPr>
        <w:widowControl/>
        <w:autoSpaceDE/>
        <w:autoSpaceDN/>
        <w:adjustRightInd/>
        <w:spacing w:line="276" w:lineRule="auto"/>
        <w:rPr>
          <w:rFonts w:eastAsia="MS Mincho" w:cs="Arial"/>
          <w:bCs/>
          <w:szCs w:val="18"/>
          <w:lang w:val="en-GB" w:eastAsia="ja-JP"/>
        </w:rPr>
      </w:pPr>
      <w:r w:rsidRPr="00C96521">
        <w:rPr>
          <w:rFonts w:eastAsia="MS Mincho" w:cs="Arial"/>
          <w:b/>
          <w:bCs/>
          <w:szCs w:val="18"/>
          <w:lang w:val="en-GB" w:eastAsia="ja-JP"/>
        </w:rPr>
        <w:t>MARCHANT JH, HUDSON R, CARTER SP and WITTINGTON P (1990)</w:t>
      </w:r>
      <w:r w:rsidRPr="00C96521">
        <w:rPr>
          <w:rFonts w:eastAsia="MS Mincho" w:cs="Arial"/>
          <w:bCs/>
          <w:szCs w:val="18"/>
          <w:lang w:val="en-GB" w:eastAsia="ja-JP"/>
        </w:rPr>
        <w:t xml:space="preserve"> </w:t>
      </w:r>
      <w:r w:rsidRPr="00C96521">
        <w:rPr>
          <w:rFonts w:eastAsia="MS Mincho" w:cs="Arial"/>
          <w:bCs/>
          <w:i/>
          <w:szCs w:val="18"/>
          <w:lang w:val="en-GB" w:eastAsia="ja-JP"/>
        </w:rPr>
        <w:t>Population trends in British breeding birds</w:t>
      </w:r>
      <w:r w:rsidRPr="00C96521">
        <w:rPr>
          <w:rFonts w:eastAsia="MS Mincho" w:cs="Arial"/>
          <w:bCs/>
          <w:szCs w:val="18"/>
          <w:lang w:val="en-GB" w:eastAsia="ja-JP"/>
        </w:rPr>
        <w:t>. British Trust for Ornithology, Thetford.</w:t>
      </w:r>
    </w:p>
    <w:p w14:paraId="02447605" w14:textId="77777777" w:rsidR="00C96521" w:rsidRPr="00C96521" w:rsidRDefault="00C96521" w:rsidP="00C96521">
      <w:pPr>
        <w:widowControl/>
        <w:autoSpaceDE/>
        <w:autoSpaceDN/>
        <w:adjustRightInd/>
        <w:spacing w:line="276" w:lineRule="auto"/>
        <w:rPr>
          <w:rFonts w:eastAsia="MS Mincho" w:cs="Arial"/>
          <w:bCs/>
          <w:szCs w:val="18"/>
          <w:lang w:val="en-GB" w:eastAsia="ja-JP"/>
        </w:rPr>
      </w:pPr>
    </w:p>
    <w:p w14:paraId="17704A5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 xml:space="preserve">MARX M, KORNER-NIEVERGELT F and QUILLFELDT P (2016) </w:t>
      </w:r>
      <w:r w:rsidRPr="00C96521">
        <w:rPr>
          <w:rFonts w:eastAsia="MS Mincho" w:cs="Arial"/>
          <w:szCs w:val="18"/>
          <w:lang w:val="en-GB" w:eastAsia="ja-JP"/>
        </w:rPr>
        <w:t xml:space="preserve">Analysis of ring recoveries of European Turtle-doves </w:t>
      </w:r>
      <w:r w:rsidRPr="00965D7D">
        <w:rPr>
          <w:rFonts w:eastAsia="MS Mincho" w:cs="Arial"/>
          <w:i/>
          <w:szCs w:val="18"/>
          <w:lang w:val="en-GB" w:eastAsia="ja-JP"/>
        </w:rPr>
        <w:t>Streptopelia turtur</w:t>
      </w:r>
      <w:r w:rsidRPr="00C96521">
        <w:rPr>
          <w:rFonts w:eastAsia="MS Mincho" w:cs="Arial"/>
          <w:szCs w:val="18"/>
          <w:lang w:val="en-GB" w:eastAsia="ja-JP"/>
        </w:rPr>
        <w:t xml:space="preserve"> - flyways, migration timing and origin areas of hunted birds. </w:t>
      </w:r>
      <w:r w:rsidRPr="00C96521">
        <w:rPr>
          <w:rFonts w:eastAsia="MS Mincho" w:cs="Arial"/>
          <w:i/>
          <w:szCs w:val="18"/>
          <w:lang w:val="en-GB" w:eastAsia="ja-JP"/>
        </w:rPr>
        <w:t>Acta Ornithologica</w:t>
      </w:r>
      <w:r w:rsidRPr="00C96521">
        <w:rPr>
          <w:rFonts w:eastAsia="MS Mincho" w:cs="Arial"/>
          <w:szCs w:val="18"/>
          <w:lang w:val="en-GB" w:eastAsia="ja-JP"/>
        </w:rPr>
        <w:t xml:space="preserve"> 51(1): 55-70.</w:t>
      </w:r>
    </w:p>
    <w:p w14:paraId="49E027F3"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7695EEF"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MASON CF and MACDONALD SM (2000)</w:t>
      </w:r>
      <w:r w:rsidRPr="00C96521">
        <w:rPr>
          <w:rFonts w:eastAsia="MS Mincho" w:cs="Arial"/>
          <w:szCs w:val="18"/>
          <w:lang w:val="en-GB" w:eastAsia="ja-JP"/>
        </w:rPr>
        <w:t xml:space="preserve"> Influence of landscape and land-use on the distribution of breeding birds in farmland in eastern England. </w:t>
      </w:r>
      <w:r w:rsidRPr="00C96521">
        <w:rPr>
          <w:rFonts w:eastAsia="MS Mincho" w:cs="Arial"/>
          <w:i/>
          <w:szCs w:val="18"/>
          <w:lang w:val="en-GB" w:eastAsia="ja-JP"/>
        </w:rPr>
        <w:t>Journal of Zoology</w:t>
      </w:r>
      <w:r w:rsidRPr="00C96521">
        <w:rPr>
          <w:rFonts w:eastAsia="MS Mincho" w:cs="Arial"/>
          <w:szCs w:val="18"/>
          <w:lang w:val="en-GB" w:eastAsia="ja-JP"/>
        </w:rPr>
        <w:t xml:space="preserve"> 251: 339-348.</w:t>
      </w:r>
    </w:p>
    <w:p w14:paraId="606BBF8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09E990C"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C96521">
        <w:rPr>
          <w:rFonts w:eastAsia="MS Mincho" w:cs="Arial"/>
          <w:b/>
          <w:szCs w:val="18"/>
          <w:lang w:val="en-GB" w:eastAsia="ja-JP"/>
        </w:rPr>
        <w:t>MEIRINHO A, LEAL A, MARQUES AT, FAGUNDES AI, SAMPAIO H, COSTA J and LEITAO D (2013)</w:t>
      </w:r>
      <w:r w:rsidRPr="00C96521">
        <w:rPr>
          <w:rFonts w:eastAsia="MS Mincho" w:cs="Arial"/>
          <w:szCs w:val="18"/>
          <w:lang w:val="en-GB" w:eastAsia="ja-JP"/>
        </w:rPr>
        <w:t xml:space="preserve"> </w:t>
      </w:r>
      <w:r w:rsidRPr="00C96521">
        <w:rPr>
          <w:rFonts w:eastAsia="MS Mincho" w:cs="Arial"/>
          <w:i/>
          <w:szCs w:val="18"/>
          <w:lang w:val="en-GB" w:eastAsia="ja-JP"/>
        </w:rPr>
        <w:t>O estado das aves comuns em Portugal 2011: relatório do projeto Censo de Aves Comuns</w:t>
      </w:r>
      <w:r w:rsidRPr="00C96521">
        <w:rPr>
          <w:rFonts w:eastAsia="MS Mincho" w:cs="Arial"/>
          <w:szCs w:val="18"/>
          <w:lang w:val="en-GB" w:eastAsia="ja-JP"/>
        </w:rPr>
        <w:t xml:space="preserve">. </w:t>
      </w:r>
      <w:r w:rsidRPr="00890F11">
        <w:rPr>
          <w:rFonts w:eastAsia="MS Mincho" w:cs="Arial"/>
          <w:szCs w:val="18"/>
          <w:lang w:val="es-ES" w:eastAsia="ja-JP"/>
        </w:rPr>
        <w:t>Sociedade Portuguesa para o Estudo das Aves, Lisboa.</w:t>
      </w:r>
    </w:p>
    <w:p w14:paraId="7F622B63"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7427607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es-ES" w:eastAsia="ja-JP"/>
        </w:rPr>
        <w:t>MESCHINI E and FRUGIS S (1993)</w:t>
      </w:r>
      <w:r w:rsidRPr="00890F11">
        <w:rPr>
          <w:rFonts w:eastAsia="MS Mincho" w:cs="Arial"/>
          <w:szCs w:val="18"/>
          <w:lang w:val="es-ES" w:eastAsia="ja-JP"/>
        </w:rPr>
        <w:t xml:space="preserve"> Atlante degli uccelli nidificanti in Italia. </w:t>
      </w:r>
      <w:r w:rsidRPr="00C96521">
        <w:rPr>
          <w:rFonts w:eastAsia="MS Mincho" w:cs="Arial"/>
          <w:i/>
          <w:szCs w:val="18"/>
          <w:lang w:val="en-GB" w:eastAsia="ja-JP"/>
        </w:rPr>
        <w:t>Supplemento alle Ricerche di Biologia della Selvaggina</w:t>
      </w:r>
      <w:r w:rsidRPr="00C96521">
        <w:rPr>
          <w:rFonts w:eastAsia="MS Mincho" w:cs="Arial"/>
          <w:szCs w:val="18"/>
          <w:lang w:val="en-GB" w:eastAsia="ja-JP"/>
        </w:rPr>
        <w:t xml:space="preserve"> XX: 1-344.</w:t>
      </w:r>
    </w:p>
    <w:p w14:paraId="25AD6810"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87E00C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MIHELIČ T (2013)</w:t>
      </w:r>
      <w:r w:rsidRPr="00C96521">
        <w:rPr>
          <w:rFonts w:eastAsia="MS Mincho" w:cs="Arial"/>
          <w:szCs w:val="18"/>
          <w:lang w:val="en-GB" w:eastAsia="ja-JP"/>
        </w:rPr>
        <w:t xml:space="preserve"> </w:t>
      </w:r>
      <w:r w:rsidRPr="00C96521">
        <w:rPr>
          <w:rFonts w:eastAsia="MS Mincho" w:cs="Arial"/>
          <w:i/>
          <w:szCs w:val="18"/>
          <w:lang w:val="en-GB" w:eastAsia="ja-JP"/>
        </w:rPr>
        <w:t>Web base NOAGS</w:t>
      </w:r>
      <w:r w:rsidRPr="00C96521">
        <w:rPr>
          <w:rFonts w:eastAsia="MS Mincho" w:cs="Arial"/>
          <w:szCs w:val="18"/>
          <w:lang w:val="en-GB" w:eastAsia="ja-JP"/>
        </w:rPr>
        <w:t>. http://www.ptice.si/atlas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64EFEF3C"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63B9CC0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MINDENNAPI MADARAINK MONITORINGJA (2016)</w:t>
      </w:r>
      <w:r w:rsidRPr="00C96521">
        <w:rPr>
          <w:rFonts w:eastAsia="MS Mincho" w:cs="Arial"/>
          <w:szCs w:val="18"/>
          <w:lang w:val="en-GB" w:eastAsia="ja-JP"/>
        </w:rPr>
        <w:t xml:space="preserve"> MMM database. http://mmm.mme.hu/charts/trends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69D60735"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2DF591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MINEAU P and PALMER C (2013) </w:t>
      </w:r>
      <w:r w:rsidRPr="00C96521">
        <w:rPr>
          <w:rFonts w:eastAsia="MS Mincho" w:cs="Arial"/>
          <w:i/>
          <w:szCs w:val="18"/>
          <w:lang w:val="en-GB" w:eastAsia="ja-JP"/>
        </w:rPr>
        <w:t xml:space="preserve">The Impact of the Nation’s Most Widely Used Insecticides on Birds. </w:t>
      </w:r>
      <w:r w:rsidRPr="00C96521">
        <w:rPr>
          <w:rFonts w:eastAsia="MS Mincho" w:cs="Arial"/>
          <w:szCs w:val="18"/>
          <w:lang w:val="en-GB" w:eastAsia="ja-JP"/>
        </w:rPr>
        <w:t>American Bird Conservancy, The Plains. pp 1-97.</w:t>
      </w:r>
    </w:p>
    <w:p w14:paraId="5D69A337"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8A7695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MISCHENKO AL (2004) </w:t>
      </w:r>
      <w:r w:rsidRPr="00C96521">
        <w:rPr>
          <w:rFonts w:eastAsia="MS Mincho" w:cs="Arial"/>
          <w:i/>
          <w:szCs w:val="18"/>
          <w:lang w:val="en-GB" w:eastAsia="ja-JP"/>
        </w:rPr>
        <w:t xml:space="preserve">Estimation of numbers and trends for birds of the European part of Russia (Birds in Europe-II). </w:t>
      </w:r>
      <w:r w:rsidRPr="00C96521">
        <w:rPr>
          <w:rFonts w:eastAsia="MS Mincho" w:cs="Arial"/>
          <w:szCs w:val="18"/>
          <w:lang w:val="en-GB" w:eastAsia="ja-JP"/>
        </w:rPr>
        <w:t>RBCU, Moscow. [in Russian]</w:t>
      </w:r>
    </w:p>
    <w:p w14:paraId="0981322F"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C6EE70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MISCHENKO AL (2015) </w:t>
      </w:r>
      <w:r w:rsidRPr="00C96521">
        <w:rPr>
          <w:rFonts w:eastAsia="MS Mincho" w:cs="Arial"/>
          <w:szCs w:val="18"/>
          <w:lang w:val="en-GB" w:eastAsia="ja-JP"/>
        </w:rPr>
        <w:t xml:space="preserve">Turtle-dove. In: VETKIN YU V, GELTMAN DV, LITVINOVA EM, KONECHNAYA GY and MISCHENKO AL (eds) </w:t>
      </w:r>
      <w:r w:rsidRPr="00C96521">
        <w:rPr>
          <w:rFonts w:eastAsia="MS Mincho" w:cs="Arial"/>
          <w:i/>
          <w:szCs w:val="18"/>
          <w:lang w:val="en-GB" w:eastAsia="ja-JP"/>
        </w:rPr>
        <w:t>Red Data Book of Novgorod Region</w:t>
      </w:r>
      <w:r w:rsidRPr="00C96521">
        <w:rPr>
          <w:rFonts w:eastAsia="MS Mincho" w:cs="Arial"/>
          <w:szCs w:val="18"/>
          <w:lang w:val="en-GB" w:eastAsia="ja-JP"/>
        </w:rPr>
        <w:t>. Diton, St Petersburg. p 128. [in Russian]</w:t>
      </w:r>
    </w:p>
    <w:p w14:paraId="05A2BD7C"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F4BF6C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MISCHENKO AL (ed) (in press)</w:t>
      </w:r>
      <w:r w:rsidRPr="00C96521">
        <w:rPr>
          <w:rFonts w:eastAsia="MS Mincho" w:cs="Arial"/>
          <w:szCs w:val="18"/>
          <w:lang w:val="en-GB" w:eastAsia="ja-JP"/>
        </w:rPr>
        <w:t xml:space="preserve"> </w:t>
      </w:r>
      <w:r w:rsidRPr="00C96521">
        <w:rPr>
          <w:rFonts w:eastAsia="MS Mincho" w:cs="Arial"/>
          <w:i/>
          <w:szCs w:val="18"/>
          <w:lang w:val="en-GB" w:eastAsia="ja-JP"/>
        </w:rPr>
        <w:t>Estimation of numbers and trends for birds of the European part of Russia (European Red List of Birds)</w:t>
      </w:r>
      <w:r w:rsidRPr="00C96521">
        <w:rPr>
          <w:rFonts w:eastAsia="MS Mincho" w:cs="Arial"/>
          <w:szCs w:val="18"/>
          <w:lang w:val="en-GB" w:eastAsia="ja-JP"/>
        </w:rPr>
        <w:t xml:space="preserve">. Birds Russia, Moscow. </w:t>
      </w:r>
    </w:p>
    <w:p w14:paraId="3046AA4D"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200116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MITO2000 (2016)</w:t>
      </w:r>
      <w:r w:rsidRPr="00C96521">
        <w:rPr>
          <w:rFonts w:eastAsia="MS Mincho" w:cs="Arial"/>
          <w:szCs w:val="18"/>
          <w:lang w:val="en-GB" w:eastAsia="ja-JP"/>
        </w:rPr>
        <w:t xml:space="preserve"> </w:t>
      </w:r>
      <w:r w:rsidRPr="00C96521">
        <w:rPr>
          <w:rFonts w:eastAsia="MS Mincho" w:cs="Arial"/>
          <w:i/>
          <w:szCs w:val="18"/>
          <w:lang w:val="en-GB" w:eastAsia="ja-JP"/>
        </w:rPr>
        <w:t>Specie agricole. Monitoraggio Italiano Ornitologico</w:t>
      </w:r>
      <w:r w:rsidRPr="00C96521">
        <w:rPr>
          <w:rFonts w:eastAsia="MS Mincho" w:cs="Arial"/>
          <w:szCs w:val="18"/>
          <w:lang w:val="en-GB" w:eastAsia="ja-JP"/>
        </w:rPr>
        <w:t>. https://mito2000.it/andamenti/specie-target/specie-degli-agroecosistemi/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77A99168"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F3C4AE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MONITORING PTAKOW POLSKI (2015)</w:t>
      </w:r>
      <w:r w:rsidRPr="00C96521">
        <w:rPr>
          <w:rFonts w:eastAsia="MS Mincho" w:cs="Arial"/>
          <w:szCs w:val="18"/>
          <w:lang w:val="en-GB" w:eastAsia="ja-JP"/>
        </w:rPr>
        <w:t xml:space="preserve"> </w:t>
      </w:r>
      <w:r w:rsidRPr="00C96521">
        <w:rPr>
          <w:rFonts w:eastAsia="MS Mincho" w:cs="Arial"/>
          <w:i/>
          <w:szCs w:val="18"/>
          <w:lang w:val="en-GB" w:eastAsia="ja-JP"/>
        </w:rPr>
        <w:t>Streptopelia turtur</w:t>
      </w:r>
      <w:r w:rsidRPr="00C96521">
        <w:rPr>
          <w:rFonts w:eastAsia="MS Mincho" w:cs="Arial"/>
          <w:szCs w:val="18"/>
          <w:lang w:val="en-GB" w:eastAsia="ja-JP"/>
        </w:rPr>
        <w:t xml:space="preserve"> http://monitoringptakow.gios.gov.pl/database (last accessed 10</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07134197"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08C7E90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MONTENEGRO EPA (2009)</w:t>
      </w:r>
      <w:r w:rsidRPr="00C96521">
        <w:rPr>
          <w:rFonts w:eastAsia="MS Mincho" w:cs="Arial"/>
          <w:szCs w:val="18"/>
          <w:lang w:val="en-GB" w:eastAsia="ja-JP"/>
        </w:rPr>
        <w:t xml:space="preserve"> </w:t>
      </w:r>
      <w:r w:rsidRPr="00C96521">
        <w:rPr>
          <w:rFonts w:eastAsia="MS Mincho" w:cs="Arial"/>
          <w:i/>
          <w:szCs w:val="18"/>
          <w:lang w:val="en-GB" w:eastAsia="ja-JP"/>
        </w:rPr>
        <w:t>Katastar of hunting areas in Montenegro</w:t>
      </w:r>
      <w:r w:rsidRPr="00C96521">
        <w:rPr>
          <w:rFonts w:eastAsia="MS Mincho" w:cs="Arial"/>
          <w:szCs w:val="18"/>
          <w:lang w:val="en-GB" w:eastAsia="ja-JP"/>
        </w:rPr>
        <w:t>. Montenegro EPA, Podgorica.</w:t>
      </w:r>
    </w:p>
    <w:p w14:paraId="784309E7"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EDFDFC0"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10359">
        <w:rPr>
          <w:rFonts w:eastAsia="MS Mincho" w:cs="Arial"/>
          <w:b/>
          <w:szCs w:val="18"/>
          <w:lang w:val="es-ES" w:eastAsia="ja-JP"/>
        </w:rPr>
        <w:t>MONTOYA JM (2009)</w:t>
      </w:r>
      <w:r w:rsidRPr="00810359">
        <w:rPr>
          <w:rFonts w:eastAsia="MS Mincho" w:cs="Arial"/>
          <w:szCs w:val="18"/>
          <w:lang w:val="es-ES" w:eastAsia="ja-JP"/>
        </w:rPr>
        <w:t xml:space="preserve"> </w:t>
      </w:r>
      <w:r w:rsidRPr="00810359">
        <w:rPr>
          <w:rFonts w:eastAsia="MS Mincho" w:cs="Arial"/>
          <w:i/>
          <w:szCs w:val="18"/>
          <w:lang w:val="es-ES" w:eastAsia="ja-JP"/>
        </w:rPr>
        <w:t>Media veda.Codorniz, Tórtola y Palomas</w:t>
      </w:r>
      <w:r w:rsidRPr="00810359">
        <w:rPr>
          <w:rFonts w:eastAsia="MS Mincho" w:cs="Arial"/>
          <w:szCs w:val="18"/>
          <w:lang w:val="es-ES" w:eastAsia="ja-JP"/>
        </w:rPr>
        <w:t xml:space="preserve">. </w:t>
      </w:r>
      <w:r w:rsidRPr="00890F11">
        <w:rPr>
          <w:rFonts w:eastAsia="MS Mincho" w:cs="Arial"/>
          <w:szCs w:val="18"/>
          <w:lang w:val="es-ES" w:eastAsia="ja-JP"/>
        </w:rPr>
        <w:t>Editorial Solitário, Madrid.</w:t>
      </w:r>
    </w:p>
    <w:p w14:paraId="2D9793E8"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2B11E5E0" w14:textId="77777777" w:rsidR="00C96521" w:rsidRPr="00890F11" w:rsidRDefault="00C96521" w:rsidP="00C96521">
      <w:pPr>
        <w:widowControl/>
        <w:spacing w:line="276" w:lineRule="auto"/>
        <w:rPr>
          <w:rFonts w:ascii="MS Shell Dlg 2" w:eastAsia="MS Mincho" w:hAnsi="MS Shell Dlg 2" w:cs="MS Shell Dlg 2"/>
          <w:sz w:val="17"/>
          <w:szCs w:val="17"/>
          <w:lang w:val="es-ES" w:eastAsia="ja-JP"/>
        </w:rPr>
      </w:pPr>
      <w:r w:rsidRPr="00890F11">
        <w:rPr>
          <w:rFonts w:eastAsia="MS Mincho" w:cs="Arial"/>
          <w:b/>
          <w:szCs w:val="18"/>
          <w:lang w:val="es-ES" w:eastAsia="ja-JP"/>
        </w:rPr>
        <w:t>MONTOYA JM and MÉSON M (1994)</w:t>
      </w:r>
      <w:r w:rsidRPr="00890F11">
        <w:rPr>
          <w:rFonts w:eastAsia="MS Mincho" w:cs="Arial"/>
          <w:szCs w:val="18"/>
          <w:lang w:val="es-ES" w:eastAsia="ja-JP"/>
        </w:rPr>
        <w:t xml:space="preserve"> </w:t>
      </w:r>
      <w:r w:rsidRPr="00890F11">
        <w:rPr>
          <w:rFonts w:eastAsia="MS Mincho" w:cs="Arial"/>
          <w:i/>
          <w:szCs w:val="18"/>
          <w:lang w:val="es-ES" w:eastAsia="ja-JP"/>
        </w:rPr>
        <w:t>La tortola y la Codorniz en España. Estado actual de estas especies cinegéticas</w:t>
      </w:r>
      <w:r w:rsidRPr="00890F11">
        <w:rPr>
          <w:rFonts w:eastAsia="MS Mincho" w:cs="Arial"/>
          <w:szCs w:val="18"/>
          <w:lang w:val="es-ES" w:eastAsia="ja-JP"/>
        </w:rPr>
        <w:t>. Federación Española de Caza</w:t>
      </w:r>
    </w:p>
    <w:p w14:paraId="68AC9DDC"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4130F8CF"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 xml:space="preserve">MUNTEANU D (2002) </w:t>
      </w:r>
      <w:r w:rsidRPr="00890F11">
        <w:rPr>
          <w:rFonts w:eastAsia="MS Mincho" w:cs="Arial"/>
          <w:i/>
          <w:szCs w:val="18"/>
          <w:lang w:val="es-ES" w:eastAsia="ja-JP"/>
        </w:rPr>
        <w:t>Atlasul pǎsǎrilor clocitoare din România – Ediţia II</w:t>
      </w:r>
      <w:r w:rsidRPr="00890F11">
        <w:rPr>
          <w:rFonts w:eastAsia="MS Mincho" w:cs="Arial"/>
          <w:szCs w:val="18"/>
          <w:lang w:val="es-ES" w:eastAsia="ja-JP"/>
        </w:rPr>
        <w:t>. Societatea Ornitologicā Românā, Cluj-Napoca.</w:t>
      </w:r>
    </w:p>
    <w:p w14:paraId="0EC5E8A8"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597B2522"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 xml:space="preserve">MUNTEANU D (2009) </w:t>
      </w:r>
      <w:r w:rsidRPr="00890F11">
        <w:rPr>
          <w:rFonts w:eastAsia="MS Mincho" w:cs="Arial"/>
          <w:i/>
          <w:szCs w:val="18"/>
          <w:lang w:val="es-ES" w:eastAsia="ja-JP"/>
        </w:rPr>
        <w:t>Păsări rare, vulnerabile şi periclitate în România</w:t>
      </w:r>
      <w:r w:rsidRPr="00890F11">
        <w:rPr>
          <w:rFonts w:eastAsia="MS Mincho" w:cs="Arial"/>
          <w:szCs w:val="18"/>
          <w:lang w:val="es-ES" w:eastAsia="ja-JP"/>
        </w:rPr>
        <w:t>. Editura Alma Mater, Cluj-Napoca.</w:t>
      </w:r>
    </w:p>
    <w:p w14:paraId="644C7AB7"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650CB7DD"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MUNTEANU A and ZUBCOV N (2010)</w:t>
      </w:r>
      <w:r w:rsidRPr="00890F11">
        <w:rPr>
          <w:rFonts w:eastAsia="MS Mincho" w:cs="Arial"/>
          <w:b/>
          <w:bCs/>
          <w:szCs w:val="18"/>
          <w:lang w:val="es-ES" w:eastAsia="ja-JP"/>
        </w:rPr>
        <w:t xml:space="preserve"> </w:t>
      </w:r>
      <w:r w:rsidRPr="00890F11">
        <w:rPr>
          <w:rFonts w:eastAsia="MS Mincho" w:cs="Arial"/>
          <w:i/>
          <w:szCs w:val="18"/>
          <w:lang w:val="es-ES" w:eastAsia="ja-JP"/>
        </w:rPr>
        <w:t xml:space="preserve">Atlasul păsărilor clocitoare din Republica Moldova. </w:t>
      </w:r>
      <w:r w:rsidRPr="00890F11">
        <w:rPr>
          <w:rFonts w:eastAsia="MS Mincho" w:cs="Arial"/>
          <w:szCs w:val="18"/>
          <w:lang w:val="es-ES" w:eastAsia="ja-JP"/>
        </w:rPr>
        <w:t>Institutul de Zoologie al Academiei de Ştiinţe a Moldovei Societatea Ornitologică din Republica Moldova, Chişinău.</w:t>
      </w:r>
    </w:p>
    <w:p w14:paraId="33F67D04"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1226D33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MURTON R K (1968)</w:t>
      </w:r>
      <w:r w:rsidRPr="00C96521">
        <w:rPr>
          <w:rFonts w:eastAsia="MS Mincho" w:cs="Arial"/>
          <w:bCs/>
          <w:szCs w:val="18"/>
          <w:lang w:val="en-GB" w:eastAsia="ja-JP"/>
        </w:rPr>
        <w:t xml:space="preserve"> </w:t>
      </w:r>
      <w:r w:rsidRPr="00C96521">
        <w:rPr>
          <w:rFonts w:eastAsia="MS Mincho" w:cs="Arial"/>
          <w:szCs w:val="18"/>
          <w:lang w:val="en-GB" w:eastAsia="ja-JP"/>
        </w:rPr>
        <w:t xml:space="preserve">Breeding, migration and survival of Turtle-doves. </w:t>
      </w:r>
      <w:r w:rsidRPr="00C96521">
        <w:rPr>
          <w:rFonts w:eastAsia="MS Mincho" w:cs="Arial"/>
          <w:i/>
          <w:iCs/>
          <w:szCs w:val="18"/>
          <w:lang w:val="en-GB" w:eastAsia="ja-JP"/>
        </w:rPr>
        <w:t xml:space="preserve">British Birds </w:t>
      </w:r>
      <w:r w:rsidRPr="00C96521">
        <w:rPr>
          <w:rFonts w:eastAsia="MS Mincho" w:cs="Arial"/>
          <w:szCs w:val="18"/>
          <w:lang w:val="en-GB" w:eastAsia="ja-JP"/>
        </w:rPr>
        <w:t>61(5): 193-212.</w:t>
      </w:r>
    </w:p>
    <w:p w14:paraId="76822A9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AA7D5F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THE N2K GROUP (2014)</w:t>
      </w:r>
      <w:r w:rsidRPr="00C96521">
        <w:rPr>
          <w:rFonts w:eastAsia="MS Mincho" w:cs="Arial"/>
          <w:szCs w:val="18"/>
          <w:lang w:val="en-GB" w:eastAsia="ja-JP"/>
        </w:rPr>
        <w:t xml:space="preserve"> </w:t>
      </w:r>
      <w:r w:rsidRPr="00C96521">
        <w:rPr>
          <w:rFonts w:eastAsia="MS Mincho" w:cs="Arial"/>
          <w:i/>
          <w:szCs w:val="18"/>
          <w:lang w:val="en-GB" w:eastAsia="ja-JP"/>
        </w:rPr>
        <w:t>Implementation review for 13 Management Plans for birds</w:t>
      </w:r>
      <w:r w:rsidRPr="00C96521">
        <w:rPr>
          <w:rFonts w:eastAsia="MS Mincho" w:cs="Arial"/>
          <w:szCs w:val="18"/>
          <w:lang w:val="en-GB" w:eastAsia="ja-JP"/>
        </w:rPr>
        <w:t>. Prepared for the European Commission, Directorate General Environment, B3 Unit in the framework of the Service Contract N° 070307/2012/635359/SER/B2.</w:t>
      </w:r>
    </w:p>
    <w:p w14:paraId="13C93889"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98A895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NAMROUQA H (2016)</w:t>
      </w:r>
      <w:r w:rsidRPr="00C96521">
        <w:rPr>
          <w:rFonts w:eastAsia="MS Mincho" w:cs="Arial"/>
          <w:szCs w:val="18"/>
          <w:lang w:val="en-GB" w:eastAsia="ja-JP"/>
        </w:rPr>
        <w:t xml:space="preserve"> Nature society says hunting turtle-doves prohibited. </w:t>
      </w:r>
      <w:r w:rsidRPr="00C96521">
        <w:rPr>
          <w:rFonts w:eastAsia="MS Mincho" w:cs="Arial"/>
          <w:i/>
          <w:szCs w:val="18"/>
          <w:lang w:val="en-GB" w:eastAsia="ja-JP"/>
        </w:rPr>
        <w:t>The Jordan Times</w:t>
      </w:r>
      <w:r w:rsidRPr="00C96521">
        <w:rPr>
          <w:rFonts w:eastAsia="MS Mincho" w:cs="Arial"/>
          <w:szCs w:val="18"/>
          <w:lang w:val="en-GB" w:eastAsia="ja-JP"/>
        </w:rPr>
        <w:t xml:space="preserve"> 05/07/2016. http://www.jordantimes.com/news/local/nature-society-says-hunting-turtle-doves-prohibited (last accessed 12th December 2016).</w:t>
      </w:r>
    </w:p>
    <w:p w14:paraId="42C43AA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D0A12C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NARDELLI R, ANDREOTTI A, BIANCHI E, BRAMBILLA M, BRECCIAROLI B, CELADA C, DUPRÉ E, GUSTIN M, LONGONI V, PIRRELLO S, SPINA F, VOLPONI S and SERRA l (2015)</w:t>
      </w:r>
      <w:r w:rsidRPr="00C96521">
        <w:rPr>
          <w:rFonts w:eastAsia="MS Mincho" w:cs="Arial"/>
          <w:szCs w:val="18"/>
          <w:lang w:val="en-GB" w:eastAsia="ja-JP"/>
        </w:rPr>
        <w:t xml:space="preserve"> </w:t>
      </w:r>
      <w:r w:rsidRPr="00C96521">
        <w:rPr>
          <w:rFonts w:eastAsia="MS Mincho" w:cs="Arial"/>
          <w:i/>
          <w:szCs w:val="18"/>
          <w:lang w:val="en-GB" w:eastAsia="ja-JP"/>
        </w:rPr>
        <w:t xml:space="preserve">Rapporto sull'applicazione della Direttiva 147/2009/CE in Italia: dimensione, distribuzione e trend delle popolazioni di uccelli (2008-2012). Report Series 219. </w:t>
      </w:r>
      <w:r w:rsidRPr="00C96521">
        <w:rPr>
          <w:rFonts w:eastAsia="MS Mincho" w:cs="Arial"/>
          <w:szCs w:val="18"/>
          <w:lang w:val="en-GB" w:eastAsia="ja-JP"/>
        </w:rPr>
        <w:t>European Commission, ISPRA.</w:t>
      </w:r>
      <w:r w:rsidRPr="00C96521">
        <w:rPr>
          <w:rFonts w:eastAsia="MS Mincho" w:cs="Arial"/>
          <w:i/>
          <w:szCs w:val="18"/>
          <w:lang w:val="en-GB" w:eastAsia="ja-JP"/>
        </w:rPr>
        <w:t xml:space="preserve"> </w:t>
      </w:r>
    </w:p>
    <w:p w14:paraId="067EF912"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025D16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NEWSON SE, MORAN NJ, MUSGROVE AJ, PEARCE-HIGGINS JW, GILLINGS S, ATKINSON PW, MILLER R, GRANTHAM MJ and BAILLIE SR (2016)</w:t>
      </w:r>
      <w:r w:rsidRPr="00C96521">
        <w:rPr>
          <w:rFonts w:eastAsia="MS Mincho" w:cs="Arial"/>
          <w:szCs w:val="18"/>
          <w:lang w:val="en-GB" w:eastAsia="ja-JP"/>
        </w:rPr>
        <w:t xml:space="preserve"> Long-term changes in the migration phenology of UK breeding birds detected by large-scale citizen science recording schemes. </w:t>
      </w:r>
      <w:r w:rsidRPr="00C96521">
        <w:rPr>
          <w:rFonts w:eastAsia="MS Mincho" w:cs="Arial"/>
          <w:i/>
          <w:szCs w:val="18"/>
          <w:lang w:val="en-GB" w:eastAsia="ja-JP"/>
        </w:rPr>
        <w:t>Ibis</w:t>
      </w:r>
      <w:r w:rsidRPr="00C96521">
        <w:rPr>
          <w:rFonts w:eastAsia="MS Mincho" w:cs="Arial"/>
          <w:szCs w:val="18"/>
          <w:lang w:val="en-GB" w:eastAsia="ja-JP"/>
        </w:rPr>
        <w:t xml:space="preserve"> 158(3): 481-495.</w:t>
      </w:r>
    </w:p>
    <w:p w14:paraId="55E00AAD"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F06850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NIEL C and LEBRETON JD (2005)</w:t>
      </w:r>
      <w:r w:rsidRPr="00C96521">
        <w:rPr>
          <w:rFonts w:eastAsia="MS Mincho" w:cs="Arial"/>
          <w:szCs w:val="18"/>
          <w:lang w:val="en-GB" w:eastAsia="ja-JP"/>
        </w:rPr>
        <w:t xml:space="preserve"> Using demographic invariants to detect overharvested bird populations from incomplete data. </w:t>
      </w:r>
      <w:r w:rsidRPr="00C96521">
        <w:rPr>
          <w:rFonts w:eastAsia="MS Mincho" w:cs="Arial"/>
          <w:i/>
          <w:szCs w:val="18"/>
          <w:lang w:val="en-GB" w:eastAsia="ja-JP"/>
        </w:rPr>
        <w:t>Conservation Biology</w:t>
      </w:r>
      <w:r w:rsidRPr="00C96521">
        <w:rPr>
          <w:rFonts w:eastAsia="MS Mincho" w:cs="Arial"/>
          <w:szCs w:val="18"/>
          <w:lang w:val="en-GB" w:eastAsia="ja-JP"/>
        </w:rPr>
        <w:t xml:space="preserve"> 19(3) : 826–835.</w:t>
      </w:r>
    </w:p>
    <w:p w14:paraId="082988BA"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C6F09B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color w:val="000000"/>
          <w:szCs w:val="18"/>
          <w:shd w:val="clear" w:color="auto" w:fill="FFFFFF"/>
          <w:lang w:val="en-GB" w:eastAsia="ja-JP"/>
        </w:rPr>
        <w:t>NYEGAARD T, MELTOFTE H, TOFFT J and GRELL M (</w:t>
      </w:r>
      <w:r w:rsidRPr="00C96521">
        <w:rPr>
          <w:rFonts w:eastAsia="MS Mincho" w:cs="Arial"/>
          <w:b/>
          <w:szCs w:val="18"/>
          <w:lang w:val="en-GB" w:eastAsia="ja-JP"/>
        </w:rPr>
        <w:t>2014)</w:t>
      </w:r>
      <w:r w:rsidRPr="00C96521">
        <w:rPr>
          <w:rFonts w:eastAsia="MS Mincho" w:cs="Arial"/>
          <w:szCs w:val="18"/>
          <w:lang w:val="en-GB" w:eastAsia="ja-JP"/>
        </w:rPr>
        <w:t xml:space="preserve"> Truede og sjældne ynglefugle i Danmark 1998-2012. </w:t>
      </w:r>
      <w:r w:rsidRPr="00C96521">
        <w:rPr>
          <w:rFonts w:eastAsia="MS Mincho" w:cs="Arial"/>
          <w:i/>
          <w:szCs w:val="18"/>
          <w:lang w:val="en-GB" w:eastAsia="ja-JP"/>
        </w:rPr>
        <w:t>DOFT (Journal of the Danish Ornithological Society)</w:t>
      </w:r>
      <w:r w:rsidRPr="00C96521">
        <w:rPr>
          <w:rFonts w:eastAsia="MS Mincho" w:cs="Arial"/>
          <w:szCs w:val="18"/>
          <w:lang w:val="en-GB" w:eastAsia="ja-JP"/>
        </w:rPr>
        <w:t xml:space="preserve"> 108: 1-144.</w:t>
      </w:r>
    </w:p>
    <w:p w14:paraId="0AD533B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02C97DE"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color w:val="000000"/>
          <w:szCs w:val="18"/>
          <w:shd w:val="clear" w:color="auto" w:fill="FFFFFF"/>
          <w:lang w:val="en-GB" w:eastAsia="ja-JP"/>
        </w:rPr>
        <w:t xml:space="preserve">OCKENDON N, JOHNSTON A and BAILLIE SR (2014) </w:t>
      </w:r>
      <w:r w:rsidRPr="00C96521">
        <w:rPr>
          <w:rFonts w:eastAsia="MS Mincho" w:cs="Arial"/>
          <w:szCs w:val="18"/>
          <w:lang w:val="en-GB" w:eastAsia="ja-JP"/>
        </w:rPr>
        <w:t xml:space="preserve">Rainfall on wintering grounds affects population change in many species of Afro-Palaearctic migrants. </w:t>
      </w:r>
      <w:r w:rsidRPr="00C96521">
        <w:rPr>
          <w:rFonts w:eastAsia="MS Mincho" w:cs="Arial"/>
          <w:i/>
          <w:szCs w:val="18"/>
          <w:lang w:val="en-GB" w:eastAsia="ja-JP"/>
        </w:rPr>
        <w:t>Journal of Ornithology</w:t>
      </w:r>
      <w:r w:rsidRPr="00C96521">
        <w:rPr>
          <w:rFonts w:eastAsia="MS Mincho" w:cs="Arial"/>
          <w:szCs w:val="18"/>
          <w:lang w:val="en-GB" w:eastAsia="ja-JP"/>
        </w:rPr>
        <w:t xml:space="preserve"> 155(4): 905-917.</w:t>
      </w:r>
    </w:p>
    <w:p w14:paraId="39CAEA9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895FBD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color w:val="000000"/>
          <w:szCs w:val="18"/>
          <w:shd w:val="clear" w:color="auto" w:fill="FFFFFF"/>
          <w:lang w:val="en-GB" w:eastAsia="ja-JP"/>
        </w:rPr>
        <w:lastRenderedPageBreak/>
        <w:t>PANAYIDES P (2005)</w:t>
      </w:r>
      <w:r w:rsidRPr="00C96521">
        <w:rPr>
          <w:rFonts w:eastAsia="MS Mincho" w:cs="Arial"/>
          <w:szCs w:val="18"/>
          <w:lang w:val="en-GB" w:eastAsia="ja-JP"/>
        </w:rPr>
        <w:t xml:space="preserve"> Six aspects of land use and development activity that result in adverse effects to Cypriot wildlife resources. </w:t>
      </w:r>
      <w:r w:rsidRPr="00C96521">
        <w:rPr>
          <w:rFonts w:eastAsia="MS Mincho" w:cs="Arial"/>
          <w:i/>
          <w:szCs w:val="18"/>
          <w:lang w:val="en-GB" w:eastAsia="ja-JP"/>
        </w:rPr>
        <w:t>Proceedings of the XXVth International Congress of the International Union of Game Biologists – IUGB and the IXth International Symposium Perdix</w:t>
      </w:r>
      <w:r w:rsidRPr="00C96521">
        <w:rPr>
          <w:rFonts w:eastAsia="MS Mincho" w:cs="Arial"/>
          <w:szCs w:val="18"/>
          <w:lang w:val="en-GB" w:eastAsia="ja-JP"/>
        </w:rPr>
        <w:t xml:space="preserve"> 2: 182-196.</w:t>
      </w:r>
    </w:p>
    <w:p w14:paraId="6CEA68C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7C26AB0"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PATRIKEEV M (2004)</w:t>
      </w:r>
      <w:r w:rsidRPr="00C96521">
        <w:rPr>
          <w:rFonts w:eastAsia="MS Mincho" w:cs="Arial"/>
          <w:szCs w:val="18"/>
          <w:lang w:val="en-GB" w:eastAsia="ja-JP"/>
        </w:rPr>
        <w:t xml:space="preserve"> </w:t>
      </w:r>
      <w:r w:rsidRPr="00C96521">
        <w:rPr>
          <w:rFonts w:eastAsia="MS Mincho" w:cs="Arial"/>
          <w:i/>
          <w:szCs w:val="18"/>
          <w:lang w:val="en-GB" w:eastAsia="ja-JP"/>
        </w:rPr>
        <w:t>The Birds of Azerbaijan 1999-2003 Edition</w:t>
      </w:r>
      <w:r w:rsidRPr="00C96521">
        <w:rPr>
          <w:rFonts w:eastAsia="MS Mincho" w:cs="Arial"/>
          <w:szCs w:val="18"/>
          <w:lang w:val="en-GB" w:eastAsia="ja-JP"/>
        </w:rPr>
        <w:t>. Pensoft Publishers, Sofia-Moscow.</w:t>
      </w:r>
    </w:p>
    <w:p w14:paraId="7883DE64"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75F7974A"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PARSLOW JLF (1967)</w:t>
      </w:r>
      <w:r w:rsidRPr="00C96521">
        <w:rPr>
          <w:rFonts w:eastAsia="MS Mincho" w:cs="Arial"/>
          <w:bCs/>
          <w:szCs w:val="18"/>
          <w:lang w:val="en-GB" w:eastAsia="ja-JP"/>
        </w:rPr>
        <w:t xml:space="preserve"> </w:t>
      </w:r>
      <w:r w:rsidRPr="00C96521">
        <w:rPr>
          <w:rFonts w:eastAsia="MS Mincho" w:cs="Arial"/>
          <w:szCs w:val="18"/>
          <w:lang w:val="en-GB" w:eastAsia="ja-JP"/>
        </w:rPr>
        <w:t xml:space="preserve">Changes in status among breeding birds in Britain and Ireland. </w:t>
      </w:r>
      <w:r w:rsidRPr="00C96521">
        <w:rPr>
          <w:rFonts w:eastAsia="MS Mincho" w:cs="Arial"/>
          <w:i/>
          <w:szCs w:val="18"/>
          <w:lang w:val="en-GB" w:eastAsia="ja-JP"/>
        </w:rPr>
        <w:t>British Birds</w:t>
      </w:r>
      <w:r w:rsidRPr="00C96521">
        <w:rPr>
          <w:rFonts w:eastAsia="MS Mincho" w:cs="Arial"/>
          <w:szCs w:val="18"/>
          <w:lang w:val="en-GB" w:eastAsia="ja-JP"/>
        </w:rPr>
        <w:t xml:space="preserve"> 60: 177-202.</w:t>
      </w:r>
    </w:p>
    <w:p w14:paraId="3673E08E"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67A6601" w14:textId="77777777" w:rsidR="00C96521" w:rsidRPr="00890F11" w:rsidRDefault="00C96521" w:rsidP="00C96521">
      <w:pPr>
        <w:widowControl/>
        <w:spacing w:line="276" w:lineRule="auto"/>
        <w:rPr>
          <w:rFonts w:eastAsia="Calibri" w:cs="Arial"/>
          <w:color w:val="000000"/>
          <w:szCs w:val="18"/>
          <w:lang w:val="es-ES"/>
        </w:rPr>
      </w:pPr>
      <w:r w:rsidRPr="00C96521">
        <w:rPr>
          <w:rFonts w:eastAsia="Calibri" w:cs="Arial"/>
          <w:b/>
          <w:color w:val="000000"/>
          <w:szCs w:val="18"/>
          <w:lang w:val="en-GB"/>
        </w:rPr>
        <w:t>PERLMAN Y, HAVIV E, MAYROSE A, LABINGER Z, KIAT Y, VINE G, STEINITZ O and ALON D (2016)</w:t>
      </w:r>
      <w:r w:rsidRPr="00C96521">
        <w:rPr>
          <w:rFonts w:eastAsia="Calibri" w:cs="Arial"/>
          <w:color w:val="000000"/>
          <w:szCs w:val="18"/>
          <w:lang w:val="en-GB"/>
        </w:rPr>
        <w:t xml:space="preserve"> </w:t>
      </w:r>
      <w:r w:rsidRPr="00C96521">
        <w:rPr>
          <w:rFonts w:eastAsia="Calibri" w:cs="Arial"/>
          <w:i/>
          <w:color w:val="000000"/>
          <w:szCs w:val="18"/>
          <w:lang w:val="en-GB"/>
        </w:rPr>
        <w:t>European Turtle-dove (</w:t>
      </w:r>
      <w:r w:rsidRPr="00C96521">
        <w:rPr>
          <w:rFonts w:eastAsia="Calibri" w:cs="Arial"/>
          <w:color w:val="000000"/>
          <w:szCs w:val="18"/>
          <w:lang w:val="en-GB"/>
        </w:rPr>
        <w:t>Streptopelia turtur</w:t>
      </w:r>
      <w:r w:rsidRPr="00C96521">
        <w:rPr>
          <w:rFonts w:eastAsia="Calibri" w:cs="Arial"/>
          <w:i/>
          <w:color w:val="000000"/>
          <w:szCs w:val="18"/>
          <w:lang w:val="en-GB"/>
        </w:rPr>
        <w:t>) in Israel – status and trends, May 2016</w:t>
      </w:r>
      <w:r w:rsidRPr="00C96521">
        <w:rPr>
          <w:rFonts w:eastAsia="Calibri" w:cs="Arial"/>
          <w:color w:val="000000"/>
          <w:szCs w:val="18"/>
          <w:lang w:val="en-GB"/>
        </w:rPr>
        <w:t xml:space="preserve">. </w:t>
      </w:r>
      <w:r w:rsidRPr="00890F11">
        <w:rPr>
          <w:rFonts w:eastAsia="Calibri" w:cs="Arial"/>
          <w:color w:val="000000"/>
          <w:szCs w:val="18"/>
          <w:lang w:val="es-ES"/>
        </w:rPr>
        <w:t>Unpublished.</w:t>
      </w:r>
    </w:p>
    <w:p w14:paraId="70A7F39A"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76394078"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PETROVICI M (2015)</w:t>
      </w:r>
      <w:r w:rsidRPr="00890F11">
        <w:rPr>
          <w:rFonts w:eastAsia="MS Mincho" w:cs="Arial"/>
          <w:szCs w:val="18"/>
          <w:lang w:val="es-ES" w:eastAsia="ja-JP"/>
        </w:rPr>
        <w:t xml:space="preserve"> </w:t>
      </w:r>
      <w:r w:rsidRPr="00890F11">
        <w:rPr>
          <w:rFonts w:eastAsia="MS Mincho" w:cs="Arial"/>
          <w:i/>
          <w:szCs w:val="18"/>
          <w:lang w:val="es-ES" w:eastAsia="ja-JP"/>
        </w:rPr>
        <w:t>Atlas al speciilor de păsări de interes comunitar din România</w:t>
      </w:r>
      <w:r w:rsidRPr="00890F11">
        <w:rPr>
          <w:rFonts w:eastAsia="MS Mincho" w:cs="Arial"/>
          <w:szCs w:val="18"/>
          <w:lang w:val="es-ES" w:eastAsia="ja-JP"/>
        </w:rPr>
        <w:t xml:space="preserve">. Societatea Ornitologică Română/BirdLife International și Asociația pentru Protecția Păsărilor și a Naturii </w:t>
      </w:r>
      <w:r w:rsidRPr="00890F11">
        <w:rPr>
          <w:rFonts w:eastAsia="MS Mincho" w:cs="Arial"/>
          <w:i/>
          <w:szCs w:val="18"/>
          <w:lang w:val="es-ES" w:eastAsia="ja-JP"/>
        </w:rPr>
        <w:t>Grupul Milvus</w:t>
      </w:r>
      <w:r w:rsidRPr="00890F11">
        <w:rPr>
          <w:rFonts w:eastAsia="MS Mincho" w:cs="Arial"/>
          <w:szCs w:val="18"/>
          <w:lang w:val="es-ES" w:eastAsia="ja-JP"/>
        </w:rPr>
        <w:t>, Bucharest.</w:t>
      </w:r>
    </w:p>
    <w:p w14:paraId="0D6B4098"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6699CA94" w14:textId="77777777" w:rsidR="00C96521" w:rsidRPr="00C96521" w:rsidRDefault="00C96521" w:rsidP="00C96521">
      <w:pPr>
        <w:widowControl/>
        <w:autoSpaceDE/>
        <w:autoSpaceDN/>
        <w:adjustRightInd/>
        <w:spacing w:line="276" w:lineRule="auto"/>
        <w:rPr>
          <w:rFonts w:eastAsia="MS Mincho" w:cs="Arial"/>
          <w:i/>
          <w:szCs w:val="18"/>
          <w:lang w:val="en-GB" w:eastAsia="ja-JP"/>
        </w:rPr>
      </w:pPr>
      <w:r w:rsidRPr="00C96521">
        <w:rPr>
          <w:rFonts w:eastAsia="MS Mincho" w:cs="Arial"/>
          <w:b/>
          <w:szCs w:val="18"/>
          <w:lang w:val="en-GB" w:eastAsia="ja-JP"/>
        </w:rPr>
        <w:t>PREOBRAZHENSKAYA ES (2009)</w:t>
      </w:r>
      <w:r w:rsidRPr="00C96521">
        <w:rPr>
          <w:rFonts w:eastAsia="MS Mincho" w:cs="Arial"/>
          <w:i/>
          <w:szCs w:val="18"/>
          <w:lang w:val="en-GB" w:eastAsia="ja-JP"/>
        </w:rPr>
        <w:t xml:space="preserve"> </w:t>
      </w:r>
      <w:r w:rsidRPr="00C96521">
        <w:rPr>
          <w:rFonts w:eastAsia="MS Mincho" w:cs="Arial"/>
          <w:szCs w:val="18"/>
          <w:lang w:val="en-GB" w:eastAsia="ja-JP"/>
        </w:rPr>
        <w:t xml:space="preserve">Numbers of some rare bird species in Unzha taiga and their changes in 1978-2009. </w:t>
      </w:r>
      <w:r w:rsidRPr="00C96521">
        <w:rPr>
          <w:rFonts w:eastAsia="MS Mincho" w:cs="Arial"/>
          <w:i/>
          <w:szCs w:val="18"/>
          <w:lang w:val="en-GB" w:eastAsia="ja-JP"/>
        </w:rPr>
        <w:t>Rare bird species of Non-Chernozem Centre of Russia. Proc. of IVth Conference</w:t>
      </w:r>
      <w:r w:rsidRPr="00C96521">
        <w:rPr>
          <w:rFonts w:eastAsia="MS Mincho" w:cs="Arial"/>
          <w:szCs w:val="18"/>
          <w:lang w:val="en-GB" w:eastAsia="ja-JP"/>
        </w:rPr>
        <w:t>. Moscow. pp 43-49. [in Russian]</w:t>
      </w:r>
    </w:p>
    <w:p w14:paraId="34FD74EB"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7A7B3D73"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C96521">
        <w:rPr>
          <w:rFonts w:eastAsia="MS Mincho" w:cs="Arial"/>
          <w:b/>
          <w:szCs w:val="18"/>
          <w:lang w:val="en-GB" w:eastAsia="ja-JP"/>
        </w:rPr>
        <w:t>PRIEDNIEKS J, STRAZDS M, STRAZDS A and PETRINS A (1989)</w:t>
      </w:r>
      <w:r w:rsidRPr="00C96521">
        <w:rPr>
          <w:rFonts w:eastAsia="MS Mincho" w:cs="Arial"/>
          <w:szCs w:val="18"/>
          <w:lang w:val="en-GB" w:eastAsia="ja-JP"/>
        </w:rPr>
        <w:t xml:space="preserve"> </w:t>
      </w:r>
      <w:r w:rsidRPr="00C96521">
        <w:rPr>
          <w:rFonts w:eastAsia="MS Mincho" w:cs="Arial"/>
          <w:i/>
          <w:szCs w:val="18"/>
          <w:lang w:val="en-GB" w:eastAsia="ja-JP"/>
        </w:rPr>
        <w:t>Latvijas Ligzdojošo Putnu Atlants 1980-1984</w:t>
      </w:r>
      <w:r w:rsidRPr="00C96521">
        <w:rPr>
          <w:rFonts w:eastAsia="MS Mincho" w:cs="Arial"/>
          <w:szCs w:val="18"/>
          <w:lang w:val="en-GB" w:eastAsia="ja-JP"/>
        </w:rPr>
        <w:t xml:space="preserve">. </w:t>
      </w:r>
      <w:r w:rsidRPr="00890F11">
        <w:rPr>
          <w:rFonts w:eastAsia="MS Mincho" w:cs="Arial"/>
          <w:szCs w:val="18"/>
          <w:lang w:val="es-ES" w:eastAsia="ja-JP"/>
        </w:rPr>
        <w:t>Rīga Zinātne, Riga.</w:t>
      </w:r>
    </w:p>
    <w:p w14:paraId="64F15C10"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1A65B23F"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bCs/>
          <w:szCs w:val="18"/>
          <w:lang w:val="es-ES" w:eastAsia="ja-JP"/>
        </w:rPr>
        <w:t>PURROY F (1997)</w:t>
      </w:r>
      <w:r w:rsidRPr="00890F11">
        <w:rPr>
          <w:rFonts w:eastAsia="MS Mincho" w:cs="Arial"/>
          <w:bCs/>
          <w:szCs w:val="18"/>
          <w:lang w:val="es-ES" w:eastAsia="ja-JP"/>
        </w:rPr>
        <w:t xml:space="preserve"> </w:t>
      </w:r>
      <w:r w:rsidRPr="00890F11">
        <w:rPr>
          <w:rFonts w:eastAsia="MS Mincho" w:cs="Arial"/>
          <w:i/>
          <w:szCs w:val="18"/>
          <w:lang w:val="es-ES" w:eastAsia="ja-JP"/>
        </w:rPr>
        <w:t>Atlas de las aves de España (1975/1995</w:t>
      </w:r>
      <w:r w:rsidRPr="00890F11">
        <w:rPr>
          <w:rFonts w:eastAsia="MS Mincho" w:cs="Arial"/>
          <w:szCs w:val="18"/>
          <w:lang w:val="es-ES" w:eastAsia="ja-JP"/>
        </w:rPr>
        <w:t>). SEO/LYNX Edicions, Barcelona.</w:t>
      </w:r>
    </w:p>
    <w:p w14:paraId="4A73EBF5"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5C30045F" w14:textId="77777777" w:rsidR="00C96521" w:rsidRPr="00965D7D" w:rsidRDefault="00C96521" w:rsidP="00C96521">
      <w:pPr>
        <w:widowControl/>
        <w:autoSpaceDE/>
        <w:autoSpaceDN/>
        <w:adjustRightInd/>
        <w:spacing w:line="276" w:lineRule="auto"/>
        <w:rPr>
          <w:rFonts w:eastAsia="MS Mincho" w:cs="Arial"/>
          <w:szCs w:val="18"/>
          <w:lang w:val="de-DE" w:eastAsia="ja-JP"/>
        </w:rPr>
      </w:pPr>
      <w:r w:rsidRPr="00890F11">
        <w:rPr>
          <w:rFonts w:eastAsia="MS Mincho" w:cs="Arial"/>
          <w:b/>
          <w:szCs w:val="18"/>
          <w:lang w:val="es-ES" w:eastAsia="ja-JP"/>
        </w:rPr>
        <w:t>PUZOVIĆ S, SIMIC D, SAVELJIĆ D, GERGELJ J, TUCAKOV M, STONJNIĆ N, HULO I, HAM I, VIZI O, SCIBAN M, RUZIC M, VUCANOVIC M and JOVANOVIC T (2003)</w:t>
      </w:r>
      <w:r w:rsidRPr="00890F11">
        <w:rPr>
          <w:rFonts w:eastAsia="MS Mincho" w:cs="Arial"/>
          <w:szCs w:val="18"/>
          <w:lang w:val="es-ES" w:eastAsia="ja-JP"/>
        </w:rPr>
        <w:t xml:space="preserve"> Birds of Serbia and Montenegro - size of nesting populations and trends: 1990-2002. </w:t>
      </w:r>
      <w:r w:rsidRPr="00965D7D">
        <w:rPr>
          <w:rFonts w:eastAsia="MS Mincho" w:cs="Arial"/>
          <w:i/>
          <w:szCs w:val="18"/>
          <w:lang w:val="de-DE" w:eastAsia="ja-JP"/>
        </w:rPr>
        <w:t>Ciconia</w:t>
      </w:r>
      <w:r w:rsidRPr="00965D7D">
        <w:rPr>
          <w:rFonts w:eastAsia="MS Mincho" w:cs="Arial"/>
          <w:szCs w:val="18"/>
          <w:lang w:val="de-DE" w:eastAsia="ja-JP"/>
        </w:rPr>
        <w:t> 12: 36-120.</w:t>
      </w:r>
    </w:p>
    <w:p w14:paraId="39249FB5" w14:textId="77777777" w:rsidR="00C96521" w:rsidRPr="00965D7D" w:rsidRDefault="00C96521" w:rsidP="00C96521">
      <w:pPr>
        <w:widowControl/>
        <w:autoSpaceDE/>
        <w:autoSpaceDN/>
        <w:adjustRightInd/>
        <w:spacing w:line="276" w:lineRule="auto"/>
        <w:rPr>
          <w:rFonts w:eastAsia="MS Mincho" w:cs="Arial"/>
          <w:szCs w:val="18"/>
          <w:lang w:val="de-DE" w:eastAsia="ja-JP"/>
        </w:rPr>
      </w:pPr>
    </w:p>
    <w:p w14:paraId="4D0FAB8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965D7D">
        <w:rPr>
          <w:rFonts w:eastAsia="MS Mincho" w:cs="Arial"/>
          <w:b/>
          <w:szCs w:val="18"/>
          <w:lang w:val="de-DE" w:eastAsia="ja-JP"/>
        </w:rPr>
        <w:t xml:space="preserve">QUILLFELDT P, KLEEMAN L and MARX M (2014) </w:t>
      </w:r>
      <w:r w:rsidRPr="00965D7D">
        <w:rPr>
          <w:rFonts w:eastAsia="MS Mincho" w:cs="Arial"/>
          <w:szCs w:val="18"/>
          <w:lang w:val="de-DE" w:eastAsia="ja-JP"/>
        </w:rPr>
        <w:t xml:space="preserve">Hessen, Deutschland, Europa: Turteltauben im Fokus. </w:t>
      </w:r>
      <w:r w:rsidRPr="00C96521">
        <w:rPr>
          <w:rFonts w:eastAsia="MS Mincho" w:cs="Arial"/>
          <w:i/>
          <w:szCs w:val="18"/>
          <w:lang w:val="en-GB" w:eastAsia="ja-JP"/>
        </w:rPr>
        <w:t>Der Falke</w:t>
      </w:r>
      <w:r w:rsidRPr="00C96521">
        <w:rPr>
          <w:rFonts w:eastAsia="MS Mincho" w:cs="Arial"/>
          <w:szCs w:val="18"/>
          <w:lang w:val="en-GB" w:eastAsia="ja-JP"/>
        </w:rPr>
        <w:t xml:space="preserve"> 61 (2): 32-33.</w:t>
      </w:r>
    </w:p>
    <w:p w14:paraId="6D338260"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6C1D892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RAINE AF (2007)</w:t>
      </w:r>
      <w:r w:rsidRPr="00C96521">
        <w:rPr>
          <w:rFonts w:eastAsia="MS Mincho" w:cs="Arial"/>
          <w:szCs w:val="18"/>
          <w:lang w:val="en-GB" w:eastAsia="ja-JP"/>
        </w:rPr>
        <w:t xml:space="preserve"> </w:t>
      </w:r>
      <w:r w:rsidRPr="00C96521">
        <w:rPr>
          <w:rFonts w:eastAsia="MS Mincho" w:cs="Arial"/>
          <w:i/>
          <w:szCs w:val="18"/>
          <w:lang w:val="en-GB" w:eastAsia="ja-JP"/>
        </w:rPr>
        <w:t>The international impact of hunting and trapping in the Maltese islands</w:t>
      </w:r>
      <w:r w:rsidRPr="00C96521">
        <w:rPr>
          <w:rFonts w:eastAsia="MS Mincho" w:cs="Arial"/>
          <w:szCs w:val="18"/>
          <w:lang w:val="en-GB" w:eastAsia="ja-JP"/>
        </w:rPr>
        <w:t>. BirdLife Malta, Valleta.</w:t>
      </w:r>
    </w:p>
    <w:p w14:paraId="44233C6A"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16D17E9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RAINE A, SULTANA J and GILLINGS S (2009)</w:t>
      </w:r>
      <w:r w:rsidRPr="00C96521">
        <w:rPr>
          <w:rFonts w:eastAsia="MS Mincho" w:cs="Arial"/>
          <w:szCs w:val="18"/>
          <w:lang w:val="en-GB" w:eastAsia="ja-JP"/>
        </w:rPr>
        <w:t xml:space="preserve"> </w:t>
      </w:r>
      <w:r w:rsidRPr="00C96521">
        <w:rPr>
          <w:rFonts w:eastAsia="MS Mincho" w:cs="Arial"/>
          <w:i/>
          <w:szCs w:val="18"/>
          <w:lang w:val="en-GB" w:eastAsia="ja-JP"/>
        </w:rPr>
        <w:t>Malta Breeding Bird Atlas 2008</w:t>
      </w:r>
      <w:r w:rsidRPr="00C96521">
        <w:rPr>
          <w:rFonts w:eastAsia="MS Mincho" w:cs="Arial"/>
          <w:szCs w:val="18"/>
          <w:lang w:val="en-GB" w:eastAsia="ja-JP"/>
        </w:rPr>
        <w:t>. BirdLife Malta, Valleta.</w:t>
      </w:r>
    </w:p>
    <w:p w14:paraId="7DF2E0D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9A789F7" w14:textId="77777777" w:rsidR="00C96521" w:rsidRPr="009E5B91" w:rsidRDefault="00C96521" w:rsidP="00C96521">
      <w:pPr>
        <w:widowControl/>
        <w:autoSpaceDE/>
        <w:autoSpaceDN/>
        <w:adjustRightInd/>
        <w:spacing w:line="276" w:lineRule="auto"/>
        <w:rPr>
          <w:rFonts w:eastAsia="MS Mincho" w:cs="Arial"/>
          <w:szCs w:val="18"/>
          <w:lang w:val="en-AU" w:eastAsia="ja-JP"/>
        </w:rPr>
      </w:pPr>
      <w:r w:rsidRPr="00C96521">
        <w:rPr>
          <w:rFonts w:eastAsia="MS Mincho" w:cs="Arial"/>
          <w:b/>
          <w:szCs w:val="18"/>
          <w:lang w:val="en-GB" w:eastAsia="ja-JP"/>
        </w:rPr>
        <w:t>REIF J, VORISEK P, STASTNY K and BEJCEK V (2006)</w:t>
      </w:r>
      <w:r w:rsidRPr="00C96521">
        <w:rPr>
          <w:rFonts w:eastAsia="MS Mincho" w:cs="Arial"/>
          <w:szCs w:val="18"/>
          <w:lang w:val="en-GB" w:eastAsia="ja-JP"/>
        </w:rPr>
        <w:t xml:space="preserve"> Trendy početnosti ptáků v České republice v letech 1982–2005. </w:t>
      </w:r>
      <w:r w:rsidRPr="009E5B91">
        <w:rPr>
          <w:rFonts w:eastAsia="MS Mincho" w:cs="Arial"/>
          <w:i/>
          <w:szCs w:val="18"/>
          <w:lang w:val="en-AU" w:eastAsia="ja-JP"/>
        </w:rPr>
        <w:t>Sylvia</w:t>
      </w:r>
      <w:r w:rsidRPr="009E5B91">
        <w:rPr>
          <w:rFonts w:eastAsia="MS Mincho" w:cs="Arial"/>
          <w:szCs w:val="18"/>
          <w:lang w:val="en-AU" w:eastAsia="ja-JP"/>
        </w:rPr>
        <w:t xml:space="preserve"> 42: 22-37.</w:t>
      </w:r>
    </w:p>
    <w:p w14:paraId="5B64B30D" w14:textId="77777777" w:rsidR="00C96521" w:rsidRPr="009E5B91" w:rsidRDefault="00C96521" w:rsidP="00C96521">
      <w:pPr>
        <w:widowControl/>
        <w:autoSpaceDE/>
        <w:autoSpaceDN/>
        <w:adjustRightInd/>
        <w:spacing w:line="276" w:lineRule="auto"/>
        <w:rPr>
          <w:rFonts w:eastAsia="MS Mincho" w:cs="Arial"/>
          <w:b/>
          <w:szCs w:val="18"/>
          <w:lang w:val="en-AU" w:eastAsia="ja-JP"/>
        </w:rPr>
      </w:pPr>
    </w:p>
    <w:p w14:paraId="4135F042"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9E5B91">
        <w:rPr>
          <w:rFonts w:eastAsia="MS Mincho" w:cs="Arial"/>
          <w:b/>
          <w:szCs w:val="18"/>
          <w:lang w:val="en-AU" w:eastAsia="ja-JP"/>
        </w:rPr>
        <w:t xml:space="preserve">RETE RURALE NAZIONALE and LIPU (2015) </w:t>
      </w:r>
      <w:r w:rsidRPr="009E5B91">
        <w:rPr>
          <w:rFonts w:eastAsia="MS Mincho" w:cs="Arial"/>
          <w:i/>
          <w:szCs w:val="18"/>
          <w:lang w:val="en-AU" w:eastAsia="ja-JP"/>
        </w:rPr>
        <w:t xml:space="preserve">Uccelli comuni in Italia. </w:t>
      </w:r>
      <w:r w:rsidRPr="00C96521">
        <w:rPr>
          <w:rFonts w:eastAsia="MS Mincho" w:cs="Arial"/>
          <w:i/>
          <w:szCs w:val="18"/>
          <w:lang w:val="en-GB" w:eastAsia="ja-JP"/>
        </w:rPr>
        <w:t>Aggiornamento degli andamenti di popolazione e del Farmland Bird Index per la Rete Rurale Nazionale dal 2000 al 2014.</w:t>
      </w:r>
      <w:r w:rsidRPr="00C96521">
        <w:rPr>
          <w:rFonts w:eastAsia="MS Mincho" w:cs="Arial"/>
          <w:szCs w:val="18"/>
          <w:lang w:val="en-GB" w:eastAsia="ja-JP"/>
        </w:rPr>
        <w:t xml:space="preserve"> http://www.reterurale.it/flex/cm/pages/ServeBLOB.php/L/IT/IDPagina/15032 (last accessed 28</w:t>
      </w:r>
      <w:r w:rsidRPr="00C96521">
        <w:rPr>
          <w:rFonts w:eastAsia="MS Mincho" w:cs="Arial"/>
          <w:szCs w:val="18"/>
          <w:vertAlign w:val="superscript"/>
          <w:lang w:val="en-GB" w:eastAsia="ja-JP"/>
        </w:rPr>
        <w:t>th</w:t>
      </w:r>
      <w:r w:rsidRPr="00C96521">
        <w:rPr>
          <w:rFonts w:eastAsia="MS Mincho" w:cs="Arial"/>
          <w:szCs w:val="18"/>
          <w:lang w:val="en-GB" w:eastAsia="ja-JP"/>
        </w:rPr>
        <w:t xml:space="preserve"> March 2017.</w:t>
      </w:r>
    </w:p>
    <w:p w14:paraId="4D4EFB74"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6A11650F"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r w:rsidRPr="00C96521">
        <w:rPr>
          <w:rFonts w:eastAsia="MS Mincho" w:cs="Arial"/>
          <w:b/>
          <w:bCs/>
          <w:szCs w:val="18"/>
          <w:lang w:val="en-GB" w:eastAsia="ja-JP"/>
        </w:rPr>
        <w:t xml:space="preserve">ROBINSON RA (2016) </w:t>
      </w:r>
      <w:r w:rsidRPr="00C96521">
        <w:rPr>
          <w:rFonts w:eastAsia="MS Mincho" w:cs="Arial"/>
          <w:i/>
          <w:szCs w:val="18"/>
          <w:lang w:val="en-GB" w:eastAsia="ja-JP"/>
        </w:rPr>
        <w:t>BirdFacts: profiles of birds occurring in Britain &amp; Ireland (BTO Research Report 407).</w:t>
      </w:r>
      <w:r w:rsidRPr="00C96521">
        <w:rPr>
          <w:rFonts w:eastAsia="MS Mincho" w:cs="Arial"/>
          <w:szCs w:val="18"/>
          <w:lang w:val="en-GB" w:eastAsia="ja-JP"/>
        </w:rPr>
        <w:t xml:space="preserve"> BTO, Thetford. http://www.bto.org/birdfact] (last accessed 4</w:t>
      </w:r>
      <w:r w:rsidRPr="00C96521">
        <w:rPr>
          <w:rFonts w:eastAsia="MS Mincho" w:cs="Arial"/>
          <w:szCs w:val="18"/>
          <w:vertAlign w:val="superscript"/>
          <w:lang w:val="en-GB" w:eastAsia="ja-JP"/>
        </w:rPr>
        <w:t>th</w:t>
      </w:r>
      <w:r w:rsidRPr="00C96521">
        <w:rPr>
          <w:rFonts w:eastAsia="MS Mincho" w:cs="Arial"/>
          <w:szCs w:val="18"/>
          <w:lang w:val="en-GB" w:eastAsia="ja-JP"/>
        </w:rPr>
        <w:t xml:space="preserve"> November 2016).</w:t>
      </w:r>
    </w:p>
    <w:p w14:paraId="385EDB13"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A072D96"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C96521">
        <w:rPr>
          <w:rFonts w:eastAsia="MS Mincho" w:cs="Arial"/>
          <w:b/>
          <w:szCs w:val="18"/>
          <w:lang w:val="en-GB" w:eastAsia="ja-JP"/>
        </w:rPr>
        <w:t>ROBINSON RA, LAWSON B, TOMS MP, PECK KM, KIRKWOOD JK, CHANTRY J, CLATWORTHY IR, EVANS AD, HUGHES LA, HUTCHINSON OC, JOHN SK, PENNYCOTT TW, PERKINS MW, ROWLEY PS, SIMPSON VR, TYLER KM and CUNNINGHAM AA (2010)</w:t>
      </w:r>
      <w:r w:rsidRPr="00C96521">
        <w:rPr>
          <w:rFonts w:eastAsia="MS Mincho" w:cs="Arial"/>
          <w:szCs w:val="18"/>
          <w:lang w:val="en-GB" w:eastAsia="ja-JP"/>
        </w:rPr>
        <w:t xml:space="preserve"> Emerging infectious disease leads to rapid population declines of common British birds. </w:t>
      </w:r>
      <w:r w:rsidRPr="00890F11">
        <w:rPr>
          <w:rFonts w:eastAsia="MS Mincho" w:cs="Arial"/>
          <w:i/>
          <w:szCs w:val="18"/>
          <w:lang w:val="es-ES" w:eastAsia="ja-JP"/>
        </w:rPr>
        <w:t>PLoS ONE</w:t>
      </w:r>
      <w:r w:rsidRPr="00890F11">
        <w:rPr>
          <w:rFonts w:eastAsia="MS Mincho" w:cs="Arial"/>
          <w:szCs w:val="18"/>
          <w:lang w:val="es-ES" w:eastAsia="ja-JP"/>
        </w:rPr>
        <w:t xml:space="preserve"> 5 (8) DOI: 10.1371/journal.pone.0012215.</w:t>
      </w:r>
    </w:p>
    <w:p w14:paraId="706CAA7B" w14:textId="77777777" w:rsidR="00C96521" w:rsidRPr="00890F11" w:rsidRDefault="00C96521" w:rsidP="00C96521">
      <w:pPr>
        <w:widowControl/>
        <w:autoSpaceDE/>
        <w:autoSpaceDN/>
        <w:adjustRightInd/>
        <w:spacing w:line="276" w:lineRule="auto"/>
        <w:rPr>
          <w:rFonts w:eastAsia="MS Mincho" w:cs="Arial"/>
          <w:bCs/>
          <w:szCs w:val="18"/>
          <w:lang w:val="es-ES" w:eastAsia="ja-JP"/>
        </w:rPr>
      </w:pPr>
    </w:p>
    <w:p w14:paraId="13D52C78" w14:textId="77777777" w:rsidR="00C96521" w:rsidRPr="00890F11" w:rsidRDefault="00C96521" w:rsidP="00C96521">
      <w:pPr>
        <w:widowControl/>
        <w:autoSpaceDE/>
        <w:autoSpaceDN/>
        <w:adjustRightInd/>
        <w:spacing w:line="276" w:lineRule="auto"/>
        <w:rPr>
          <w:rFonts w:eastAsia="MS Mincho" w:cs="Arial"/>
          <w:bCs/>
          <w:szCs w:val="18"/>
          <w:lang w:val="es-ES" w:eastAsia="ja-JP"/>
        </w:rPr>
      </w:pPr>
      <w:r w:rsidRPr="00890F11">
        <w:rPr>
          <w:rFonts w:eastAsia="MS Mincho" w:cs="Arial"/>
          <w:b/>
          <w:bCs/>
          <w:szCs w:val="18"/>
          <w:lang w:val="es-ES" w:eastAsia="ja-JP"/>
        </w:rPr>
        <w:t>ROCHA CAMARERO G and HIDALGO DE TRUCIOS SJ (1998)</w:t>
      </w:r>
      <w:r w:rsidRPr="00890F11">
        <w:rPr>
          <w:rFonts w:eastAsia="MS Mincho" w:cs="Arial"/>
          <w:bCs/>
          <w:szCs w:val="18"/>
          <w:lang w:val="es-ES" w:eastAsia="ja-JP"/>
        </w:rPr>
        <w:t xml:space="preserve"> Distribución y abundancia de la Tórtola Turca </w:t>
      </w:r>
      <w:r w:rsidRPr="00890F11">
        <w:rPr>
          <w:rFonts w:eastAsia="MS Mincho" w:cs="Arial"/>
          <w:bCs/>
          <w:i/>
          <w:szCs w:val="18"/>
          <w:lang w:val="es-ES" w:eastAsia="ja-JP"/>
        </w:rPr>
        <w:t>Streptopelia decaocto</w:t>
      </w:r>
      <w:r w:rsidRPr="00890F11">
        <w:rPr>
          <w:rFonts w:eastAsia="MS Mincho" w:cs="Arial"/>
          <w:bCs/>
          <w:szCs w:val="18"/>
          <w:lang w:val="es-ES" w:eastAsia="ja-JP"/>
        </w:rPr>
        <w:t xml:space="preserve"> en Extremadura (SO de España). </w:t>
      </w:r>
      <w:hyperlink r:id="rId58" w:tgtFrame="_parent" w:history="1">
        <w:r w:rsidRPr="00890F11">
          <w:rPr>
            <w:rFonts w:eastAsia="MS Mincho" w:cs="Arial"/>
            <w:bCs/>
            <w:i/>
            <w:szCs w:val="18"/>
            <w:lang w:val="es-ES" w:eastAsia="ja-JP"/>
          </w:rPr>
          <w:t>Butlletí del Grup Català d'Anellament</w:t>
        </w:r>
      </w:hyperlink>
      <w:r w:rsidRPr="00890F11">
        <w:rPr>
          <w:rFonts w:eastAsia="MS Mincho" w:cs="Arial"/>
          <w:bCs/>
          <w:szCs w:val="18"/>
          <w:lang w:val="es-ES" w:eastAsia="ja-JP"/>
        </w:rPr>
        <w:t xml:space="preserve"> 15:1-8.</w:t>
      </w:r>
    </w:p>
    <w:p w14:paraId="7417ADC4" w14:textId="77777777" w:rsidR="00C96521" w:rsidRPr="00890F11" w:rsidRDefault="00C96521" w:rsidP="00C96521">
      <w:pPr>
        <w:widowControl/>
        <w:autoSpaceDE/>
        <w:autoSpaceDN/>
        <w:adjustRightInd/>
        <w:spacing w:line="276" w:lineRule="auto"/>
        <w:rPr>
          <w:rFonts w:eastAsia="MS Mincho" w:cs="Arial"/>
          <w:bCs/>
          <w:szCs w:val="18"/>
          <w:lang w:val="es-ES" w:eastAsia="ja-JP"/>
        </w:rPr>
      </w:pPr>
    </w:p>
    <w:p w14:paraId="4B721E8E" w14:textId="77777777" w:rsidR="00C96521" w:rsidRPr="00965D7D"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b/>
          <w:bCs/>
          <w:szCs w:val="18"/>
          <w:lang w:val="es-ES" w:eastAsia="ja-JP"/>
        </w:rPr>
        <w:t>ROCHA CAMARERO G and HIDALGO DE TRUCIOS SJ (2000)</w:t>
      </w:r>
      <w:r w:rsidRPr="00890F11">
        <w:rPr>
          <w:rFonts w:eastAsia="MS Mincho" w:cs="Arial"/>
          <w:bCs/>
          <w:szCs w:val="18"/>
          <w:lang w:val="es-ES" w:eastAsia="ja-JP"/>
        </w:rPr>
        <w:t xml:space="preserve"> </w:t>
      </w:r>
      <w:r w:rsidRPr="00890F11">
        <w:rPr>
          <w:rFonts w:eastAsia="MS Mincho" w:cs="Arial"/>
          <w:bCs/>
          <w:i/>
          <w:szCs w:val="18"/>
          <w:lang w:val="es-ES" w:eastAsia="ja-JP"/>
        </w:rPr>
        <w:t xml:space="preserve">Ecología de la tórtola turca </w:t>
      </w:r>
      <w:r w:rsidRPr="00890F11">
        <w:rPr>
          <w:rFonts w:eastAsia="MS Mincho" w:cs="Arial"/>
          <w:i/>
          <w:iCs/>
          <w:szCs w:val="18"/>
          <w:lang w:val="es-ES" w:eastAsia="ja-JP"/>
        </w:rPr>
        <w:t>(</w:t>
      </w:r>
      <w:r w:rsidRPr="00890F11">
        <w:rPr>
          <w:rFonts w:eastAsia="MS Mincho" w:cs="Arial"/>
          <w:iCs/>
          <w:szCs w:val="18"/>
          <w:lang w:val="es-ES" w:eastAsia="ja-JP"/>
        </w:rPr>
        <w:t>Streptopelia decaocto</w:t>
      </w:r>
      <w:r w:rsidRPr="00890F11">
        <w:rPr>
          <w:rFonts w:eastAsia="MS Mincho" w:cs="Arial"/>
          <w:i/>
          <w:iCs/>
          <w:szCs w:val="18"/>
          <w:lang w:val="es-ES" w:eastAsia="ja-JP"/>
        </w:rPr>
        <w:t>)</w:t>
      </w:r>
      <w:r w:rsidRPr="00890F11">
        <w:rPr>
          <w:rFonts w:eastAsia="MS Mincho" w:cs="Arial"/>
          <w:szCs w:val="18"/>
          <w:lang w:val="es-ES" w:eastAsia="ja-JP"/>
        </w:rPr>
        <w:t xml:space="preserve">. </w:t>
      </w:r>
      <w:r w:rsidRPr="00965D7D">
        <w:rPr>
          <w:rFonts w:eastAsia="MS Mincho" w:cs="Arial"/>
          <w:szCs w:val="18"/>
          <w:lang w:val="fr-FR" w:eastAsia="ja-JP"/>
        </w:rPr>
        <w:t>Servicio de Publicaciones de la Universidad de Extremadura, Cáceres.</w:t>
      </w:r>
    </w:p>
    <w:p w14:paraId="740B0C38" w14:textId="77777777" w:rsidR="00C96521" w:rsidRPr="00965D7D" w:rsidRDefault="00C96521" w:rsidP="00C96521">
      <w:pPr>
        <w:widowControl/>
        <w:autoSpaceDE/>
        <w:autoSpaceDN/>
        <w:adjustRightInd/>
        <w:spacing w:line="276" w:lineRule="auto"/>
        <w:rPr>
          <w:rFonts w:eastAsia="MS Mincho" w:cs="Arial"/>
          <w:szCs w:val="18"/>
          <w:lang w:val="fr-FR" w:eastAsia="ja-JP"/>
        </w:rPr>
      </w:pPr>
    </w:p>
    <w:p w14:paraId="66E0A9FE"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10359">
        <w:rPr>
          <w:rFonts w:eastAsia="MS Mincho" w:cs="Arial"/>
          <w:b/>
          <w:bCs/>
          <w:szCs w:val="18"/>
          <w:lang w:val="es-ES" w:eastAsia="ja-JP"/>
        </w:rPr>
        <w:t>ROCHA CAMARERO G and HIDALGO DE TRUCIOS S J (2001a)</w:t>
      </w:r>
      <w:r w:rsidRPr="00810359">
        <w:rPr>
          <w:rFonts w:eastAsia="MS Mincho" w:cs="Arial"/>
          <w:bCs/>
          <w:szCs w:val="18"/>
          <w:lang w:val="es-ES" w:eastAsia="ja-JP"/>
        </w:rPr>
        <w:t xml:space="preserve"> Incidencia del uso de reclamos alimenticios sobre la </w:t>
      </w:r>
      <w:r w:rsidRPr="00810359">
        <w:rPr>
          <w:rFonts w:eastAsia="MS Mincho" w:cs="Arial"/>
          <w:bCs/>
          <w:i/>
          <w:szCs w:val="18"/>
          <w:lang w:val="es-ES" w:eastAsia="ja-JP"/>
        </w:rPr>
        <w:t>tórtola comùn.</w:t>
      </w:r>
      <w:r w:rsidRPr="00810359">
        <w:rPr>
          <w:rFonts w:eastAsia="MS Mincho" w:cs="Arial"/>
          <w:szCs w:val="18"/>
          <w:lang w:val="es-ES" w:eastAsia="ja-JP"/>
        </w:rPr>
        <w:t xml:space="preserve"> Biologia y gestion de columbidos silvestres. II Cologuio Internacional – 14-15 Deciembre 2000 – Donostia-San Sebastian. </w:t>
      </w:r>
      <w:r w:rsidRPr="00890F11">
        <w:rPr>
          <w:rFonts w:eastAsia="MS Mincho" w:cs="Arial"/>
          <w:szCs w:val="18"/>
          <w:lang w:val="fr-FR" w:eastAsia="ja-JP"/>
        </w:rPr>
        <w:t>Naturzale. Cuadernos de Ciencias Naturales 16 : 147-155.</w:t>
      </w:r>
    </w:p>
    <w:p w14:paraId="53E6539B" w14:textId="77777777" w:rsidR="00C96521" w:rsidRPr="00890F11" w:rsidRDefault="00C96521" w:rsidP="00C96521">
      <w:pPr>
        <w:widowControl/>
        <w:autoSpaceDE/>
        <w:autoSpaceDN/>
        <w:adjustRightInd/>
        <w:spacing w:line="276" w:lineRule="auto"/>
        <w:rPr>
          <w:rFonts w:eastAsia="MS Mincho" w:cs="Arial"/>
          <w:szCs w:val="18"/>
          <w:lang w:val="fr-FR" w:eastAsia="ja-JP"/>
        </w:rPr>
      </w:pPr>
    </w:p>
    <w:p w14:paraId="46225573"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fr-FR" w:eastAsia="ja-JP"/>
        </w:rPr>
        <w:lastRenderedPageBreak/>
        <w:t>ROCHA CAMARERO G and HIDALGO DE TRUCIOS SJ (2001b)</w:t>
      </w:r>
      <w:r w:rsidRPr="00890F11">
        <w:rPr>
          <w:rFonts w:eastAsia="MS Mincho" w:cs="Arial"/>
          <w:szCs w:val="18"/>
          <w:lang w:val="fr-FR" w:eastAsia="ja-JP"/>
        </w:rPr>
        <w:t xml:space="preserve"> La Tourterelle Turque </w:t>
      </w:r>
      <w:r w:rsidRPr="00890F11">
        <w:rPr>
          <w:rFonts w:eastAsia="MS Mincho" w:cs="Arial"/>
          <w:i/>
          <w:szCs w:val="18"/>
          <w:lang w:val="fr-FR" w:eastAsia="ja-JP"/>
        </w:rPr>
        <w:t>Streptopelia decaocto</w:t>
      </w:r>
      <w:r w:rsidRPr="00890F11">
        <w:rPr>
          <w:rFonts w:eastAsia="MS Mincho" w:cs="Arial"/>
          <w:szCs w:val="18"/>
          <w:lang w:val="fr-FR" w:eastAsia="ja-JP"/>
        </w:rPr>
        <w:t xml:space="preserve"> en Estrémadure, en Espagne: sa distribution, son expansion et son incidence sur la Tourterelle des bois. </w:t>
      </w:r>
      <w:r w:rsidRPr="00890F11">
        <w:rPr>
          <w:rFonts w:eastAsia="MS Mincho" w:cs="Arial"/>
          <w:i/>
          <w:szCs w:val="18"/>
          <w:lang w:val="es-ES" w:eastAsia="ja-JP"/>
        </w:rPr>
        <w:t>Faune Sauvage</w:t>
      </w:r>
      <w:r w:rsidRPr="00890F11">
        <w:rPr>
          <w:rFonts w:eastAsia="MS Mincho" w:cs="Arial"/>
          <w:szCs w:val="18"/>
          <w:lang w:val="es-ES" w:eastAsia="ja-JP"/>
        </w:rPr>
        <w:t xml:space="preserve"> 253: 66-68.</w:t>
      </w:r>
    </w:p>
    <w:p w14:paraId="2E34E516"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3E453B55"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bCs/>
          <w:szCs w:val="18"/>
          <w:lang w:val="es-ES" w:eastAsia="ja-JP"/>
        </w:rPr>
        <w:t>ROCHA CAMARERO G and HIDALGO DE TRUCIOS S J (2002a)</w:t>
      </w:r>
      <w:r w:rsidRPr="00890F11">
        <w:rPr>
          <w:rFonts w:eastAsia="MS Mincho" w:cs="Arial"/>
          <w:bCs/>
          <w:szCs w:val="18"/>
          <w:lang w:val="es-ES" w:eastAsia="ja-JP"/>
        </w:rPr>
        <w:t xml:space="preserve"> </w:t>
      </w:r>
      <w:r w:rsidRPr="00890F11">
        <w:rPr>
          <w:rFonts w:eastAsia="MS Mincho" w:cs="Arial"/>
          <w:bCs/>
          <w:i/>
          <w:szCs w:val="18"/>
          <w:lang w:val="es-ES" w:eastAsia="ja-JP"/>
        </w:rPr>
        <w:t xml:space="preserve">La tórtola común </w:t>
      </w:r>
      <w:r w:rsidRPr="00890F11">
        <w:rPr>
          <w:rFonts w:eastAsia="MS Mincho" w:cs="Arial"/>
          <w:i/>
          <w:iCs/>
          <w:szCs w:val="18"/>
          <w:lang w:val="es-ES" w:eastAsia="ja-JP"/>
        </w:rPr>
        <w:t>(</w:t>
      </w:r>
      <w:r w:rsidRPr="00890F11">
        <w:rPr>
          <w:rFonts w:eastAsia="MS Mincho" w:cs="Arial"/>
          <w:iCs/>
          <w:szCs w:val="18"/>
          <w:lang w:val="es-ES" w:eastAsia="ja-JP"/>
        </w:rPr>
        <w:t>Streptopelia turtur</w:t>
      </w:r>
      <w:r w:rsidRPr="00890F11">
        <w:rPr>
          <w:rFonts w:eastAsia="MS Mincho" w:cs="Arial"/>
          <w:i/>
          <w:iCs/>
          <w:szCs w:val="18"/>
          <w:lang w:val="es-ES" w:eastAsia="ja-JP"/>
        </w:rPr>
        <w:t xml:space="preserve">). Análisis de los factores que afectan a su status. </w:t>
      </w:r>
      <w:r w:rsidRPr="00890F11">
        <w:rPr>
          <w:rFonts w:eastAsia="MS Mincho" w:cs="Arial"/>
          <w:szCs w:val="18"/>
          <w:lang w:val="es-ES" w:eastAsia="ja-JP"/>
        </w:rPr>
        <w:t>Servicio de Publicaciones de la Universidad de Extremadura, Cáceres.</w:t>
      </w:r>
    </w:p>
    <w:p w14:paraId="01020A84" w14:textId="77777777" w:rsidR="00C96521" w:rsidRPr="00890F11" w:rsidRDefault="00C96521" w:rsidP="00C96521">
      <w:pPr>
        <w:widowControl/>
        <w:autoSpaceDE/>
        <w:autoSpaceDN/>
        <w:adjustRightInd/>
        <w:spacing w:line="276" w:lineRule="auto"/>
        <w:rPr>
          <w:rFonts w:eastAsia="MS Mincho" w:cs="Arial"/>
          <w:b/>
          <w:bCs/>
          <w:szCs w:val="18"/>
          <w:lang w:val="es-ES" w:eastAsia="ja-JP"/>
        </w:rPr>
      </w:pPr>
    </w:p>
    <w:p w14:paraId="465A2D3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ROCHA CAMARERO G and HIDALGO DE TRUCIOS SJ (2002b</w:t>
      </w:r>
      <w:r w:rsidRPr="00C96521">
        <w:rPr>
          <w:rFonts w:eastAsia="MS Mincho" w:cs="Arial"/>
          <w:bCs/>
          <w:szCs w:val="18"/>
          <w:lang w:val="en-GB" w:eastAsia="ja-JP"/>
        </w:rPr>
        <w:t xml:space="preserve">) </w:t>
      </w:r>
      <w:r w:rsidRPr="00C96521">
        <w:rPr>
          <w:rFonts w:eastAsia="MS Mincho" w:cs="Arial"/>
          <w:szCs w:val="18"/>
          <w:lang w:val="en-GB" w:eastAsia="ja-JP"/>
        </w:rPr>
        <w:t xml:space="preserve">Examining the spread of the Collared Dove in Europe. Colonization patterns in the west of the Iberian Peninsula. </w:t>
      </w:r>
      <w:r w:rsidRPr="00C96521">
        <w:rPr>
          <w:rFonts w:eastAsia="MS Mincho" w:cs="Arial"/>
          <w:i/>
          <w:iCs/>
          <w:szCs w:val="18"/>
          <w:lang w:val="en-GB" w:eastAsia="ja-JP"/>
        </w:rPr>
        <w:t>Bird Study</w:t>
      </w:r>
      <w:r w:rsidRPr="00C96521">
        <w:rPr>
          <w:rFonts w:eastAsia="MS Mincho" w:cs="Arial"/>
          <w:szCs w:val="18"/>
          <w:lang w:val="en-GB" w:eastAsia="ja-JP"/>
        </w:rPr>
        <w:t xml:space="preserve"> 489: 11-16.</w:t>
      </w:r>
    </w:p>
    <w:p w14:paraId="0C865B5A"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96B30A3" w14:textId="77777777" w:rsidR="00C96521" w:rsidRPr="009E5B91" w:rsidRDefault="00C96521" w:rsidP="00C96521">
      <w:pPr>
        <w:widowControl/>
        <w:autoSpaceDE/>
        <w:autoSpaceDN/>
        <w:adjustRightInd/>
        <w:spacing w:line="276" w:lineRule="auto"/>
        <w:rPr>
          <w:rFonts w:eastAsia="MS Mincho" w:cs="Arial"/>
          <w:szCs w:val="18"/>
          <w:lang w:val="es-ES" w:eastAsia="ja-JP"/>
        </w:rPr>
      </w:pPr>
      <w:r w:rsidRPr="00890F11">
        <w:rPr>
          <w:rFonts w:eastAsia="MS Mincho" w:cs="Arial"/>
          <w:b/>
          <w:szCs w:val="18"/>
          <w:lang w:val="es-ES" w:eastAsia="ja-JP"/>
        </w:rPr>
        <w:t>ROCHA CAMARERO G and HIDALGO DE TRUCIOS SJ (2004a)</w:t>
      </w:r>
      <w:r w:rsidRPr="00890F11">
        <w:rPr>
          <w:rFonts w:eastAsia="MS Mincho" w:cs="Arial"/>
          <w:szCs w:val="18"/>
          <w:lang w:val="es-ES" w:eastAsia="ja-JP"/>
        </w:rPr>
        <w:t xml:space="preserve"> La Investigación científica al servicio de una gestión eficaz: el ejemplo de los estudios sobre la Tórtola Común en Extremadura. </w:t>
      </w:r>
      <w:r w:rsidRPr="009E5B91">
        <w:rPr>
          <w:rFonts w:eastAsia="MS Mincho" w:cs="Arial"/>
          <w:i/>
          <w:szCs w:val="18"/>
          <w:lang w:val="es-ES" w:eastAsia="ja-JP"/>
        </w:rPr>
        <w:t xml:space="preserve">Foresta </w:t>
      </w:r>
      <w:r w:rsidRPr="009E5B91">
        <w:rPr>
          <w:rFonts w:eastAsia="MS Mincho" w:cs="Arial"/>
          <w:szCs w:val="18"/>
          <w:lang w:val="es-ES" w:eastAsia="ja-JP"/>
        </w:rPr>
        <w:t>27: 76-81.</w:t>
      </w:r>
    </w:p>
    <w:p w14:paraId="4035A5BF" w14:textId="77777777" w:rsidR="00C96521" w:rsidRPr="009E5B91" w:rsidRDefault="00C96521" w:rsidP="00C96521">
      <w:pPr>
        <w:widowControl/>
        <w:autoSpaceDE/>
        <w:autoSpaceDN/>
        <w:adjustRightInd/>
        <w:spacing w:line="276" w:lineRule="auto"/>
        <w:rPr>
          <w:rFonts w:eastAsia="MS Mincho" w:cs="Arial"/>
          <w:szCs w:val="18"/>
          <w:lang w:val="es-ES" w:eastAsia="ja-JP"/>
        </w:rPr>
      </w:pPr>
    </w:p>
    <w:p w14:paraId="652463A1" w14:textId="77777777" w:rsidR="00C96521" w:rsidRPr="00890F11" w:rsidRDefault="00C96521" w:rsidP="00C96521">
      <w:pPr>
        <w:widowControl/>
        <w:autoSpaceDE/>
        <w:autoSpaceDN/>
        <w:adjustRightInd/>
        <w:spacing w:line="276" w:lineRule="auto"/>
        <w:rPr>
          <w:rFonts w:eastAsia="MS Mincho" w:cs="Arial"/>
          <w:szCs w:val="18"/>
          <w:lang w:val="es-ES" w:eastAsia="ja-JP"/>
        </w:rPr>
      </w:pPr>
      <w:r w:rsidRPr="00810359">
        <w:rPr>
          <w:rFonts w:eastAsia="MS Mincho" w:cs="Arial"/>
          <w:b/>
          <w:szCs w:val="18"/>
          <w:lang w:val="es-ES" w:eastAsia="ja-JP"/>
        </w:rPr>
        <w:t>ROCHA CAMARERO G and HIDALGO DE TRUCIOS SJ (2004b)</w:t>
      </w:r>
      <w:r w:rsidRPr="00810359">
        <w:rPr>
          <w:rFonts w:eastAsia="MS Mincho" w:cs="Arial"/>
          <w:szCs w:val="18"/>
          <w:lang w:val="es-ES" w:eastAsia="ja-JP"/>
        </w:rPr>
        <w:t xml:space="preserve"> La Tórtola Turca, ¿especie cazable?. </w:t>
      </w:r>
      <w:r w:rsidRPr="00890F11">
        <w:rPr>
          <w:rFonts w:eastAsia="MS Mincho" w:cs="Arial"/>
          <w:szCs w:val="18"/>
          <w:lang w:val="es-ES" w:eastAsia="ja-JP"/>
        </w:rPr>
        <w:t xml:space="preserve">In: CENTRO de DESARROLLO RURAL CAMPIÑA SUR (ed) </w:t>
      </w:r>
      <w:r w:rsidRPr="00890F11">
        <w:rPr>
          <w:rFonts w:eastAsia="MS Mincho" w:cs="Arial"/>
          <w:i/>
          <w:szCs w:val="18"/>
          <w:lang w:val="es-ES" w:eastAsia="ja-JP"/>
        </w:rPr>
        <w:t>Gestion cinegética y desarrollo rural</w:t>
      </w:r>
      <w:r w:rsidRPr="00890F11">
        <w:rPr>
          <w:rFonts w:eastAsia="MS Mincho" w:cs="Arial"/>
          <w:szCs w:val="18"/>
          <w:lang w:val="es-ES" w:eastAsia="ja-JP"/>
        </w:rPr>
        <w:t>. pp143-152.</w:t>
      </w:r>
    </w:p>
    <w:p w14:paraId="400F1020" w14:textId="77777777" w:rsidR="00C96521" w:rsidRPr="00890F11" w:rsidRDefault="00C96521" w:rsidP="00C96521">
      <w:pPr>
        <w:widowControl/>
        <w:autoSpaceDE/>
        <w:autoSpaceDN/>
        <w:adjustRightInd/>
        <w:spacing w:line="276" w:lineRule="auto"/>
        <w:rPr>
          <w:rFonts w:eastAsia="MS Mincho" w:cs="Arial"/>
          <w:szCs w:val="18"/>
          <w:lang w:val="es-ES" w:eastAsia="ja-JP"/>
        </w:rPr>
      </w:pPr>
    </w:p>
    <w:p w14:paraId="1CEA6009" w14:textId="77777777" w:rsidR="00C96521" w:rsidRPr="008C00B8" w:rsidRDefault="00C96521" w:rsidP="00C96521">
      <w:pPr>
        <w:widowControl/>
        <w:spacing w:line="276" w:lineRule="auto"/>
        <w:rPr>
          <w:rFonts w:eastAsia="MS Mincho" w:cs="Arial"/>
          <w:szCs w:val="18"/>
          <w:lang w:val="fr-FR" w:eastAsia="ja-JP"/>
        </w:rPr>
      </w:pPr>
      <w:r w:rsidRPr="00C96521">
        <w:rPr>
          <w:rFonts w:eastAsia="MS Mincho" w:cs="Arial"/>
          <w:b/>
          <w:szCs w:val="18"/>
          <w:lang w:val="en-GB" w:eastAsia="ja-JP"/>
        </w:rPr>
        <w:t>ROCHA G and QUILLFELDT P (2015)</w:t>
      </w:r>
      <w:r w:rsidRPr="00C96521">
        <w:rPr>
          <w:rFonts w:eastAsia="MS Mincho" w:cs="Arial"/>
          <w:szCs w:val="18"/>
          <w:lang w:val="en-GB" w:eastAsia="ja-JP"/>
        </w:rPr>
        <w:t xml:space="preserve"> Effect of supplementary food on age ratios of European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L.). </w:t>
      </w:r>
      <w:r w:rsidRPr="008C00B8">
        <w:rPr>
          <w:rFonts w:eastAsia="MS Mincho" w:cs="Arial"/>
          <w:i/>
          <w:szCs w:val="18"/>
          <w:lang w:val="fr-FR" w:eastAsia="ja-JP"/>
        </w:rPr>
        <w:t>Animal Biodiversity and Conservation</w:t>
      </w:r>
      <w:r w:rsidRPr="008C00B8">
        <w:rPr>
          <w:rFonts w:eastAsia="MS Mincho" w:cs="Arial"/>
          <w:szCs w:val="18"/>
          <w:lang w:val="fr-FR" w:eastAsia="ja-JP"/>
        </w:rPr>
        <w:t xml:space="preserve"> 38(1): 11–21.</w:t>
      </w:r>
    </w:p>
    <w:p w14:paraId="66730CE3" w14:textId="77777777" w:rsidR="00C96521" w:rsidRPr="008C00B8" w:rsidRDefault="00C96521" w:rsidP="00C96521">
      <w:pPr>
        <w:widowControl/>
        <w:autoSpaceDE/>
        <w:autoSpaceDN/>
        <w:adjustRightInd/>
        <w:spacing w:line="276" w:lineRule="auto"/>
        <w:rPr>
          <w:rFonts w:eastAsia="MS Mincho" w:cs="Arial"/>
          <w:b/>
          <w:szCs w:val="18"/>
          <w:lang w:val="fr-FR" w:eastAsia="ja-JP"/>
        </w:rPr>
      </w:pPr>
    </w:p>
    <w:p w14:paraId="66C2559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10359">
        <w:rPr>
          <w:rFonts w:eastAsia="MS Mincho" w:cs="Arial"/>
          <w:b/>
          <w:szCs w:val="18"/>
          <w:lang w:val="fr-FR" w:eastAsia="ja-JP"/>
        </w:rPr>
        <w:t>ROUX D, LORMÉE H, ERAUD C and BOUTIN J-M (2011)</w:t>
      </w:r>
      <w:r w:rsidRPr="00810359">
        <w:rPr>
          <w:rFonts w:eastAsia="MS Mincho" w:cs="Arial"/>
          <w:szCs w:val="18"/>
          <w:lang w:val="fr-FR" w:eastAsia="ja-JP"/>
        </w:rPr>
        <w:t xml:space="preserve"> Les populations de colombidés nichant et hivernant en France : tendances d’évolution des espèces les plus communes. </w:t>
      </w:r>
      <w:r w:rsidRPr="00C96521">
        <w:rPr>
          <w:rFonts w:eastAsia="MS Mincho" w:cs="Arial"/>
          <w:szCs w:val="18"/>
          <w:lang w:val="en-GB" w:eastAsia="ja-JP"/>
        </w:rPr>
        <w:t>Faune Sauvage 293: 4.</w:t>
      </w:r>
    </w:p>
    <w:p w14:paraId="4859E4EF"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3BB07A51"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 xml:space="preserve">ROUXEL R (2000) </w:t>
      </w:r>
      <w:r w:rsidRPr="00C96521">
        <w:rPr>
          <w:rFonts w:eastAsia="MS Mincho" w:cs="Arial"/>
          <w:szCs w:val="18"/>
          <w:lang w:val="en-GB" w:eastAsia="ja-JP"/>
        </w:rPr>
        <w:t>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A review of bibliographical data from the eastern Europe. </w:t>
      </w:r>
      <w:r w:rsidRPr="00C96521">
        <w:rPr>
          <w:rFonts w:eastAsia="MS Mincho" w:cs="Arial"/>
          <w:i/>
          <w:szCs w:val="18"/>
          <w:lang w:val="en-GB" w:eastAsia="ja-JP"/>
        </w:rPr>
        <w:t>OMPO Newsletter</w:t>
      </w:r>
      <w:r w:rsidRPr="00C96521">
        <w:rPr>
          <w:rFonts w:eastAsia="MS Mincho" w:cs="Arial"/>
          <w:szCs w:val="18"/>
          <w:lang w:val="en-GB" w:eastAsia="ja-JP"/>
        </w:rPr>
        <w:t xml:space="preserve"> 22: 5-18.</w:t>
      </w:r>
    </w:p>
    <w:p w14:paraId="7C5158ED"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57CD84B1"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RSPB (2016)</w:t>
      </w:r>
      <w:r w:rsidRPr="00C96521">
        <w:rPr>
          <w:rFonts w:eastAsia="MS Mincho" w:cs="Arial"/>
          <w:szCs w:val="18"/>
          <w:lang w:val="en-GB" w:eastAsia="ja-JP"/>
        </w:rPr>
        <w:t xml:space="preserve"> </w:t>
      </w:r>
      <w:r w:rsidRPr="00C96521">
        <w:rPr>
          <w:rFonts w:eastAsia="MS Mincho" w:cs="Arial"/>
          <w:i/>
          <w:szCs w:val="18"/>
          <w:lang w:val="en-GB" w:eastAsia="ja-JP"/>
        </w:rPr>
        <w:t>What we’ve learnt from Titan the satellite tagged turtle-dove</w:t>
      </w:r>
      <w:r w:rsidRPr="00C96521">
        <w:rPr>
          <w:rFonts w:eastAsia="MS Mincho" w:cs="Arial"/>
          <w:szCs w:val="18"/>
          <w:lang w:val="en-GB" w:eastAsia="ja-JP"/>
        </w:rPr>
        <w:t xml:space="preserve">. </w:t>
      </w:r>
      <w:hyperlink r:id="rId59" w:history="1">
        <w:r w:rsidRPr="00C96521">
          <w:rPr>
            <w:rFonts w:eastAsia="MS Mincho" w:cs="Arial"/>
            <w:szCs w:val="18"/>
            <w:lang w:val="en-GB" w:eastAsia="ja-JP"/>
          </w:rPr>
          <w:t>http://www.rspb.org.uk/community/ourwork/b/biodiversity/archive/2016/08/30/what-we-ve-learnt-from-titan-the-satellite-tagged-turtle-dove.aspx</w:t>
        </w:r>
      </w:hyperlink>
      <w:r w:rsidRPr="00C96521">
        <w:rPr>
          <w:rFonts w:eastAsia="MS Mincho" w:cs="Arial"/>
          <w:szCs w:val="18"/>
          <w:lang w:val="en-GB" w:eastAsia="ja-JP"/>
        </w:rPr>
        <w:t xml:space="preserve"> (last accessed 1</w:t>
      </w:r>
      <w:r w:rsidRPr="00C96521">
        <w:rPr>
          <w:rFonts w:eastAsia="MS Mincho" w:cs="Arial"/>
          <w:szCs w:val="18"/>
          <w:vertAlign w:val="superscript"/>
          <w:lang w:val="en-GB" w:eastAsia="ja-JP"/>
        </w:rPr>
        <w:t>st</w:t>
      </w:r>
      <w:r w:rsidRPr="00C96521">
        <w:rPr>
          <w:rFonts w:eastAsia="MS Mincho" w:cs="Arial"/>
          <w:szCs w:val="18"/>
          <w:lang w:val="en-GB" w:eastAsia="ja-JP"/>
        </w:rPr>
        <w:t xml:space="preserve"> September 2016).</w:t>
      </w:r>
    </w:p>
    <w:p w14:paraId="0268593D"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83431F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RUCNER D (1998)</w:t>
      </w:r>
      <w:r w:rsidRPr="00C96521">
        <w:rPr>
          <w:rFonts w:eastAsia="MS Mincho" w:cs="Arial"/>
          <w:szCs w:val="18"/>
          <w:lang w:val="en-GB" w:eastAsia="ja-JP"/>
        </w:rPr>
        <w:t xml:space="preserve"> </w:t>
      </w:r>
      <w:r w:rsidRPr="00C96521">
        <w:rPr>
          <w:rFonts w:eastAsia="MS Mincho" w:cs="Arial"/>
          <w:i/>
          <w:szCs w:val="18"/>
          <w:lang w:val="en-GB" w:eastAsia="ja-JP"/>
        </w:rPr>
        <w:t>Ptice hrvatske obale Jadrana</w:t>
      </w:r>
      <w:r w:rsidRPr="00C96521">
        <w:rPr>
          <w:rFonts w:eastAsia="MS Mincho" w:cs="Arial"/>
          <w:szCs w:val="18"/>
          <w:lang w:val="en-GB" w:eastAsia="ja-JP"/>
        </w:rPr>
        <w:t>. Hrvatski prirodoslovni muzej, Ministarstvo razvitka i obnove, Zagreb.</w:t>
      </w:r>
    </w:p>
    <w:p w14:paraId="056D51B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DE4651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es-ES" w:eastAsia="ja-JP"/>
        </w:rPr>
        <w:t>RUCNER D and RUCNER R (1972)</w:t>
      </w:r>
      <w:r w:rsidRPr="00890F11">
        <w:rPr>
          <w:rFonts w:eastAsia="MS Mincho" w:cs="Arial"/>
          <w:szCs w:val="18"/>
          <w:lang w:val="es-ES" w:eastAsia="ja-JP"/>
        </w:rPr>
        <w:t xml:space="preserve"> Prilog poznavanju napučenosti ptica u biotopima Baranje. </w:t>
      </w:r>
      <w:r w:rsidRPr="00C96521">
        <w:rPr>
          <w:rFonts w:eastAsia="MS Mincho" w:cs="Arial"/>
          <w:i/>
          <w:szCs w:val="18"/>
          <w:lang w:val="en-GB" w:eastAsia="ja-JP"/>
        </w:rPr>
        <w:t>Larus</w:t>
      </w:r>
      <w:r w:rsidRPr="00C96521">
        <w:rPr>
          <w:rFonts w:eastAsia="MS Mincho" w:cs="Arial"/>
          <w:szCs w:val="18"/>
          <w:lang w:val="en-GB" w:eastAsia="ja-JP"/>
        </w:rPr>
        <w:t xml:space="preserve"> 24: 31-64.</w:t>
      </w:r>
    </w:p>
    <w:p w14:paraId="4E07297A"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3CF0C69" w14:textId="77777777" w:rsidR="00C96521" w:rsidRPr="008C00B8" w:rsidRDefault="00C96521" w:rsidP="00C96521">
      <w:pPr>
        <w:widowControl/>
        <w:autoSpaceDE/>
        <w:autoSpaceDN/>
        <w:adjustRightInd/>
        <w:spacing w:line="276" w:lineRule="auto"/>
        <w:rPr>
          <w:rFonts w:eastAsia="MS Mincho" w:cs="Arial"/>
          <w:szCs w:val="18"/>
          <w:lang w:val="de-DE" w:eastAsia="ja-JP"/>
        </w:rPr>
      </w:pPr>
      <w:r w:rsidRPr="00C96521">
        <w:rPr>
          <w:rFonts w:eastAsia="MS Mincho" w:cs="Arial"/>
          <w:b/>
          <w:szCs w:val="18"/>
          <w:lang w:val="en-GB" w:eastAsia="ja-JP"/>
        </w:rPr>
        <w:t xml:space="preserve">SÁENZ DE BURUAGA M, ONRUBIA A, FERNANDEZ-GARCÍA JM, CAMPOS MA, CANALES F and UNAMUNO JM (2012) </w:t>
      </w:r>
      <w:r w:rsidRPr="00C96521">
        <w:rPr>
          <w:rFonts w:eastAsia="MS Mincho" w:cs="Arial"/>
          <w:szCs w:val="18"/>
          <w:lang w:val="en-GB" w:eastAsia="ja-JP"/>
        </w:rPr>
        <w:t xml:space="preserve">Breeding habitat use and conservation status of the turtle-dove </w:t>
      </w:r>
      <w:r w:rsidRPr="00C96521">
        <w:rPr>
          <w:rFonts w:eastAsia="MS Mincho" w:cs="Arial"/>
          <w:i/>
          <w:szCs w:val="18"/>
          <w:lang w:val="en-GB" w:eastAsia="ja-JP"/>
        </w:rPr>
        <w:t>Streptopelia turtur</w:t>
      </w:r>
      <w:r w:rsidRPr="00C96521">
        <w:rPr>
          <w:rFonts w:eastAsia="MS Mincho" w:cs="Arial"/>
          <w:szCs w:val="18"/>
          <w:lang w:val="en-GB" w:eastAsia="ja-JP"/>
        </w:rPr>
        <w:t xml:space="preserve"> in northern Spain. </w:t>
      </w:r>
      <w:r w:rsidRPr="008C00B8">
        <w:rPr>
          <w:rFonts w:eastAsia="MS Mincho" w:cs="Arial"/>
          <w:i/>
          <w:szCs w:val="18"/>
          <w:lang w:val="de-DE" w:eastAsia="ja-JP"/>
        </w:rPr>
        <w:t>Ardeola</w:t>
      </w:r>
      <w:r w:rsidRPr="008C00B8">
        <w:rPr>
          <w:rFonts w:eastAsia="MS Mincho" w:cs="Arial"/>
          <w:szCs w:val="18"/>
          <w:lang w:val="de-DE" w:eastAsia="ja-JP"/>
        </w:rPr>
        <w:t xml:space="preserve"> 59(2): 291-300.</w:t>
      </w:r>
    </w:p>
    <w:p w14:paraId="391BB884" w14:textId="77777777" w:rsidR="00C96521" w:rsidRPr="008C00B8" w:rsidRDefault="00C96521" w:rsidP="00C96521">
      <w:pPr>
        <w:widowControl/>
        <w:autoSpaceDE/>
        <w:autoSpaceDN/>
        <w:adjustRightInd/>
        <w:spacing w:line="276" w:lineRule="auto"/>
        <w:rPr>
          <w:rFonts w:eastAsia="MS Mincho" w:cs="Arial"/>
          <w:b/>
          <w:szCs w:val="18"/>
          <w:lang w:val="de-DE" w:eastAsia="ja-JP"/>
        </w:rPr>
      </w:pPr>
    </w:p>
    <w:p w14:paraId="77826569" w14:textId="77777777" w:rsidR="00C96521" w:rsidRPr="008C00B8" w:rsidRDefault="00C96521" w:rsidP="00C96521">
      <w:pPr>
        <w:widowControl/>
        <w:autoSpaceDE/>
        <w:autoSpaceDN/>
        <w:adjustRightInd/>
        <w:spacing w:line="276" w:lineRule="auto"/>
        <w:rPr>
          <w:rFonts w:eastAsia="MS Mincho" w:cs="Arial"/>
          <w:szCs w:val="18"/>
          <w:lang w:val="de-DE" w:eastAsia="ja-JP"/>
        </w:rPr>
      </w:pPr>
      <w:r w:rsidRPr="008C00B8">
        <w:rPr>
          <w:rFonts w:eastAsia="MS Mincho" w:cs="Arial"/>
          <w:b/>
          <w:szCs w:val="18"/>
          <w:lang w:val="de-DE" w:eastAsia="ja-JP"/>
        </w:rPr>
        <w:t>SCHMID H, LUDER R, NAEF-DAENZER B, GRAF R and ZBINDEN N (1998)</w:t>
      </w:r>
      <w:r w:rsidRPr="008C00B8">
        <w:rPr>
          <w:rFonts w:eastAsia="MS Mincho" w:cs="Arial"/>
          <w:szCs w:val="18"/>
          <w:lang w:val="de-DE" w:eastAsia="ja-JP"/>
        </w:rPr>
        <w:t xml:space="preserve"> </w:t>
      </w:r>
      <w:r w:rsidRPr="008C00B8">
        <w:rPr>
          <w:rFonts w:eastAsia="MS Mincho" w:cs="Arial"/>
          <w:i/>
          <w:szCs w:val="18"/>
          <w:lang w:val="de-DE" w:eastAsia="ja-JP"/>
        </w:rPr>
        <w:t>Schweizer Brutvogelatlas</w:t>
      </w:r>
      <w:r w:rsidRPr="008C00B8">
        <w:rPr>
          <w:rFonts w:eastAsia="MS Mincho" w:cs="Arial"/>
          <w:szCs w:val="18"/>
          <w:lang w:val="de-DE" w:eastAsia="ja-JP"/>
        </w:rPr>
        <w:t>. Schweizerische Vogelwarte, Sempach.</w:t>
      </w:r>
    </w:p>
    <w:p w14:paraId="60795598" w14:textId="77777777" w:rsidR="00C96521" w:rsidRPr="008C00B8" w:rsidRDefault="00C96521" w:rsidP="00C96521">
      <w:pPr>
        <w:widowControl/>
        <w:autoSpaceDE/>
        <w:autoSpaceDN/>
        <w:adjustRightInd/>
        <w:spacing w:line="276" w:lineRule="auto"/>
        <w:rPr>
          <w:rFonts w:eastAsia="MS Mincho" w:cs="Arial"/>
          <w:szCs w:val="18"/>
          <w:lang w:val="de-DE" w:eastAsia="ja-JP"/>
        </w:rPr>
      </w:pPr>
    </w:p>
    <w:p w14:paraId="29D58A27"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C00B8">
        <w:rPr>
          <w:rFonts w:eastAsia="MS Mincho" w:cs="Arial"/>
          <w:b/>
          <w:szCs w:val="18"/>
          <w:lang w:val="de-DE" w:eastAsia="ja-JP"/>
        </w:rPr>
        <w:t>SCHMID H, BURKHARDT M, KELLER V, KNAUS P, VOLET B and ZBINDEN N (2001)</w:t>
      </w:r>
      <w:r w:rsidRPr="008C00B8">
        <w:rPr>
          <w:rFonts w:eastAsia="MS Mincho" w:cs="Arial"/>
          <w:szCs w:val="18"/>
          <w:lang w:val="de-DE" w:eastAsia="ja-JP"/>
        </w:rPr>
        <w:t xml:space="preserve"> </w:t>
      </w:r>
      <w:r w:rsidRPr="008C00B8">
        <w:rPr>
          <w:rFonts w:eastAsia="MS Mincho" w:cs="Arial"/>
          <w:i/>
          <w:szCs w:val="18"/>
          <w:lang w:val="de-DE" w:eastAsia="ja-JP"/>
        </w:rPr>
        <w:t xml:space="preserve">Die Entwicklung der Vogelwelt in der Schweiz. </w:t>
      </w:r>
      <w:r w:rsidRPr="00C96521">
        <w:rPr>
          <w:rFonts w:eastAsia="MS Mincho" w:cs="Arial"/>
          <w:i/>
          <w:szCs w:val="18"/>
          <w:lang w:val="en-GB" w:eastAsia="ja-JP"/>
        </w:rPr>
        <w:t>Avifauna Report Sempach</w:t>
      </w:r>
      <w:r w:rsidRPr="00C96521">
        <w:rPr>
          <w:rFonts w:eastAsia="MS Mincho" w:cs="Arial"/>
          <w:szCs w:val="18"/>
          <w:lang w:val="en-GB" w:eastAsia="ja-JP"/>
        </w:rPr>
        <w:t>. Schweizersische Vogelwarte, Sempach.</w:t>
      </w:r>
    </w:p>
    <w:p w14:paraId="0021BD28" w14:textId="77777777" w:rsidR="00C96521" w:rsidRPr="00C96521" w:rsidRDefault="00C96521" w:rsidP="00C96521">
      <w:pPr>
        <w:widowControl/>
        <w:spacing w:line="276" w:lineRule="auto"/>
        <w:rPr>
          <w:rFonts w:eastAsia="MS Mincho" w:cs="Arial"/>
          <w:b/>
          <w:szCs w:val="18"/>
          <w:lang w:val="en-GB" w:eastAsia="ja-JP"/>
        </w:rPr>
      </w:pPr>
    </w:p>
    <w:p w14:paraId="296269D8"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SCHULZ J, PADDING P and MILLSPAUGH J (2006)</w:t>
      </w:r>
      <w:r w:rsidRPr="00C96521">
        <w:rPr>
          <w:rFonts w:eastAsia="MS Mincho" w:cs="Arial"/>
          <w:szCs w:val="18"/>
          <w:lang w:val="en-GB" w:eastAsia="ja-JP"/>
        </w:rPr>
        <w:t xml:space="preserve"> Will Mourning Dove crippling rates increase with nontoxic-shot regulations? </w:t>
      </w:r>
      <w:r w:rsidRPr="00C96521">
        <w:rPr>
          <w:rFonts w:eastAsia="MS Mincho" w:cs="Arial"/>
          <w:i/>
          <w:szCs w:val="18"/>
          <w:lang w:val="en-GB" w:eastAsia="ja-JP"/>
        </w:rPr>
        <w:t>Wildlife Society Bulletin</w:t>
      </w:r>
      <w:r w:rsidRPr="00C96521">
        <w:rPr>
          <w:rFonts w:eastAsia="MS Mincho" w:cs="Arial"/>
          <w:szCs w:val="18"/>
          <w:lang w:val="en-GB" w:eastAsia="ja-JP"/>
        </w:rPr>
        <w:t xml:space="preserve"> 34(3): 861-865.</w:t>
      </w:r>
    </w:p>
    <w:p w14:paraId="3F8353C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C32702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SEO/BIRDLIFE (2016a)</w:t>
      </w:r>
      <w:r w:rsidRPr="00C96521">
        <w:rPr>
          <w:rFonts w:eastAsia="MS Mincho" w:cs="Arial"/>
          <w:szCs w:val="18"/>
          <w:lang w:val="en-GB" w:eastAsia="ja-JP"/>
        </w:rPr>
        <w:t xml:space="preserve"> </w:t>
      </w:r>
      <w:r w:rsidRPr="00C96521">
        <w:rPr>
          <w:rFonts w:eastAsia="MS Mincho" w:cs="Arial"/>
          <w:i/>
          <w:szCs w:val="18"/>
          <w:lang w:val="en-GB" w:eastAsia="ja-JP"/>
        </w:rPr>
        <w:t xml:space="preserve">Analysis of environmental correlates of Turtle-dove </w:t>
      </w:r>
      <w:r w:rsidRPr="00C96521">
        <w:rPr>
          <w:rFonts w:eastAsia="MS Mincho" w:cs="Arial"/>
          <w:szCs w:val="18"/>
          <w:lang w:val="en-GB" w:eastAsia="ja-JP"/>
        </w:rPr>
        <w:t>Streptopelia turtur</w:t>
      </w:r>
      <w:r w:rsidRPr="00C96521">
        <w:rPr>
          <w:rFonts w:eastAsia="MS Mincho" w:cs="Arial"/>
          <w:i/>
          <w:szCs w:val="18"/>
          <w:lang w:val="en-GB" w:eastAsia="ja-JP"/>
        </w:rPr>
        <w:t xml:space="preserve"> abundance in Spain using data from SACRE</w:t>
      </w:r>
      <w:r w:rsidRPr="00C96521">
        <w:rPr>
          <w:rFonts w:eastAsia="MS Mincho" w:cs="Arial"/>
          <w:szCs w:val="18"/>
          <w:lang w:val="en-GB" w:eastAsia="ja-JP"/>
        </w:rPr>
        <w:t>.</w:t>
      </w:r>
    </w:p>
    <w:p w14:paraId="260681F5"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2B4676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bCs/>
          <w:szCs w:val="18"/>
          <w:lang w:val="es-ES" w:eastAsia="ja-JP"/>
        </w:rPr>
        <w:t>SEO/BIRDLIFE (2016b)</w:t>
      </w:r>
      <w:r w:rsidRPr="00890F11">
        <w:rPr>
          <w:rFonts w:eastAsia="MS Mincho" w:cs="Arial"/>
          <w:szCs w:val="18"/>
          <w:lang w:val="es-ES" w:eastAsia="ja-JP"/>
        </w:rPr>
        <w:t xml:space="preserve"> </w:t>
      </w:r>
      <w:r w:rsidRPr="00890F11">
        <w:rPr>
          <w:rFonts w:eastAsia="MS Mincho" w:cs="Arial"/>
          <w:i/>
          <w:iCs/>
          <w:szCs w:val="18"/>
          <w:lang w:val="es-ES" w:eastAsia="ja-JP"/>
        </w:rPr>
        <w:t>Programas de Seguimiento y grupos de trabajo de SEO/BirdLife 2015</w:t>
      </w:r>
      <w:r w:rsidRPr="00890F11">
        <w:rPr>
          <w:rFonts w:eastAsia="MS Mincho" w:cs="Arial"/>
          <w:szCs w:val="18"/>
          <w:lang w:val="es-ES" w:eastAsia="ja-JP"/>
        </w:rPr>
        <w:t xml:space="preserve">. </w:t>
      </w:r>
      <w:r w:rsidRPr="00C96521">
        <w:rPr>
          <w:rFonts w:eastAsia="MS Mincho" w:cs="Arial"/>
          <w:szCs w:val="18"/>
          <w:lang w:val="en-GB" w:eastAsia="ja-JP"/>
        </w:rPr>
        <w:t>SEO/BirdLife, Madrid.</w:t>
      </w:r>
    </w:p>
    <w:p w14:paraId="3DEF9443"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B17B0D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SHARROCK JTR (1976)</w:t>
      </w:r>
      <w:r w:rsidRPr="00C96521">
        <w:rPr>
          <w:rFonts w:eastAsia="MS Mincho" w:cs="Arial"/>
          <w:bCs/>
          <w:szCs w:val="18"/>
          <w:lang w:val="en-GB" w:eastAsia="ja-JP"/>
        </w:rPr>
        <w:t xml:space="preserve"> </w:t>
      </w:r>
      <w:r w:rsidRPr="00C96521">
        <w:rPr>
          <w:rFonts w:eastAsia="MS Mincho" w:cs="Arial"/>
          <w:i/>
          <w:szCs w:val="18"/>
          <w:lang w:val="en-GB" w:eastAsia="ja-JP"/>
        </w:rPr>
        <w:t>The atlas of breeding birds in Britain and Ireland</w:t>
      </w:r>
      <w:r w:rsidRPr="00C96521">
        <w:rPr>
          <w:rFonts w:eastAsia="MS Mincho" w:cs="Arial"/>
          <w:szCs w:val="18"/>
          <w:lang w:val="en-GB" w:eastAsia="ja-JP"/>
        </w:rPr>
        <w:t>. British Trust for Ornithology, Thetford.</w:t>
      </w:r>
    </w:p>
    <w:p w14:paraId="46E92F62"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7ACB8A4E"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SHEEHAN DK, WOTTON S, DUNN JC and MORRIS TJ (2014)</w:t>
      </w:r>
      <w:r w:rsidRPr="00C96521">
        <w:rPr>
          <w:rFonts w:eastAsia="MS Mincho" w:cs="Arial"/>
          <w:szCs w:val="18"/>
          <w:lang w:val="en-GB" w:eastAsia="ja-JP"/>
        </w:rPr>
        <w:t xml:space="preserve"> Ähnliches Schicksal: Wandertaube damals –</w:t>
      </w:r>
    </w:p>
    <w:p w14:paraId="6D85CC04"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szCs w:val="18"/>
          <w:lang w:val="en-GB" w:eastAsia="ja-JP"/>
        </w:rPr>
        <w:t xml:space="preserve">Turteltaube heute. </w:t>
      </w:r>
      <w:r w:rsidRPr="00C96521">
        <w:rPr>
          <w:rFonts w:eastAsia="MS Mincho" w:cs="Arial"/>
          <w:i/>
          <w:szCs w:val="18"/>
          <w:lang w:val="en-GB" w:eastAsia="ja-JP"/>
        </w:rPr>
        <w:t>Der Falke</w:t>
      </w:r>
      <w:r w:rsidRPr="00C96521">
        <w:rPr>
          <w:rFonts w:eastAsia="MS Mincho" w:cs="Arial"/>
          <w:szCs w:val="18"/>
          <w:lang w:val="en-GB" w:eastAsia="ja-JP"/>
        </w:rPr>
        <w:t xml:space="preserve"> 61(2): 28-31.</w:t>
      </w:r>
    </w:p>
    <w:p w14:paraId="40F0B50E"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D5EC0CF" w14:textId="77777777" w:rsidR="00C96521" w:rsidRPr="00C96521" w:rsidRDefault="00C96521" w:rsidP="00C96521">
      <w:pPr>
        <w:widowControl/>
        <w:spacing w:line="276" w:lineRule="auto"/>
        <w:rPr>
          <w:rFonts w:eastAsia="Calibri" w:cs="Arial"/>
          <w:color w:val="000000"/>
          <w:szCs w:val="18"/>
          <w:lang w:val="en-GB"/>
        </w:rPr>
      </w:pPr>
      <w:r w:rsidRPr="00C96521">
        <w:rPr>
          <w:rFonts w:eastAsia="Calibri" w:cs="Arial"/>
          <w:b/>
          <w:color w:val="000000"/>
          <w:szCs w:val="18"/>
          <w:lang w:val="en-GB"/>
        </w:rPr>
        <w:t>SHIRIHAI H (1996)</w:t>
      </w:r>
      <w:r w:rsidRPr="00C96521">
        <w:rPr>
          <w:rFonts w:eastAsia="Calibri" w:cs="Arial"/>
          <w:color w:val="000000"/>
          <w:szCs w:val="18"/>
          <w:lang w:val="en-GB"/>
        </w:rPr>
        <w:t xml:space="preserve"> </w:t>
      </w:r>
      <w:r w:rsidRPr="00C96521">
        <w:rPr>
          <w:rFonts w:eastAsia="Calibri" w:cs="Arial"/>
          <w:i/>
          <w:iCs/>
          <w:color w:val="000000"/>
          <w:szCs w:val="18"/>
          <w:lang w:val="en-GB"/>
        </w:rPr>
        <w:t>The Birds of Israel</w:t>
      </w:r>
      <w:r w:rsidRPr="00C96521">
        <w:rPr>
          <w:rFonts w:eastAsia="Calibri" w:cs="Arial"/>
          <w:color w:val="000000"/>
          <w:szCs w:val="18"/>
          <w:lang w:val="en-GB"/>
        </w:rPr>
        <w:t>. Academic Press, London.</w:t>
      </w:r>
    </w:p>
    <w:p w14:paraId="6717C686"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1627F04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lastRenderedPageBreak/>
        <w:t>SIKORA A, ROHDE Z, GROMADZKI M, NEUBAUER G and CHYLARECKI P (2007)</w:t>
      </w:r>
      <w:r w:rsidRPr="00C96521">
        <w:rPr>
          <w:rFonts w:eastAsia="MS Mincho" w:cs="Arial"/>
          <w:szCs w:val="18"/>
          <w:lang w:val="en-GB" w:eastAsia="ja-JP"/>
        </w:rPr>
        <w:t xml:space="preserve"> </w:t>
      </w:r>
      <w:r w:rsidRPr="00C96521">
        <w:rPr>
          <w:rFonts w:eastAsia="MS Mincho" w:cs="Arial"/>
          <w:i/>
          <w:szCs w:val="18"/>
          <w:lang w:val="en-GB" w:eastAsia="ja-JP"/>
        </w:rPr>
        <w:t>Atlas rozmieszczenia ptaków lęgowych Polski 1985-2004 – The atlas of breeding birds in Poland 1985-2004</w:t>
      </w:r>
      <w:r w:rsidRPr="00C96521">
        <w:rPr>
          <w:rFonts w:eastAsia="MS Mincho" w:cs="Arial"/>
          <w:szCs w:val="18"/>
          <w:lang w:val="en-GB" w:eastAsia="ja-JP"/>
        </w:rPr>
        <w:t>. Bogucki Wydawnictwo Naukowe, Poznań.</w:t>
      </w:r>
    </w:p>
    <w:p w14:paraId="153A89D9"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01C71570" w14:textId="77777777" w:rsidR="00C96521" w:rsidRPr="00C96521" w:rsidRDefault="00C96521" w:rsidP="00C96521">
      <w:pPr>
        <w:widowControl/>
        <w:spacing w:line="276" w:lineRule="auto"/>
        <w:rPr>
          <w:rFonts w:eastAsia="MS Mincho" w:cs="Arial"/>
          <w:b/>
          <w:szCs w:val="18"/>
          <w:lang w:val="en-GB" w:eastAsia="ja-JP"/>
        </w:rPr>
      </w:pPr>
      <w:r w:rsidRPr="00C96521">
        <w:rPr>
          <w:rFonts w:eastAsia="MS Mincho" w:cs="Arial"/>
          <w:b/>
          <w:szCs w:val="18"/>
          <w:lang w:val="en-GB" w:eastAsia="ja-JP"/>
        </w:rPr>
        <w:t xml:space="preserve">SIRIWARDENA GM, BAILLIE SR, CRICK HQP, WILSON JD and GATES S (2000) </w:t>
      </w:r>
      <w:r w:rsidRPr="00C96521">
        <w:rPr>
          <w:rFonts w:eastAsia="MS Mincho" w:cs="Arial"/>
          <w:szCs w:val="18"/>
          <w:lang w:val="en-GB" w:eastAsia="ja-JP"/>
        </w:rPr>
        <w:t xml:space="preserve">The demography of lowland farmland birds. In: </w:t>
      </w:r>
      <w:r w:rsidRPr="00C96521">
        <w:rPr>
          <w:rFonts w:eastAsia="MS Mincho" w:cs="Arial"/>
          <w:i/>
          <w:szCs w:val="18"/>
          <w:lang w:val="en-GB" w:eastAsia="ja-JP"/>
        </w:rPr>
        <w:t xml:space="preserve">Ecology and Conservation of Lowland Farmland Birds. Procedings of the 1999 BOU Species Conference. </w:t>
      </w:r>
      <w:r w:rsidRPr="00C96521">
        <w:rPr>
          <w:rFonts w:eastAsia="MS Mincho" w:cs="Arial"/>
          <w:szCs w:val="18"/>
          <w:lang w:val="en-GB" w:eastAsia="ja-JP"/>
        </w:rPr>
        <w:t>BTO, Thetford. pp 117-133.</w:t>
      </w:r>
    </w:p>
    <w:p w14:paraId="4D8E27BA" w14:textId="77777777" w:rsidR="00C96521" w:rsidRPr="00C96521" w:rsidRDefault="00C96521" w:rsidP="00C96521">
      <w:pPr>
        <w:widowControl/>
        <w:spacing w:line="276" w:lineRule="auto"/>
        <w:rPr>
          <w:rFonts w:eastAsia="MS Mincho" w:cs="Arial"/>
          <w:b/>
          <w:szCs w:val="18"/>
          <w:lang w:val="en-GB" w:eastAsia="ja-JP"/>
        </w:rPr>
      </w:pPr>
    </w:p>
    <w:p w14:paraId="6196F3B2"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SLABEYOVÁ K, RIDZOÑ J and KROPIL R (2009)</w:t>
      </w:r>
      <w:r w:rsidRPr="00C96521">
        <w:rPr>
          <w:rFonts w:eastAsia="MS Mincho" w:cs="Arial"/>
          <w:szCs w:val="18"/>
          <w:lang w:val="en-GB" w:eastAsia="ja-JP"/>
        </w:rPr>
        <w:t xml:space="preserve"> Trendy početnosti bežných druhov vtákov na Slovensku v rokoch 2005–2009. Trends in common birds abundance in Slovakia during 2005–2009. </w:t>
      </w:r>
      <w:r w:rsidRPr="00C96521">
        <w:rPr>
          <w:rFonts w:eastAsia="MS Mincho" w:cs="Arial"/>
          <w:i/>
          <w:szCs w:val="18"/>
          <w:lang w:val="en-GB" w:eastAsia="ja-JP"/>
        </w:rPr>
        <w:t>Tichodroma</w:t>
      </w:r>
      <w:r w:rsidRPr="00C96521">
        <w:rPr>
          <w:rFonts w:eastAsia="MS Mincho" w:cs="Arial"/>
          <w:szCs w:val="18"/>
          <w:lang w:val="en-GB" w:eastAsia="ja-JP"/>
        </w:rPr>
        <w:t xml:space="preserve"> 21: 1-13.</w:t>
      </w:r>
    </w:p>
    <w:p w14:paraId="770FDE6F"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36D5424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SNOW DW and PERRINS CM (1998)</w:t>
      </w:r>
      <w:r w:rsidRPr="00C96521">
        <w:rPr>
          <w:rFonts w:eastAsia="MS Mincho" w:cs="Arial"/>
          <w:bCs/>
          <w:szCs w:val="18"/>
          <w:lang w:val="en-GB" w:eastAsia="ja-JP"/>
        </w:rPr>
        <w:t xml:space="preserve"> </w:t>
      </w:r>
      <w:r w:rsidRPr="00C96521">
        <w:rPr>
          <w:rFonts w:eastAsia="MS Mincho" w:cs="Arial"/>
          <w:i/>
          <w:szCs w:val="18"/>
          <w:lang w:val="en-GB" w:eastAsia="ja-JP"/>
        </w:rPr>
        <w:t>The Birds of the Western Palearctic. Concise Edition Vol. 1 Non-passerines.</w:t>
      </w:r>
      <w:r w:rsidRPr="00C96521">
        <w:rPr>
          <w:rFonts w:eastAsia="MS Mincho" w:cs="Arial"/>
          <w:szCs w:val="18"/>
          <w:lang w:val="en-GB" w:eastAsia="ja-JP"/>
        </w:rPr>
        <w:t xml:space="preserve"> Oxford University Press, Oxford. pp 856-859.</w:t>
      </w:r>
    </w:p>
    <w:p w14:paraId="2E5D9F73" w14:textId="77777777" w:rsidR="00C96521" w:rsidRPr="00C96521" w:rsidRDefault="00C96521" w:rsidP="00C96521">
      <w:pPr>
        <w:widowControl/>
        <w:spacing w:line="276" w:lineRule="auto"/>
        <w:rPr>
          <w:rFonts w:eastAsia="MS Mincho" w:cs="Arial"/>
          <w:b/>
          <w:szCs w:val="18"/>
          <w:lang w:val="en-GB" w:eastAsia="ja-JP"/>
        </w:rPr>
      </w:pPr>
    </w:p>
    <w:p w14:paraId="58BAD4F2"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bCs/>
          <w:szCs w:val="18"/>
          <w:lang w:val="en-GB" w:eastAsia="ja-JP"/>
        </w:rPr>
        <w:t>SORRENTI M and TRAMONTANA D (2016)</w:t>
      </w:r>
      <w:r w:rsidRPr="00C96521">
        <w:rPr>
          <w:rFonts w:eastAsia="MS Mincho" w:cs="Arial"/>
          <w:b/>
          <w:szCs w:val="18"/>
          <w:lang w:val="en-GB" w:eastAsia="ja-JP"/>
        </w:rPr>
        <w:t xml:space="preserve"> </w:t>
      </w:r>
      <w:r w:rsidRPr="00C96521">
        <w:rPr>
          <w:rFonts w:eastAsia="MS Mincho" w:cs="Arial"/>
          <w:i/>
          <w:szCs w:val="18"/>
          <w:lang w:val="en-GB" w:eastAsia="ja-JP"/>
        </w:rPr>
        <w:t xml:space="preserve">Estimate of turtle-dove </w:t>
      </w:r>
      <w:r w:rsidRPr="00C96521">
        <w:rPr>
          <w:rFonts w:eastAsia="MS Mincho" w:cs="Arial"/>
          <w:szCs w:val="18"/>
          <w:lang w:val="en-GB" w:eastAsia="ja-JP"/>
        </w:rPr>
        <w:t>Streptopelia turtur</w:t>
      </w:r>
      <w:r w:rsidRPr="00C96521">
        <w:rPr>
          <w:rFonts w:eastAsia="MS Mincho" w:cs="Arial"/>
          <w:i/>
          <w:szCs w:val="18"/>
          <w:lang w:val="en-GB" w:eastAsia="ja-JP"/>
        </w:rPr>
        <w:t xml:space="preserve"> harvest in Italy</w:t>
      </w:r>
      <w:r w:rsidRPr="00C96521">
        <w:rPr>
          <w:rFonts w:eastAsia="MS Mincho" w:cs="Arial"/>
          <w:szCs w:val="18"/>
          <w:lang w:val="en-GB" w:eastAsia="ja-JP"/>
        </w:rPr>
        <w:t>. Federazione Italiana della Caccia – Ufficio Avifauna Migratoria.</w:t>
      </w:r>
    </w:p>
    <w:p w14:paraId="12881D69" w14:textId="77777777" w:rsidR="00C96521" w:rsidRPr="00C96521" w:rsidRDefault="00C96521" w:rsidP="00C96521">
      <w:pPr>
        <w:widowControl/>
        <w:spacing w:line="276" w:lineRule="auto"/>
        <w:rPr>
          <w:rFonts w:eastAsia="MS Mincho" w:cs="Arial"/>
          <w:szCs w:val="18"/>
          <w:lang w:val="en-GB" w:eastAsia="ja-JP"/>
        </w:rPr>
      </w:pPr>
    </w:p>
    <w:p w14:paraId="0ADD024A" w14:textId="77777777" w:rsidR="00C96521" w:rsidRPr="00C96521" w:rsidRDefault="00C96521" w:rsidP="00C96521">
      <w:pPr>
        <w:widowControl/>
        <w:autoSpaceDE/>
        <w:autoSpaceDN/>
        <w:adjustRightInd/>
        <w:spacing w:line="276" w:lineRule="auto"/>
        <w:rPr>
          <w:rFonts w:eastAsia="MS Mincho" w:cs="Arial"/>
          <w:b/>
          <w:szCs w:val="18"/>
          <w:lang w:val="en-GB" w:eastAsia="ja-JP"/>
        </w:rPr>
      </w:pPr>
      <w:r w:rsidRPr="00C96521">
        <w:rPr>
          <w:rFonts w:eastAsia="MS Mincho" w:cs="Arial"/>
          <w:b/>
          <w:szCs w:val="18"/>
          <w:lang w:val="en-GB" w:eastAsia="ja-JP"/>
        </w:rPr>
        <w:t>SOTNIKOV VN (2002)</w:t>
      </w:r>
      <w:r w:rsidRPr="00C96521">
        <w:rPr>
          <w:rFonts w:eastAsia="MS Mincho" w:cs="Arial"/>
          <w:i/>
          <w:szCs w:val="18"/>
          <w:lang w:val="en-GB" w:eastAsia="ja-JP"/>
        </w:rPr>
        <w:t xml:space="preserve"> Birds of Kirov Region and adjacent territories. Non-passeriformes. Vol. 2 (2).</w:t>
      </w:r>
      <w:r w:rsidRPr="00C96521">
        <w:rPr>
          <w:rFonts w:eastAsia="MS Mincho" w:cs="Arial"/>
          <w:szCs w:val="18"/>
          <w:lang w:val="en-GB" w:eastAsia="ja-JP"/>
        </w:rPr>
        <w:t xml:space="preserve"> Triada-S, Kirov. [in Russian]</w:t>
      </w:r>
    </w:p>
    <w:p w14:paraId="5BAD8CC0"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BFD809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SOVON (2002)</w:t>
      </w:r>
      <w:r w:rsidRPr="00C96521">
        <w:rPr>
          <w:rFonts w:eastAsia="MS Mincho" w:cs="Arial"/>
          <w:szCs w:val="18"/>
          <w:lang w:val="en-GB" w:eastAsia="ja-JP"/>
        </w:rPr>
        <w:t xml:space="preserve"> </w:t>
      </w:r>
      <w:r w:rsidRPr="00C96521">
        <w:rPr>
          <w:rFonts w:eastAsia="MS Mincho" w:cs="Arial"/>
          <w:i/>
          <w:szCs w:val="18"/>
          <w:lang w:val="en-GB" w:eastAsia="ja-JP"/>
        </w:rPr>
        <w:t>Atlas van de Nederlandse broedvogels 1998-2000</w:t>
      </w:r>
      <w:r w:rsidRPr="00C96521">
        <w:rPr>
          <w:rFonts w:eastAsia="MS Mincho" w:cs="Arial"/>
          <w:szCs w:val="18"/>
          <w:lang w:val="en-GB" w:eastAsia="ja-JP"/>
        </w:rPr>
        <w:t>. Verspreiding, aantallen, verandering (Nederlandse Fauna 5). Nationaal Natuurhistorisch Museum Naturalis, KNNV Uitgeverij and EIS-Nederland, Leiden.</w:t>
      </w:r>
    </w:p>
    <w:p w14:paraId="373BB8DD" w14:textId="77777777" w:rsidR="00C96521" w:rsidRPr="00C96521" w:rsidRDefault="00C96521" w:rsidP="00C96521">
      <w:pPr>
        <w:widowControl/>
        <w:spacing w:line="276" w:lineRule="auto"/>
        <w:rPr>
          <w:rFonts w:eastAsia="MS Mincho" w:cs="Arial"/>
          <w:b/>
          <w:szCs w:val="18"/>
          <w:lang w:val="en-GB" w:eastAsia="ja-JP"/>
        </w:rPr>
      </w:pPr>
    </w:p>
    <w:p w14:paraId="092FC81C" w14:textId="77777777" w:rsidR="00C96521" w:rsidRPr="00890F11" w:rsidRDefault="00C96521" w:rsidP="00C96521">
      <w:pPr>
        <w:widowControl/>
        <w:spacing w:line="276" w:lineRule="auto"/>
        <w:rPr>
          <w:rFonts w:eastAsia="MS Mincho" w:cs="Arial"/>
          <w:szCs w:val="18"/>
          <w:lang w:val="es-ES" w:eastAsia="ja-JP"/>
        </w:rPr>
      </w:pPr>
      <w:r w:rsidRPr="00C96521">
        <w:rPr>
          <w:rFonts w:eastAsia="MS Mincho" w:cs="Arial"/>
          <w:b/>
          <w:szCs w:val="18"/>
          <w:lang w:val="en-GB" w:eastAsia="ja-JP"/>
        </w:rPr>
        <w:t>SPINA F and VOLPONI S (2008)</w:t>
      </w:r>
      <w:r w:rsidRPr="00C96521">
        <w:rPr>
          <w:rFonts w:eastAsia="MS Mincho" w:cs="Arial"/>
          <w:szCs w:val="18"/>
          <w:lang w:val="en-GB" w:eastAsia="ja-JP"/>
        </w:rPr>
        <w:t xml:space="preserve"> La tortola selvatica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8C00B8">
        <w:rPr>
          <w:rFonts w:eastAsia="MS Mincho" w:cs="Arial"/>
          <w:szCs w:val="18"/>
          <w:lang w:val="fr-FR" w:eastAsia="ja-JP"/>
        </w:rPr>
        <w:t xml:space="preserve">In: </w:t>
      </w:r>
      <w:r w:rsidRPr="008C00B8">
        <w:rPr>
          <w:rFonts w:eastAsia="MS Mincho" w:cs="Arial"/>
          <w:i/>
          <w:szCs w:val="18"/>
          <w:lang w:val="fr-FR" w:eastAsia="ja-JP"/>
        </w:rPr>
        <w:t>Atlante della migrazione degli Uccelli in Italia. 1. Non-Passeriformi</w:t>
      </w:r>
      <w:r w:rsidRPr="008C00B8">
        <w:rPr>
          <w:rFonts w:eastAsia="MS Mincho" w:cs="Arial"/>
          <w:szCs w:val="18"/>
          <w:lang w:val="fr-FR" w:eastAsia="ja-JP"/>
        </w:rPr>
        <w:t xml:space="preserve">. </w:t>
      </w:r>
      <w:r w:rsidRPr="00890F11">
        <w:rPr>
          <w:rFonts w:eastAsia="MS Mincho" w:cs="Arial"/>
          <w:szCs w:val="18"/>
          <w:lang w:val="es-ES" w:eastAsia="ja-JP"/>
        </w:rPr>
        <w:t>Ministero dell’Ambiente e della Tutela del Territorio e del Mare, Istituto Superiore per la Protezione e la Ricera Ambientale (ISPRA), Tipografia SCR, Roma.</w:t>
      </w:r>
    </w:p>
    <w:p w14:paraId="091C9B23" w14:textId="77777777" w:rsidR="00C96521" w:rsidRPr="00890F11" w:rsidRDefault="00C96521" w:rsidP="00C96521">
      <w:pPr>
        <w:widowControl/>
        <w:spacing w:line="276" w:lineRule="auto"/>
        <w:rPr>
          <w:rFonts w:eastAsia="MS Mincho" w:cs="Arial"/>
          <w:b/>
          <w:szCs w:val="18"/>
          <w:lang w:val="es-ES" w:eastAsia="ja-JP"/>
        </w:rPr>
      </w:pPr>
    </w:p>
    <w:p w14:paraId="297853B3" w14:textId="77777777" w:rsidR="00C96521" w:rsidRPr="00890F11" w:rsidRDefault="00C96521" w:rsidP="00C96521">
      <w:pPr>
        <w:widowControl/>
        <w:spacing w:line="276" w:lineRule="auto"/>
        <w:rPr>
          <w:rFonts w:eastAsia="MS Mincho" w:cs="Arial"/>
          <w:szCs w:val="18"/>
          <w:lang w:val="es-ES" w:eastAsia="ja-JP"/>
        </w:rPr>
      </w:pPr>
      <w:r w:rsidRPr="00890F11">
        <w:rPr>
          <w:rFonts w:eastAsia="MS Mincho" w:cs="Arial"/>
          <w:b/>
          <w:szCs w:val="18"/>
          <w:lang w:val="es-ES" w:eastAsia="ja-JP"/>
        </w:rPr>
        <w:t>ŠTASTNÝ K, BEJČEK V and HUDEC K (1997)</w:t>
      </w:r>
      <w:r w:rsidRPr="00890F11">
        <w:rPr>
          <w:rFonts w:eastAsia="MS Mincho" w:cs="Arial"/>
          <w:szCs w:val="18"/>
          <w:lang w:val="es-ES" w:eastAsia="ja-JP"/>
        </w:rPr>
        <w:t xml:space="preserve"> </w:t>
      </w:r>
      <w:r w:rsidRPr="00890F11">
        <w:rPr>
          <w:rFonts w:eastAsia="MS Mincho" w:cs="Arial"/>
          <w:i/>
          <w:szCs w:val="18"/>
          <w:lang w:val="es-ES" w:eastAsia="ja-JP"/>
        </w:rPr>
        <w:t>Atlas hnízdního rozšíření ptáků v České republice 1985-1989</w:t>
      </w:r>
      <w:r w:rsidRPr="00890F11">
        <w:rPr>
          <w:rFonts w:eastAsia="MS Mincho" w:cs="Arial"/>
          <w:szCs w:val="18"/>
          <w:lang w:val="es-ES" w:eastAsia="ja-JP"/>
        </w:rPr>
        <w:t>. Nakladatelství a vydavatelství, Prague.</w:t>
      </w:r>
    </w:p>
    <w:p w14:paraId="082FC688" w14:textId="77777777" w:rsidR="00C96521" w:rsidRPr="00890F11" w:rsidRDefault="00C96521" w:rsidP="00C96521">
      <w:pPr>
        <w:widowControl/>
        <w:autoSpaceDE/>
        <w:autoSpaceDN/>
        <w:adjustRightInd/>
        <w:spacing w:line="276" w:lineRule="auto"/>
        <w:rPr>
          <w:rFonts w:eastAsia="MS Mincho" w:cs="Arial"/>
          <w:b/>
          <w:szCs w:val="18"/>
          <w:lang w:val="es-ES" w:eastAsia="ja-JP"/>
        </w:rPr>
      </w:pPr>
    </w:p>
    <w:p w14:paraId="2BE01458"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es-ES" w:eastAsia="ja-JP"/>
        </w:rPr>
        <w:t>ŠTASTNÝ K, BEJČEK V and HUDEC K (2006)</w:t>
      </w:r>
      <w:r w:rsidRPr="00890F11">
        <w:rPr>
          <w:rFonts w:eastAsia="MS Mincho" w:cs="Arial"/>
          <w:szCs w:val="18"/>
          <w:lang w:val="es-ES" w:eastAsia="ja-JP"/>
        </w:rPr>
        <w:t xml:space="preserve"> </w:t>
      </w:r>
      <w:r w:rsidRPr="00890F11">
        <w:rPr>
          <w:rFonts w:eastAsia="MS Mincho" w:cs="Arial"/>
          <w:i/>
          <w:szCs w:val="18"/>
          <w:lang w:val="es-ES" w:eastAsia="ja-JP"/>
        </w:rPr>
        <w:t>Atlas hnízdního rozšíření ptáků v České republice 2001-2003</w:t>
      </w:r>
      <w:r w:rsidRPr="00890F11">
        <w:rPr>
          <w:rFonts w:eastAsia="MS Mincho" w:cs="Arial"/>
          <w:szCs w:val="18"/>
          <w:lang w:val="es-ES" w:eastAsia="ja-JP"/>
        </w:rPr>
        <w:t xml:space="preserve">. </w:t>
      </w:r>
      <w:r w:rsidRPr="00C96521">
        <w:rPr>
          <w:rFonts w:eastAsia="MS Mincho" w:cs="Arial"/>
          <w:szCs w:val="18"/>
          <w:lang w:val="en-GB" w:eastAsia="ja-JP"/>
        </w:rPr>
        <w:t>Aventinum, Prague.</w:t>
      </w:r>
    </w:p>
    <w:p w14:paraId="4E792BA4" w14:textId="77777777" w:rsidR="00C96521" w:rsidRPr="00C96521" w:rsidRDefault="00C96521" w:rsidP="00C96521">
      <w:pPr>
        <w:widowControl/>
        <w:spacing w:line="276" w:lineRule="auto"/>
        <w:rPr>
          <w:rFonts w:eastAsia="MS Mincho" w:cs="Arial"/>
          <w:szCs w:val="18"/>
          <w:lang w:val="en-GB" w:eastAsia="ja-JP"/>
        </w:rPr>
      </w:pPr>
    </w:p>
    <w:p w14:paraId="198C0AD9"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 xml:space="preserve">STOCKDALE JE, DUNN JE, GOODMAN SJ, MORRIS AJ, SHEEHAN DK, GRICE PV and HAMER KC (2015) </w:t>
      </w:r>
      <w:r w:rsidRPr="00C96521">
        <w:rPr>
          <w:rFonts w:eastAsia="MS Mincho" w:cs="Arial"/>
          <w:szCs w:val="18"/>
          <w:lang w:val="en-GB" w:eastAsia="ja-JP"/>
        </w:rPr>
        <w:t xml:space="preserve">The protozoan parasite </w:t>
      </w:r>
      <w:r w:rsidRPr="00C96521">
        <w:rPr>
          <w:rFonts w:eastAsia="MS Mincho" w:cs="Arial"/>
          <w:i/>
          <w:szCs w:val="18"/>
          <w:lang w:val="en-GB" w:eastAsia="ja-JP"/>
        </w:rPr>
        <w:t>Trichomonas gallinae</w:t>
      </w:r>
      <w:r w:rsidRPr="00C96521">
        <w:rPr>
          <w:rFonts w:eastAsia="MS Mincho" w:cs="Arial"/>
          <w:szCs w:val="18"/>
          <w:lang w:val="en-GB" w:eastAsia="ja-JP"/>
        </w:rPr>
        <w:t xml:space="preserve"> causes adult and nestling mortality in a declining population of European Turtle-doves, </w:t>
      </w:r>
      <w:r w:rsidRPr="00C96521">
        <w:rPr>
          <w:rFonts w:eastAsia="MS Mincho" w:cs="Arial"/>
          <w:i/>
          <w:szCs w:val="18"/>
          <w:lang w:val="en-GB" w:eastAsia="ja-JP"/>
        </w:rPr>
        <w:t>Streptopelia turtur</w:t>
      </w:r>
      <w:r w:rsidRPr="00C96521">
        <w:rPr>
          <w:rFonts w:eastAsia="MS Mincho" w:cs="Arial"/>
          <w:szCs w:val="18"/>
          <w:lang w:val="en-GB" w:eastAsia="ja-JP"/>
        </w:rPr>
        <w:t xml:space="preserve">. </w:t>
      </w:r>
      <w:r w:rsidRPr="00C96521">
        <w:rPr>
          <w:rFonts w:eastAsia="MS Mincho" w:cs="Arial"/>
          <w:i/>
          <w:szCs w:val="18"/>
          <w:lang w:val="en-GB" w:eastAsia="ja-JP"/>
        </w:rPr>
        <w:t>Parasitology</w:t>
      </w:r>
      <w:r w:rsidRPr="00C96521">
        <w:rPr>
          <w:rFonts w:eastAsia="MS Mincho" w:cs="Arial"/>
          <w:szCs w:val="18"/>
          <w:lang w:val="en-GB" w:eastAsia="ja-JP"/>
        </w:rPr>
        <w:t xml:space="preserve"> 142(3): 490-498.</w:t>
      </w:r>
    </w:p>
    <w:p w14:paraId="2C88D943"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19039C2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SULTANA J, BORG JJ, GAUCI C and FALZO V (2011)</w:t>
      </w:r>
      <w:r w:rsidRPr="00C96521">
        <w:rPr>
          <w:rFonts w:eastAsia="MS Mincho" w:cs="Arial"/>
          <w:szCs w:val="18"/>
          <w:lang w:val="en-GB" w:eastAsia="ja-JP"/>
        </w:rPr>
        <w:t xml:space="preserve"> </w:t>
      </w:r>
      <w:r w:rsidRPr="00C96521">
        <w:rPr>
          <w:rFonts w:eastAsia="MS Mincho" w:cs="Arial"/>
          <w:i/>
          <w:szCs w:val="18"/>
          <w:lang w:val="en-GB" w:eastAsia="ja-JP"/>
        </w:rPr>
        <w:t>The Breeding Birds of Malta</w:t>
      </w:r>
      <w:r w:rsidRPr="00C96521">
        <w:rPr>
          <w:rFonts w:eastAsia="MS Mincho" w:cs="Arial"/>
          <w:szCs w:val="18"/>
          <w:lang w:val="en-GB" w:eastAsia="ja-JP"/>
        </w:rPr>
        <w:t xml:space="preserve">. BirdLife Malta, </w:t>
      </w:r>
      <w:r w:rsidRPr="00C96521">
        <w:rPr>
          <w:rFonts w:eastAsia="MS Mincho" w:cs="Arial"/>
          <w:bCs/>
          <w:szCs w:val="18"/>
          <w:lang w:val="en-GB" w:eastAsia="ja-JP"/>
        </w:rPr>
        <w:t>Ta’ Xbiex.</w:t>
      </w:r>
    </w:p>
    <w:p w14:paraId="3A8B7D6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457D44F"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SZÉP T, NAGY K, NAGY ZS and HALMOS G (2012)</w:t>
      </w:r>
      <w:r w:rsidRPr="00C96521">
        <w:rPr>
          <w:rFonts w:eastAsia="MS Mincho" w:cs="Arial"/>
          <w:szCs w:val="18"/>
          <w:lang w:val="en-GB" w:eastAsia="ja-JP"/>
        </w:rPr>
        <w:t xml:space="preserve"> Population trends of common breeding and wintering birds in Hungary, decline of long-distance migrant and farmland birds during 1999-2012. </w:t>
      </w:r>
      <w:r w:rsidRPr="00C96521">
        <w:rPr>
          <w:rFonts w:eastAsia="MS Mincho" w:cs="Arial"/>
          <w:i/>
          <w:szCs w:val="18"/>
          <w:lang w:val="en-GB" w:eastAsia="ja-JP"/>
        </w:rPr>
        <w:t>Ornis Hungarica</w:t>
      </w:r>
      <w:r w:rsidRPr="00C96521">
        <w:rPr>
          <w:rFonts w:eastAsia="MS Mincho" w:cs="Arial"/>
          <w:szCs w:val="18"/>
          <w:lang w:val="en-GB" w:eastAsia="ja-JP"/>
        </w:rPr>
        <w:t xml:space="preserve"> 20(2): 13-63.</w:t>
      </w:r>
    </w:p>
    <w:p w14:paraId="08788B08"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137A6B74" w14:textId="4C8AE29D"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TEUFELBAUER N and FRÜHAUF J (2016)</w:t>
      </w:r>
      <w:r w:rsidRPr="00C96521">
        <w:rPr>
          <w:rFonts w:eastAsia="MS Mincho" w:cs="Arial"/>
          <w:szCs w:val="18"/>
          <w:lang w:val="en-GB" w:eastAsia="ja-JP"/>
        </w:rPr>
        <w:t xml:space="preserve"> Developing a </w:t>
      </w:r>
      <w:r w:rsidR="00526B63">
        <w:rPr>
          <w:rFonts w:eastAsia="MS Mincho" w:cs="Arial"/>
          <w:szCs w:val="18"/>
          <w:lang w:val="en-GB" w:eastAsia="ja-JP"/>
        </w:rPr>
        <w:t>N</w:t>
      </w:r>
      <w:r w:rsidRPr="00C96521">
        <w:rPr>
          <w:rFonts w:eastAsia="MS Mincho" w:cs="Arial"/>
          <w:szCs w:val="18"/>
          <w:lang w:val="en-GB" w:eastAsia="ja-JP"/>
        </w:rPr>
        <w:t xml:space="preserve">ational Farmland Bird Index for Austria, </w:t>
      </w:r>
      <w:r w:rsidRPr="00C96521">
        <w:rPr>
          <w:rFonts w:eastAsia="MS Mincho" w:cs="Arial"/>
          <w:i/>
          <w:szCs w:val="18"/>
          <w:lang w:val="en-GB" w:eastAsia="ja-JP"/>
        </w:rPr>
        <w:t>Bird Census News</w:t>
      </w:r>
      <w:r w:rsidRPr="00C96521">
        <w:rPr>
          <w:rFonts w:eastAsia="MS Mincho" w:cs="Arial"/>
          <w:szCs w:val="18"/>
          <w:lang w:val="en-GB" w:eastAsia="ja-JP"/>
        </w:rPr>
        <w:t xml:space="preserve"> 23(1-2): 87-97.</w:t>
      </w:r>
    </w:p>
    <w:p w14:paraId="5A7907CC"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02D01F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965D7D">
        <w:rPr>
          <w:rFonts w:eastAsia="MS Mincho" w:cs="Arial"/>
          <w:b/>
          <w:szCs w:val="18"/>
          <w:lang w:val="de-DE" w:eastAsia="ja-JP"/>
        </w:rPr>
        <w:t>TEUFELBAUER N and SEAMAN B (2016)</w:t>
      </w:r>
      <w:r w:rsidRPr="00965D7D">
        <w:rPr>
          <w:rFonts w:eastAsia="MS Mincho" w:cs="Arial"/>
          <w:szCs w:val="18"/>
          <w:lang w:val="de-DE" w:eastAsia="ja-JP"/>
        </w:rPr>
        <w:t xml:space="preserve"> </w:t>
      </w:r>
      <w:r w:rsidRPr="00965D7D">
        <w:rPr>
          <w:rFonts w:eastAsia="MS Mincho" w:cs="Arial"/>
          <w:i/>
          <w:szCs w:val="18"/>
          <w:lang w:val="de-DE" w:eastAsia="ja-JP"/>
        </w:rPr>
        <w:t>Monitoring der Brutvögel Österreichs Bericht über die Saison 2015</w:t>
      </w:r>
      <w:r w:rsidRPr="00965D7D">
        <w:rPr>
          <w:rFonts w:eastAsia="MS Mincho" w:cs="Arial"/>
          <w:szCs w:val="18"/>
          <w:lang w:val="de-DE" w:eastAsia="ja-JP"/>
        </w:rPr>
        <w:t xml:space="preserve">. </w:t>
      </w:r>
      <w:r w:rsidRPr="00C96521">
        <w:rPr>
          <w:rFonts w:eastAsia="MS Mincho" w:cs="Arial"/>
          <w:szCs w:val="18"/>
          <w:lang w:val="en-GB" w:eastAsia="ja-JP"/>
        </w:rPr>
        <w:t>BirdLife Österreich, Vienna.</w:t>
      </w:r>
    </w:p>
    <w:p w14:paraId="09B126F1" w14:textId="77777777" w:rsidR="00C96521" w:rsidRPr="00C96521" w:rsidRDefault="00C96521" w:rsidP="00C96521">
      <w:pPr>
        <w:widowControl/>
        <w:autoSpaceDE/>
        <w:autoSpaceDN/>
        <w:adjustRightInd/>
        <w:spacing w:line="276" w:lineRule="auto"/>
        <w:rPr>
          <w:rFonts w:eastAsia="MS Mincho" w:cs="Arial"/>
          <w:b/>
          <w:bCs/>
          <w:szCs w:val="18"/>
          <w:lang w:val="en-GB" w:eastAsia="ja-JP"/>
        </w:rPr>
      </w:pPr>
    </w:p>
    <w:p w14:paraId="6C2FA6AB" w14:textId="5D8E42F4"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TRAFFIC (2008) </w:t>
      </w:r>
      <w:r w:rsidRPr="00C96521">
        <w:rPr>
          <w:rFonts w:eastAsia="MS Mincho" w:cs="Arial"/>
          <w:i/>
          <w:szCs w:val="18"/>
          <w:lang w:val="en-GB" w:eastAsia="ja-JP"/>
        </w:rPr>
        <w:t xml:space="preserve">The illegal trade in wild birds for food through South-east and Central Europe. </w:t>
      </w:r>
      <w:hyperlink r:id="rId60" w:history="1">
        <w:r w:rsidRPr="00C96521">
          <w:rPr>
            <w:rFonts w:eastAsia="MS Mincho" w:cs="Arial"/>
            <w:szCs w:val="18"/>
            <w:lang w:val="en-GB" w:eastAsia="ja-JP"/>
          </w:rPr>
          <w:t>http://www.trafficj.org/publication/08_Illigal_trade_in_wild_birds.pdf</w:t>
        </w:r>
      </w:hyperlink>
      <w:r w:rsidRPr="00C96521">
        <w:rPr>
          <w:rFonts w:eastAsia="MS Mincho" w:cs="Arial"/>
          <w:szCs w:val="18"/>
          <w:lang w:val="en-GB" w:eastAsia="ja-JP"/>
        </w:rPr>
        <w:t xml:space="preserve"> (last accessed 25 November 2016)</w:t>
      </w:r>
    </w:p>
    <w:p w14:paraId="7B19D405"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8E7C538" w14:textId="2272530A" w:rsidR="00C96521" w:rsidRPr="00C96521" w:rsidRDefault="00C96521" w:rsidP="00C96521">
      <w:pPr>
        <w:widowControl/>
        <w:autoSpaceDE/>
        <w:autoSpaceDN/>
        <w:adjustRightInd/>
        <w:spacing w:line="276" w:lineRule="auto"/>
        <w:rPr>
          <w:rFonts w:eastAsia="MS Mincho" w:cs="Arial"/>
          <w:i/>
          <w:szCs w:val="18"/>
          <w:lang w:val="en-GB" w:eastAsia="ja-JP"/>
        </w:rPr>
      </w:pPr>
      <w:r w:rsidRPr="00C96521">
        <w:rPr>
          <w:rFonts w:eastAsia="MS Mincho" w:cs="Arial"/>
          <w:b/>
          <w:szCs w:val="18"/>
          <w:lang w:val="en-GB" w:eastAsia="ja-JP"/>
        </w:rPr>
        <w:t xml:space="preserve">TRAVEL IN MOLDOVA (undated) </w:t>
      </w:r>
      <w:r w:rsidRPr="00C96521">
        <w:rPr>
          <w:rFonts w:eastAsia="MS Mincho" w:cs="Arial"/>
          <w:szCs w:val="18"/>
          <w:lang w:val="en-GB" w:eastAsia="ja-JP"/>
        </w:rPr>
        <w:t xml:space="preserve">Hunting tourism in Moldova. </w:t>
      </w:r>
      <w:r w:rsidRPr="00C96521">
        <w:rPr>
          <w:rFonts w:eastAsia="MS Mincho"/>
          <w:szCs w:val="18"/>
          <w:lang w:val="en-GB" w:eastAsia="ja-JP"/>
        </w:rPr>
        <w:t>http://www.travelinmoldova.com/index.php?page=hunting</w:t>
      </w:r>
      <w:r w:rsidRPr="00C96521">
        <w:rPr>
          <w:rFonts w:eastAsia="MS Mincho" w:cs="Arial"/>
          <w:szCs w:val="18"/>
          <w:lang w:val="en-GB" w:eastAsia="ja-JP"/>
        </w:rPr>
        <w:t xml:space="preserve"> (last accessed 25 November 2016)</w:t>
      </w:r>
    </w:p>
    <w:p w14:paraId="5E85C37E" w14:textId="77777777" w:rsidR="00C96521" w:rsidRPr="00C96521" w:rsidRDefault="00C96521" w:rsidP="00C96521">
      <w:pPr>
        <w:widowControl/>
        <w:autoSpaceDE/>
        <w:autoSpaceDN/>
        <w:adjustRightInd/>
        <w:spacing w:line="276" w:lineRule="auto"/>
        <w:rPr>
          <w:rFonts w:eastAsia="MS Mincho" w:cs="Arial"/>
          <w:i/>
          <w:szCs w:val="18"/>
          <w:lang w:val="en-GB" w:eastAsia="ja-JP"/>
        </w:rPr>
      </w:pPr>
    </w:p>
    <w:p w14:paraId="4CA9A3EC"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bCs/>
          <w:szCs w:val="18"/>
          <w:lang w:val="en-GB" w:eastAsia="ja-JP"/>
        </w:rPr>
        <w:t>TUCKER GM (1996)</w:t>
      </w:r>
      <w:r w:rsidRPr="00C96521">
        <w:rPr>
          <w:rFonts w:eastAsia="MS Mincho" w:cs="Arial"/>
          <w:bCs/>
          <w:szCs w:val="18"/>
          <w:lang w:val="en-GB" w:eastAsia="ja-JP"/>
        </w:rPr>
        <w:t xml:space="preserve"> </w:t>
      </w:r>
      <w:r w:rsidRPr="00C96521">
        <w:rPr>
          <w:rFonts w:eastAsia="MS Mincho" w:cs="Arial"/>
          <w:i/>
          <w:szCs w:val="18"/>
          <w:lang w:val="en-GB" w:eastAsia="ja-JP"/>
        </w:rPr>
        <w:t>Investigation on the conservation measures taken by member states for bird species of annex II of the council directive 79/409/EEC which have an unfavourable conservation status</w:t>
      </w:r>
      <w:r w:rsidRPr="00C96521">
        <w:rPr>
          <w:rFonts w:eastAsia="MS Mincho" w:cs="Arial"/>
          <w:szCs w:val="18"/>
          <w:lang w:val="en-GB" w:eastAsia="ja-JP"/>
        </w:rPr>
        <w:t xml:space="preserve">. Ecoscope Applied Ecologists, Final report for European Commission DG XI. pp 170-175. </w:t>
      </w:r>
    </w:p>
    <w:p w14:paraId="230264D6"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2DE31FE3"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TUTIŠ V, KRALJ J, RADOVIĆ D, ĆIKOVIĆ D and BARIŠIĆ S (2013) </w:t>
      </w:r>
      <w:r w:rsidRPr="00C96521">
        <w:rPr>
          <w:rFonts w:eastAsia="MS Mincho" w:cs="Arial"/>
          <w:i/>
          <w:szCs w:val="18"/>
          <w:lang w:val="en-GB" w:eastAsia="ja-JP"/>
        </w:rPr>
        <w:t xml:space="preserve">Crvena knjiga ugroženih ptica Hrvatsk. </w:t>
      </w:r>
      <w:r w:rsidRPr="00C96521">
        <w:rPr>
          <w:rFonts w:eastAsia="MS Mincho" w:cs="Arial"/>
          <w:szCs w:val="18"/>
          <w:lang w:val="en-GB" w:eastAsia="ja-JP"/>
        </w:rPr>
        <w:t>Ministarstvo zaštite okoliša i prirode i Državni zavod za zaštitu prirode, Zagreb.</w:t>
      </w:r>
    </w:p>
    <w:p w14:paraId="7D4B1F81"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4604821D"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890F11">
        <w:rPr>
          <w:rFonts w:eastAsia="MS Mincho" w:cs="Arial"/>
          <w:b/>
          <w:szCs w:val="18"/>
          <w:lang w:val="fr-FR" w:eastAsia="ja-JP"/>
        </w:rPr>
        <w:t>UICN FRANCE, MNHN, LPO, SEOF and ONCFS (2016)</w:t>
      </w:r>
      <w:r w:rsidRPr="00890F11">
        <w:rPr>
          <w:rFonts w:eastAsia="MS Mincho" w:cs="Arial"/>
          <w:szCs w:val="18"/>
          <w:lang w:val="fr-FR" w:eastAsia="ja-JP"/>
        </w:rPr>
        <w:t xml:space="preserve"> </w:t>
      </w:r>
      <w:r w:rsidRPr="00890F11">
        <w:rPr>
          <w:rFonts w:eastAsia="MS Mincho" w:cs="Arial"/>
          <w:i/>
          <w:szCs w:val="18"/>
          <w:lang w:val="fr-FR" w:eastAsia="ja-JP"/>
        </w:rPr>
        <w:t>La liste rouge des espèces menacées en France - Chapitre Oiseaux de France métropolitaine</w:t>
      </w:r>
      <w:r w:rsidRPr="00890F11">
        <w:rPr>
          <w:rFonts w:eastAsia="MS Mincho" w:cs="Arial"/>
          <w:szCs w:val="18"/>
          <w:lang w:val="fr-FR" w:eastAsia="ja-JP"/>
        </w:rPr>
        <w:t xml:space="preserve">. </w:t>
      </w:r>
      <w:r w:rsidRPr="00C96521">
        <w:rPr>
          <w:rFonts w:eastAsia="MS Mincho" w:cs="Arial"/>
          <w:szCs w:val="18"/>
          <w:lang w:val="en-GB" w:eastAsia="ja-JP"/>
        </w:rPr>
        <w:t>Paris, France.</w:t>
      </w:r>
    </w:p>
    <w:p w14:paraId="36005BE4"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46D20D00" w14:textId="53F46A82" w:rsidR="00C96521" w:rsidRPr="00C96521" w:rsidRDefault="00C96521" w:rsidP="00C96521">
      <w:pPr>
        <w:widowControl/>
        <w:autoSpaceDE/>
        <w:autoSpaceDN/>
        <w:adjustRightInd/>
        <w:spacing w:line="276" w:lineRule="auto"/>
        <w:rPr>
          <w:rFonts w:eastAsia="MS Mincho" w:cs="Arial"/>
          <w:i/>
          <w:szCs w:val="18"/>
          <w:lang w:val="en-GB" w:eastAsia="ja-JP"/>
        </w:rPr>
      </w:pPr>
      <w:r w:rsidRPr="00C96521">
        <w:rPr>
          <w:rFonts w:eastAsia="MS Mincho" w:cs="Arial"/>
          <w:b/>
          <w:szCs w:val="18"/>
          <w:lang w:val="en-GB" w:eastAsia="ja-JP"/>
        </w:rPr>
        <w:t xml:space="preserve">UKRAINIAN HUNTING AND FISHING ASSOCIATION (undated) </w:t>
      </w:r>
      <w:r w:rsidRPr="00C96521">
        <w:rPr>
          <w:rFonts w:eastAsia="MS Mincho" w:cs="Arial"/>
          <w:i/>
          <w:szCs w:val="18"/>
          <w:lang w:val="en-GB" w:eastAsia="ja-JP"/>
        </w:rPr>
        <w:t xml:space="preserve">Legislation on hunting/fishing – Law of Ukraine. </w:t>
      </w:r>
      <w:hyperlink r:id="rId61" w:history="1">
        <w:r w:rsidRPr="00C96521">
          <w:rPr>
            <w:rFonts w:eastAsia="MS Mincho" w:cs="Arial"/>
            <w:szCs w:val="18"/>
            <w:lang w:val="en-GB" w:eastAsia="ja-JP"/>
          </w:rPr>
          <w:t>http://uoor.com.ua/eng/legislation/about_hunting</w:t>
        </w:r>
      </w:hyperlink>
      <w:r w:rsidRPr="00C96521">
        <w:rPr>
          <w:rFonts w:eastAsia="MS Mincho" w:cs="Arial"/>
          <w:szCs w:val="18"/>
          <w:lang w:val="en-GB" w:eastAsia="ja-JP"/>
        </w:rPr>
        <w:t>. (Last accessed on 25 November 2016)</w:t>
      </w:r>
    </w:p>
    <w:p w14:paraId="0349844F"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6656CDE" w14:textId="1AFC147E"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UNMIK/IPVQ (2007)</w:t>
      </w:r>
      <w:r w:rsidRPr="00C96521">
        <w:rPr>
          <w:rFonts w:eastAsia="MS Mincho" w:cs="Arial"/>
          <w:szCs w:val="18"/>
          <w:lang w:val="en-GB" w:eastAsia="ja-JP"/>
        </w:rPr>
        <w:t xml:space="preserve"> </w:t>
      </w:r>
      <w:r w:rsidRPr="00C96521">
        <w:rPr>
          <w:rFonts w:eastAsia="MS Mincho" w:cs="Arial"/>
          <w:i/>
          <w:szCs w:val="18"/>
          <w:lang w:val="en-GB" w:eastAsia="ja-JP"/>
        </w:rPr>
        <w:t>Administrative Instruction MA – No. 11/2007 Concerning the Hunting Season</w:t>
      </w:r>
      <w:r w:rsidRPr="00C96521">
        <w:rPr>
          <w:rFonts w:eastAsia="MS Mincho" w:cs="Arial"/>
          <w:szCs w:val="18"/>
          <w:lang w:val="en-GB" w:eastAsia="ja-JP"/>
        </w:rPr>
        <w:t xml:space="preserve">. </w:t>
      </w:r>
      <w:r w:rsidRPr="00C96521">
        <w:rPr>
          <w:rFonts w:eastAsia="MS Mincho"/>
          <w:szCs w:val="18"/>
          <w:lang w:val="en-GB" w:eastAsia="ja-JP"/>
        </w:rPr>
        <w:t>http://www.mbpzhr-ks.net/repository/docs/676345_AIMA-Nr._11-20007_eng.doc</w:t>
      </w:r>
      <w:r w:rsidRPr="00C96521">
        <w:rPr>
          <w:rFonts w:eastAsia="MS Mincho" w:cs="Arial"/>
          <w:szCs w:val="18"/>
          <w:lang w:val="en-GB" w:eastAsia="ja-JP"/>
        </w:rPr>
        <w:t xml:space="preserve"> (last accessed 25 November 2016)</w:t>
      </w:r>
    </w:p>
    <w:p w14:paraId="6C0E53E5" w14:textId="77777777" w:rsidR="00C96521" w:rsidRPr="00C96521" w:rsidRDefault="00C96521" w:rsidP="00C96521">
      <w:pPr>
        <w:widowControl/>
        <w:autoSpaceDE/>
        <w:autoSpaceDN/>
        <w:adjustRightInd/>
        <w:spacing w:line="276" w:lineRule="auto"/>
        <w:rPr>
          <w:rFonts w:eastAsia="MS Mincho" w:cs="Arial"/>
          <w:b/>
          <w:szCs w:val="18"/>
          <w:lang w:val="en-GB" w:eastAsia="ja-JP"/>
        </w:rPr>
      </w:pPr>
    </w:p>
    <w:p w14:paraId="7CB56176"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VERMEERSH G, ANSELIN A, DEVOS K, HERREMANS M, STEVENS J, GABRIËLS J, and van de KRIEKEN B (2004)</w:t>
      </w:r>
      <w:r w:rsidRPr="00C96521">
        <w:rPr>
          <w:rFonts w:eastAsia="MS Mincho" w:cs="Arial"/>
          <w:szCs w:val="18"/>
          <w:lang w:val="en-GB" w:eastAsia="ja-JP"/>
        </w:rPr>
        <w:t xml:space="preserve"> </w:t>
      </w:r>
      <w:r w:rsidRPr="00C96521">
        <w:rPr>
          <w:rFonts w:eastAsia="MS Mincho" w:cs="Arial"/>
          <w:i/>
          <w:szCs w:val="18"/>
          <w:lang w:val="en-GB" w:eastAsia="ja-JP"/>
        </w:rPr>
        <w:t>Atlas van de Vlaamse Broedvogels 2000-2002</w:t>
      </w:r>
      <w:r w:rsidRPr="00C96521">
        <w:rPr>
          <w:rFonts w:eastAsia="MS Mincho" w:cs="Arial"/>
          <w:szCs w:val="18"/>
          <w:lang w:val="en-GB" w:eastAsia="ja-JP"/>
        </w:rPr>
        <w:t>. Instituut voor Natuur - en Bosonderzoek, Anderlecht.</w:t>
      </w:r>
    </w:p>
    <w:p w14:paraId="5568F403"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665F294" w14:textId="225F48F0"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VOGELWARTE (2016a) </w:t>
      </w:r>
      <w:r w:rsidRPr="00C96521">
        <w:rPr>
          <w:rFonts w:eastAsia="MS Mincho" w:cs="Arial"/>
          <w:i/>
          <w:szCs w:val="18"/>
          <w:lang w:val="en-GB" w:eastAsia="ja-JP"/>
        </w:rPr>
        <w:t>Breeding population indices for 174 native, regularly breeding species 1990–2015</w:t>
      </w:r>
      <w:r w:rsidRPr="00C96521">
        <w:rPr>
          <w:rFonts w:eastAsia="MS Mincho" w:cs="Arial"/>
          <w:szCs w:val="18"/>
          <w:lang w:val="en-GB" w:eastAsia="ja-JP"/>
        </w:rPr>
        <w:t>. http://www.vogelwarte.ch/en/projects/population-trends/state-of-birds/breeding-birds/ (last accessed 31 October 2016)</w:t>
      </w:r>
    </w:p>
    <w:p w14:paraId="0017E94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305D8756" w14:textId="1AA77000"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VOGELWARTE (2016b) </w:t>
      </w:r>
      <w:r w:rsidRPr="00C96521">
        <w:rPr>
          <w:rFonts w:eastAsia="MS Mincho" w:cs="Arial"/>
          <w:i/>
          <w:szCs w:val="18"/>
          <w:lang w:val="en-GB" w:eastAsia="ja-JP"/>
        </w:rPr>
        <w:t xml:space="preserve">European Turtle-dove Streptopelia turtur- Birds of Switzerland. </w:t>
      </w:r>
      <w:r w:rsidRPr="00C96521">
        <w:rPr>
          <w:rFonts w:eastAsia="MS Mincho" w:cs="Arial"/>
          <w:szCs w:val="18"/>
          <w:lang w:val="en-GB" w:eastAsia="ja-JP"/>
        </w:rPr>
        <w:t>http://www.vogelwarte.ch/en/birds/birds-of-switzerland/european-turtle-dove.html (last accessed 31 October 2016)</w:t>
      </w:r>
    </w:p>
    <w:p w14:paraId="0F1DC4B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041052C3"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 xml:space="preserve">WABDaB (2016) </w:t>
      </w:r>
      <w:r w:rsidRPr="00C96521">
        <w:rPr>
          <w:rFonts w:eastAsia="MS Mincho" w:cs="Arial"/>
          <w:i/>
          <w:szCs w:val="18"/>
          <w:lang w:val="en-GB" w:eastAsia="ja-JP"/>
        </w:rPr>
        <w:t>European Turtle-dove</w:t>
      </w:r>
      <w:r w:rsidRPr="00C96521">
        <w:rPr>
          <w:rFonts w:eastAsia="MS Mincho" w:cs="Arial"/>
          <w:szCs w:val="18"/>
          <w:lang w:val="en-GB" w:eastAsia="ja-JP"/>
        </w:rPr>
        <w:t>. The contributors to the bilingual West African Bird DataBase (www.wabdab.org), managed by Ulf Leidén, Joost Brouwer and Tim Wacher.</w:t>
      </w:r>
    </w:p>
    <w:p w14:paraId="0143B1C0" w14:textId="77777777" w:rsidR="00C96521" w:rsidRPr="00C96521" w:rsidRDefault="00C96521" w:rsidP="00C96521">
      <w:pPr>
        <w:widowControl/>
        <w:spacing w:line="276" w:lineRule="auto"/>
        <w:rPr>
          <w:rFonts w:eastAsia="MS Mincho" w:cs="Arial"/>
          <w:szCs w:val="18"/>
          <w:lang w:val="en-GB" w:eastAsia="ja-JP"/>
        </w:rPr>
      </w:pPr>
    </w:p>
    <w:p w14:paraId="1D06BAFD" w14:textId="77777777" w:rsidR="00C96521" w:rsidRPr="00C96521" w:rsidRDefault="00C96521" w:rsidP="00C96521">
      <w:pPr>
        <w:widowControl/>
        <w:spacing w:line="276" w:lineRule="auto"/>
        <w:rPr>
          <w:rFonts w:eastAsia="MS Mincho" w:cs="Arial"/>
          <w:szCs w:val="18"/>
          <w:lang w:val="en-GB" w:eastAsia="ja-JP"/>
        </w:rPr>
      </w:pPr>
      <w:r w:rsidRPr="00C96521">
        <w:rPr>
          <w:rFonts w:eastAsia="MS Mincho" w:cs="Arial"/>
          <w:b/>
          <w:szCs w:val="18"/>
          <w:lang w:val="en-GB" w:eastAsia="ja-JP"/>
        </w:rPr>
        <w:t>WADE PR (1998)</w:t>
      </w:r>
      <w:r w:rsidRPr="00C96521">
        <w:rPr>
          <w:rFonts w:eastAsia="MS Mincho" w:cs="Arial"/>
          <w:szCs w:val="18"/>
          <w:lang w:val="en-GB" w:eastAsia="ja-JP"/>
        </w:rPr>
        <w:t xml:space="preserve"> </w:t>
      </w:r>
      <w:hyperlink r:id="rId62" w:history="1">
        <w:r w:rsidRPr="00C96521">
          <w:rPr>
            <w:rFonts w:eastAsia="MS Mincho" w:cs="Arial"/>
            <w:szCs w:val="18"/>
            <w:lang w:val="en-GB" w:eastAsia="ja-JP"/>
          </w:rPr>
          <w:t>Calculating limits to the allowable human-caused mortality of cetaceans and pinnipeds</w:t>
        </w:r>
      </w:hyperlink>
      <w:r w:rsidRPr="00C96521">
        <w:rPr>
          <w:rFonts w:eastAsia="MS Mincho" w:cs="Arial"/>
          <w:szCs w:val="18"/>
          <w:lang w:val="en-GB" w:eastAsia="ja-JP"/>
        </w:rPr>
        <w:t xml:space="preserve">. </w:t>
      </w:r>
      <w:r w:rsidRPr="00C96521">
        <w:rPr>
          <w:rFonts w:eastAsia="MS Mincho" w:cs="Arial"/>
          <w:i/>
          <w:szCs w:val="18"/>
          <w:lang w:val="en-GB" w:eastAsia="ja-JP"/>
        </w:rPr>
        <w:t>Marine Mammal Science</w:t>
      </w:r>
      <w:r w:rsidRPr="00C96521">
        <w:rPr>
          <w:rFonts w:eastAsia="MS Mincho" w:cs="Arial"/>
          <w:szCs w:val="18"/>
          <w:lang w:val="en-GB" w:eastAsia="ja-JP"/>
        </w:rPr>
        <w:t xml:space="preserve"> 14: 1-37.</w:t>
      </w:r>
    </w:p>
    <w:p w14:paraId="26404425" w14:textId="77777777" w:rsidR="00C96521" w:rsidRPr="00C96521" w:rsidRDefault="00C96521" w:rsidP="00C96521">
      <w:pPr>
        <w:widowControl/>
        <w:spacing w:line="276" w:lineRule="auto"/>
        <w:rPr>
          <w:rFonts w:eastAsia="MS Mincho" w:cs="Arial"/>
          <w:szCs w:val="18"/>
          <w:lang w:val="en-GB" w:eastAsia="ja-JP"/>
        </w:rPr>
      </w:pPr>
    </w:p>
    <w:p w14:paraId="0A83025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WALKER LK and MORRIS AJ (2016)</w:t>
      </w:r>
      <w:r w:rsidRPr="00C96521">
        <w:rPr>
          <w:rFonts w:eastAsia="MS Mincho" w:cs="Arial"/>
          <w:szCs w:val="18"/>
          <w:lang w:val="en-GB" w:eastAsia="ja-JP"/>
        </w:rPr>
        <w:t xml:space="preserve"> </w:t>
      </w:r>
      <w:r w:rsidRPr="00C96521">
        <w:rPr>
          <w:rFonts w:eastAsia="MS Mincho" w:cs="Arial"/>
          <w:i/>
          <w:szCs w:val="18"/>
          <w:lang w:val="en-GB" w:eastAsia="ja-JP"/>
        </w:rPr>
        <w:t>Evaluating Turtle-dove HLS Package</w:t>
      </w:r>
      <w:r w:rsidRPr="00C96521">
        <w:rPr>
          <w:rFonts w:eastAsia="MS Mincho" w:cs="Arial"/>
          <w:szCs w:val="18"/>
          <w:lang w:val="en-GB" w:eastAsia="ja-JP"/>
        </w:rPr>
        <w:t>. Report to Natural England Work Package Number ECM6924.</w:t>
      </w:r>
    </w:p>
    <w:p w14:paraId="5EFCA877"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DD7C6EB"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WALTHER BA (2016)</w:t>
      </w:r>
      <w:r w:rsidRPr="00C96521">
        <w:rPr>
          <w:rFonts w:eastAsia="MS Mincho" w:cs="Arial"/>
          <w:szCs w:val="18"/>
          <w:lang w:val="en-GB" w:eastAsia="ja-JP"/>
        </w:rPr>
        <w:t xml:space="preserve"> A review of recent ecological changes in the Sahel, with particular reference to land-use change, plants, birds and mammals. </w:t>
      </w:r>
      <w:r w:rsidRPr="00C96521">
        <w:rPr>
          <w:rFonts w:eastAsia="MS Mincho" w:cs="Arial"/>
          <w:i/>
          <w:szCs w:val="18"/>
          <w:lang w:val="en-GB" w:eastAsia="ja-JP"/>
        </w:rPr>
        <w:t>African Journal of Ecology</w:t>
      </w:r>
      <w:r w:rsidRPr="00C96521">
        <w:rPr>
          <w:rFonts w:eastAsia="MS Mincho" w:cs="Arial"/>
          <w:szCs w:val="18"/>
          <w:lang w:val="en-GB" w:eastAsia="ja-JP"/>
        </w:rPr>
        <w:t xml:space="preserve"> 54: 268-280.</w:t>
      </w:r>
    </w:p>
    <w:p w14:paraId="79F6F3E5"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szCs w:val="18"/>
          <w:lang w:val="en-GB" w:eastAsia="ja-JP"/>
        </w:rPr>
        <w:t> </w:t>
      </w:r>
    </w:p>
    <w:p w14:paraId="11F77FD2" w14:textId="77777777"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WASSINK A and OREEL GJ (2008)</w:t>
      </w:r>
      <w:r w:rsidRPr="00C96521">
        <w:rPr>
          <w:rFonts w:eastAsia="MS Mincho" w:cs="Arial"/>
          <w:szCs w:val="18"/>
          <w:lang w:val="en-GB" w:eastAsia="ja-JP"/>
        </w:rPr>
        <w:t xml:space="preserve"> Birds of Kazakhstan: new and interesting data. </w:t>
      </w:r>
      <w:r w:rsidRPr="00C96521">
        <w:rPr>
          <w:rFonts w:eastAsia="MS Mincho" w:cs="Arial"/>
          <w:i/>
          <w:szCs w:val="18"/>
          <w:lang w:val="en-GB" w:eastAsia="ja-JP"/>
        </w:rPr>
        <w:t>Dutch Birding</w:t>
      </w:r>
      <w:r w:rsidRPr="00C96521">
        <w:rPr>
          <w:rFonts w:eastAsia="MS Mincho" w:cs="Arial"/>
          <w:szCs w:val="18"/>
          <w:lang w:val="en-GB" w:eastAsia="ja-JP"/>
        </w:rPr>
        <w:t> 30(2): 93-100.</w:t>
      </w:r>
    </w:p>
    <w:p w14:paraId="5EEF56DB"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1EE3F8E9" w14:textId="45184020"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WBRU (2015)</w:t>
      </w:r>
      <w:r w:rsidRPr="00C96521">
        <w:rPr>
          <w:rFonts w:eastAsia="MS Mincho" w:cs="Arial"/>
          <w:szCs w:val="18"/>
          <w:lang w:val="en-GB" w:eastAsia="ja-JP"/>
        </w:rPr>
        <w:t xml:space="preserve"> Report on the Outcome of the 2015 Spring Hunting Season in Malta. </w:t>
      </w:r>
      <w:hyperlink r:id="rId63" w:history="1">
        <w:r w:rsidRPr="00C96521">
          <w:rPr>
            <w:rFonts w:eastAsia="MS Mincho" w:cs="Arial"/>
            <w:szCs w:val="18"/>
            <w:lang w:val="en-GB" w:eastAsia="ja-JP"/>
          </w:rPr>
          <w:t>https://msdeccms.gov.mt/en/Documents/Downloads/WBRU/spring%20hunting%202015/SH%202015%20derogation%20report.pdf</w:t>
        </w:r>
      </w:hyperlink>
      <w:r w:rsidRPr="00C96521">
        <w:rPr>
          <w:rFonts w:eastAsia="MS Mincho" w:cs="Arial"/>
          <w:szCs w:val="18"/>
          <w:lang w:val="en-GB" w:eastAsia="ja-JP"/>
        </w:rPr>
        <w:t xml:space="preserve"> (last accessed 12 December 2016).</w:t>
      </w:r>
    </w:p>
    <w:p w14:paraId="2AD0C4F5"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2620BB54" w14:textId="1D210231"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WBRU (2016)</w:t>
      </w:r>
      <w:r w:rsidRPr="00C96521">
        <w:rPr>
          <w:rFonts w:eastAsia="MS Mincho" w:cs="Arial"/>
          <w:szCs w:val="18"/>
          <w:lang w:val="en-GB" w:eastAsia="ja-JP"/>
        </w:rPr>
        <w:t xml:space="preserve"> </w:t>
      </w:r>
      <w:r w:rsidRPr="00C96521">
        <w:rPr>
          <w:rFonts w:eastAsia="MS Mincho" w:cs="Arial"/>
          <w:i/>
          <w:szCs w:val="18"/>
          <w:lang w:val="en-GB" w:eastAsia="ja-JP"/>
        </w:rPr>
        <w:t>Report on the Outcome of the 2016 Spring Hunting Season in Malta.</w:t>
      </w:r>
      <w:r w:rsidRPr="00C96521">
        <w:rPr>
          <w:rFonts w:eastAsia="MS Mincho" w:cs="Arial"/>
          <w:szCs w:val="18"/>
          <w:lang w:val="en-GB" w:eastAsia="ja-JP"/>
        </w:rPr>
        <w:t xml:space="preserve"> </w:t>
      </w:r>
      <w:hyperlink r:id="rId64" w:history="1">
        <w:r w:rsidRPr="00C96521">
          <w:rPr>
            <w:rFonts w:eastAsia="MS Mincho" w:cs="Arial"/>
            <w:szCs w:val="18"/>
            <w:lang w:val="en-GB" w:eastAsia="ja-JP"/>
          </w:rPr>
          <w:t>https://msdeccms.gov.mt/en/Documents/Downloads/WBRU/2016/SH%20derogation%20report%202016%209-6.pdf</w:t>
        </w:r>
      </w:hyperlink>
      <w:r w:rsidRPr="00C96521">
        <w:rPr>
          <w:rFonts w:eastAsia="MS Mincho" w:cs="Arial"/>
          <w:szCs w:val="18"/>
          <w:lang w:val="en-GB" w:eastAsia="ja-JP"/>
        </w:rPr>
        <w:t xml:space="preserve"> (last accessed 12 December 2016</w:t>
      </w:r>
      <w:r w:rsidRPr="00C96521">
        <w:rPr>
          <w:rFonts w:eastAsia="MS Mincho"/>
          <w:sz w:val="20"/>
          <w:szCs w:val="22"/>
          <w:lang w:val="en-GB" w:eastAsia="ja-JP"/>
        </w:rPr>
        <w:t>).</w:t>
      </w:r>
    </w:p>
    <w:p w14:paraId="50BF5490"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571C0A5A" w14:textId="62F35EF4" w:rsidR="00C96521" w:rsidRPr="00C96521" w:rsidRDefault="00C96521" w:rsidP="00C96521">
      <w:pPr>
        <w:widowControl/>
        <w:autoSpaceDE/>
        <w:autoSpaceDN/>
        <w:adjustRightInd/>
        <w:spacing w:line="276" w:lineRule="auto"/>
        <w:rPr>
          <w:rFonts w:eastAsia="MS Mincho" w:cs="Arial"/>
          <w:szCs w:val="18"/>
          <w:lang w:val="en-GB" w:eastAsia="ja-JP"/>
        </w:rPr>
      </w:pPr>
      <w:r w:rsidRPr="00C96521">
        <w:rPr>
          <w:rFonts w:eastAsia="MS Mincho" w:cs="Arial"/>
          <w:b/>
          <w:szCs w:val="18"/>
          <w:lang w:val="en-GB" w:eastAsia="ja-JP"/>
        </w:rPr>
        <w:t xml:space="preserve">ZOOLOGICAL MUSEUM OF MOSCOW UNIVERSITY (2016) </w:t>
      </w:r>
      <w:r w:rsidRPr="00C96521">
        <w:rPr>
          <w:rFonts w:eastAsia="MS Mincho" w:cs="Arial"/>
          <w:i/>
          <w:szCs w:val="18"/>
          <w:lang w:val="en-GB" w:eastAsia="ja-JP"/>
        </w:rPr>
        <w:t>Breeding bird atlas of European Russia</w:t>
      </w:r>
      <w:r w:rsidRPr="00C96521">
        <w:rPr>
          <w:rFonts w:eastAsia="MS Mincho" w:cs="Arial"/>
          <w:szCs w:val="18"/>
          <w:lang w:val="en-GB" w:eastAsia="ja-JP"/>
        </w:rPr>
        <w:t>. Zoological Museum of Moscow University http://zmmu.msu.ru/en/about-muzeum/divisions/division-of-the-scientific-public-oriented-projects/breeding-bird-atlas-of-european-russia (last accessed 31</w:t>
      </w:r>
      <w:r w:rsidRPr="00C96521">
        <w:rPr>
          <w:rFonts w:eastAsia="MS Mincho" w:cs="Arial"/>
          <w:szCs w:val="18"/>
          <w:vertAlign w:val="superscript"/>
          <w:lang w:val="en-GB" w:eastAsia="ja-JP"/>
        </w:rPr>
        <w:t xml:space="preserve"> </w:t>
      </w:r>
      <w:r w:rsidRPr="00C96521">
        <w:rPr>
          <w:rFonts w:eastAsia="MS Mincho" w:cs="Arial"/>
          <w:szCs w:val="18"/>
          <w:lang w:val="en-GB" w:eastAsia="ja-JP"/>
        </w:rPr>
        <w:t>October 2016)</w:t>
      </w:r>
    </w:p>
    <w:p w14:paraId="69C60A11" w14:textId="77777777" w:rsidR="00C96521" w:rsidRPr="00C96521" w:rsidRDefault="00C96521" w:rsidP="00C96521">
      <w:pPr>
        <w:widowControl/>
        <w:autoSpaceDE/>
        <w:autoSpaceDN/>
        <w:adjustRightInd/>
        <w:spacing w:line="276" w:lineRule="auto"/>
        <w:rPr>
          <w:rFonts w:eastAsia="MS Mincho" w:cs="Arial"/>
          <w:szCs w:val="18"/>
          <w:lang w:val="en-GB" w:eastAsia="ja-JP"/>
        </w:rPr>
      </w:pPr>
    </w:p>
    <w:p w14:paraId="6D7D132D"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C96521">
        <w:rPr>
          <w:rFonts w:eastAsia="MS Mincho" w:cs="Arial"/>
          <w:b/>
          <w:szCs w:val="18"/>
          <w:lang w:val="en-GB" w:eastAsia="ja-JP"/>
        </w:rPr>
        <w:t>ZWARTS L, BIJLSMA RG, VAN DER KAMP J and WYMENGA E (2009)</w:t>
      </w:r>
      <w:r w:rsidRPr="00C96521">
        <w:rPr>
          <w:rFonts w:eastAsia="MS Mincho" w:cs="Arial"/>
          <w:szCs w:val="18"/>
          <w:lang w:val="en-GB" w:eastAsia="ja-JP"/>
        </w:rPr>
        <w:t xml:space="preserve"> </w:t>
      </w:r>
      <w:r w:rsidRPr="00C96521">
        <w:rPr>
          <w:rFonts w:eastAsia="MS Mincho" w:cs="Arial"/>
          <w:i/>
          <w:szCs w:val="18"/>
          <w:lang w:val="en-GB" w:eastAsia="ja-JP"/>
        </w:rPr>
        <w:t>Living on the Edge: wetlands and birds in a changing Sahel</w:t>
      </w:r>
      <w:r w:rsidRPr="00C96521">
        <w:rPr>
          <w:rFonts w:eastAsia="MS Mincho" w:cs="Arial"/>
          <w:szCs w:val="18"/>
          <w:lang w:val="en-GB" w:eastAsia="ja-JP"/>
        </w:rPr>
        <w:t xml:space="preserve">. </w:t>
      </w:r>
      <w:r w:rsidRPr="00890F11">
        <w:rPr>
          <w:rFonts w:eastAsia="MS Mincho" w:cs="Arial"/>
          <w:szCs w:val="18"/>
          <w:lang w:val="fr-FR" w:eastAsia="ja-JP"/>
        </w:rPr>
        <w:t>KNNV Publishing, Zeist.</w:t>
      </w:r>
    </w:p>
    <w:p w14:paraId="72559FDA" w14:textId="77777777" w:rsidR="00C96521" w:rsidRPr="00890F11" w:rsidRDefault="00C96521" w:rsidP="00C96521">
      <w:pPr>
        <w:widowControl/>
        <w:autoSpaceDE/>
        <w:autoSpaceDN/>
        <w:adjustRightInd/>
        <w:spacing w:line="276" w:lineRule="auto"/>
        <w:rPr>
          <w:rFonts w:eastAsia="MS Mincho" w:cs="Arial"/>
          <w:szCs w:val="18"/>
          <w:lang w:val="fr-FR" w:eastAsia="ja-JP"/>
        </w:rPr>
      </w:pPr>
      <w:r w:rsidRPr="00890F11">
        <w:rPr>
          <w:rFonts w:eastAsia="MS Mincho" w:cs="Arial"/>
          <w:szCs w:val="18"/>
          <w:lang w:val="fr-FR" w:eastAsia="ja-JP"/>
        </w:rPr>
        <w:br w:type="page"/>
      </w:r>
    </w:p>
    <w:p w14:paraId="59E26DCC" w14:textId="77777777" w:rsidR="00C96521" w:rsidRPr="00890F11" w:rsidRDefault="00C96521" w:rsidP="00C96521">
      <w:pPr>
        <w:keepNext/>
        <w:keepLines/>
        <w:widowControl/>
        <w:autoSpaceDE/>
        <w:autoSpaceDN/>
        <w:adjustRightInd/>
        <w:spacing w:before="480" w:line="276" w:lineRule="auto"/>
        <w:outlineLvl w:val="0"/>
        <w:rPr>
          <w:rFonts w:eastAsia="MS Gothic"/>
          <w:b/>
          <w:bCs/>
          <w:color w:val="365F91"/>
          <w:sz w:val="32"/>
          <w:szCs w:val="28"/>
          <w:lang w:val="fr-FR" w:eastAsia="ja-JP"/>
        </w:rPr>
      </w:pPr>
      <w:bookmarkStart w:id="40" w:name="_Toc478646925"/>
      <w:r w:rsidRPr="00890F11">
        <w:rPr>
          <w:rFonts w:eastAsia="MS Gothic"/>
          <w:b/>
          <w:bCs/>
          <w:color w:val="365F91"/>
          <w:sz w:val="32"/>
          <w:szCs w:val="28"/>
          <w:lang w:val="fr-FR" w:eastAsia="ja-JP"/>
        </w:rPr>
        <w:lastRenderedPageBreak/>
        <w:t>Annex 6: LIST OF ACRONYMS/ABBREVIATIONS</w:t>
      </w:r>
      <w:bookmarkEnd w:id="40"/>
    </w:p>
    <w:p w14:paraId="5E9B11D6" w14:textId="77777777" w:rsidR="00C96521" w:rsidRPr="00890F11" w:rsidRDefault="00C96521" w:rsidP="00C96521">
      <w:pPr>
        <w:widowControl/>
        <w:autoSpaceDE/>
        <w:autoSpaceDN/>
        <w:adjustRightInd/>
        <w:spacing w:line="276" w:lineRule="auto"/>
        <w:rPr>
          <w:rFonts w:eastAsia="MS Mincho"/>
          <w:sz w:val="20"/>
          <w:szCs w:val="22"/>
          <w:lang w:val="fr-FR" w:eastAsia="ja-JP"/>
        </w:rPr>
      </w:pPr>
    </w:p>
    <w:p w14:paraId="7E0819B4"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AMCFE - Association Malienne pour la Conservation de la Faune et de l'Environnment</w:t>
      </w:r>
    </w:p>
    <w:p w14:paraId="17CEFBDD"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ANAO - Algerian National Association of Ornithology</w:t>
      </w:r>
    </w:p>
    <w:p w14:paraId="7AA10F4B"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AOS - Azerbaijan Ornithological Society (BirdLife Azerbaijan)</w:t>
      </w:r>
    </w:p>
    <w:p w14:paraId="0FD4B16D"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APB - Ахова птушак Бацькаўшчыны (АПБ) (BirdLife Belarus)</w:t>
      </w:r>
    </w:p>
    <w:p w14:paraId="6DA75BC4"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BC TAP - Bern Convention Tunis Action Plan</w:t>
      </w:r>
    </w:p>
    <w:p w14:paraId="48785EBF"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BIOM - Association BIOM (BirdLife Croatia)</w:t>
      </w:r>
    </w:p>
    <w:p w14:paraId="4CD798A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BSPB - Bulgarian Society for the Protection of Birds (BirdLife Bulgaria)</w:t>
      </w:r>
    </w:p>
    <w:p w14:paraId="06075120"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BTO – British Trust for Ornithology</w:t>
      </w:r>
    </w:p>
    <w:p w14:paraId="61BFFD08" w14:textId="77777777" w:rsidR="00C96521" w:rsidRPr="00C96521" w:rsidRDefault="00C96521" w:rsidP="00C96521">
      <w:pPr>
        <w:widowControl/>
        <w:autoSpaceDE/>
        <w:autoSpaceDN/>
        <w:adjustRightInd/>
        <w:spacing w:line="276" w:lineRule="auto"/>
        <w:rPr>
          <w:rFonts w:eastAsia="MS Mincho"/>
          <w:szCs w:val="18"/>
          <w:lang w:val="en-GB" w:eastAsia="ja-JP"/>
        </w:rPr>
      </w:pPr>
      <w:r w:rsidRPr="00C96521">
        <w:rPr>
          <w:rFonts w:cs="Arial"/>
          <w:szCs w:val="18"/>
          <w:lang w:val="en-GB" w:eastAsia="en-GB"/>
        </w:rPr>
        <w:t>CASA</w:t>
      </w:r>
      <w:r w:rsidRPr="00C96521">
        <w:rPr>
          <w:rFonts w:eastAsia="MS Mincho"/>
          <w:szCs w:val="18"/>
          <w:lang w:val="en-GB" w:eastAsia="ja-JP"/>
        </w:rPr>
        <w:t xml:space="preserve"> – Croatian Academy of Sciences and Arts</w:t>
      </w:r>
    </w:p>
    <w:p w14:paraId="1D5B15E4"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CITES - Convention on the International Trade of Endangered Species of Wild Flora and Fauna</w:t>
      </w:r>
    </w:p>
    <w:p w14:paraId="4A639A94"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CMS - Convention on Migratory Species</w:t>
      </w:r>
    </w:p>
    <w:p w14:paraId="6A2DF5EE" w14:textId="77777777" w:rsidR="00C96521" w:rsidRPr="00C96521" w:rsidRDefault="00C96521" w:rsidP="00C96521">
      <w:pPr>
        <w:widowControl/>
        <w:autoSpaceDE/>
        <w:autoSpaceDN/>
        <w:adjustRightInd/>
        <w:spacing w:line="276" w:lineRule="auto"/>
        <w:rPr>
          <w:rFonts w:eastAsia="MS Mincho"/>
          <w:szCs w:val="18"/>
          <w:lang w:val="en-GB" w:eastAsia="ja-JP"/>
        </w:rPr>
      </w:pPr>
      <w:r w:rsidRPr="00C96521">
        <w:rPr>
          <w:rFonts w:eastAsia="MS Mincho"/>
          <w:szCs w:val="18"/>
          <w:lang w:val="en-GB" w:eastAsia="ja-JP"/>
        </w:rPr>
        <w:t xml:space="preserve">CMS MIKT - </w:t>
      </w:r>
      <w:r w:rsidRPr="00C96521">
        <w:rPr>
          <w:rFonts w:eastAsia="MS Mincho"/>
          <w:color w:val="000000"/>
          <w:szCs w:val="18"/>
          <w:lang w:val="en-GB" w:eastAsia="ja-JP"/>
        </w:rPr>
        <w:t>Intergovernmental Task Force on Illegal Killing, Taking and Trade of Migratory Birds in the Mediterranean</w:t>
      </w:r>
    </w:p>
    <w:p w14:paraId="0040A75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DOF - Dansk Ornitologisk Forening (BirdLife Denmark)</w:t>
      </w:r>
    </w:p>
    <w:p w14:paraId="4B5FB1EE"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DOPPS - Društvo za Opazovanje in Proučevanje Ptic Slovenije (BirdLife Slovenia)</w:t>
      </w:r>
    </w:p>
    <w:p w14:paraId="3139D9B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DPWM - Department of Parks and Wildlife Management, Government of The Gambia</w:t>
      </w:r>
    </w:p>
    <w:p w14:paraId="1361488D"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EIA – Environmental Impact Assessment</w:t>
      </w:r>
    </w:p>
    <w:p w14:paraId="1628F64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ENEC – European Network against Environmental Crime</w:t>
      </w:r>
    </w:p>
    <w:p w14:paraId="3C7BFBD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EOS - Estonian Ornithological Society (BirdLife Estonia)</w:t>
      </w:r>
    </w:p>
    <w:p w14:paraId="7B7889D1"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EU – European Union</w:t>
      </w:r>
    </w:p>
    <w:p w14:paraId="5A4C11A8"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FACE – The European Federation of Associations for Hunting and Conservation</w:t>
      </w:r>
    </w:p>
    <w:p w14:paraId="334E4840"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GCT - The Game Conservancy Trust</w:t>
      </w:r>
    </w:p>
    <w:p w14:paraId="5D36A081"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GREPROM - Groupe de Recherche pour la Protection des Oiseaux au Maroc (BirdLife Morocco)</w:t>
      </w:r>
    </w:p>
    <w:p w14:paraId="13B86C3A"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HOS - Hellenic Ornithological Society (BirdLife Greece)</w:t>
      </w:r>
    </w:p>
    <w:p w14:paraId="251CAE1C"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IBA - Important Bird Area</w:t>
      </w:r>
    </w:p>
    <w:p w14:paraId="5850351F"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IMPEL – European Union Network for the Implementation and Enforcement of Environmental Law</w:t>
      </w:r>
    </w:p>
    <w:p w14:paraId="1812D502" w14:textId="77777777" w:rsidR="00C96521" w:rsidRPr="00890F11" w:rsidRDefault="00C96521" w:rsidP="00C96521">
      <w:pPr>
        <w:widowControl/>
        <w:autoSpaceDE/>
        <w:autoSpaceDN/>
        <w:adjustRightInd/>
        <w:spacing w:line="276" w:lineRule="auto"/>
        <w:ind w:left="360" w:hangingChars="200" w:hanging="360"/>
        <w:rPr>
          <w:rFonts w:eastAsia="MS Mincho"/>
          <w:szCs w:val="18"/>
          <w:lang w:val="es-ES" w:eastAsia="ja-JP"/>
        </w:rPr>
      </w:pPr>
      <w:r w:rsidRPr="00890F11">
        <w:rPr>
          <w:rFonts w:eastAsia="MS Mincho"/>
          <w:szCs w:val="18"/>
          <w:lang w:val="es-ES" w:eastAsia="ja-JP"/>
        </w:rPr>
        <w:t>ISPRA - Istituto Superiore per la Protezione e la Ricerca Ambientale (Italy)</w:t>
      </w:r>
    </w:p>
    <w:p w14:paraId="2582730A"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IUCN – International Union for Conservation of Nature</w:t>
      </w:r>
    </w:p>
    <w:p w14:paraId="1883FAC9"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KBA – Key Biodiversity Area</w:t>
      </w:r>
    </w:p>
    <w:p w14:paraId="1A38B4AF"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LIPU - Lega Italiana Protezione Uccelli (BirdLife Italy)</w:t>
      </w:r>
    </w:p>
    <w:p w14:paraId="0C7851E1"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LOD - Lietuvos Ornitologų Draugija (BirdLife Lithuania)</w:t>
      </w:r>
    </w:p>
    <w:p w14:paraId="7EE9CFF8"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LPO – Ligue pour la Protection des Oiseaux (BirdLife France)</w:t>
      </w:r>
    </w:p>
    <w:p w14:paraId="6ADC55E0"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MME - Magyar Madártani és Természetvédelmi Egyesület (BirdLife Hungary)</w:t>
      </w:r>
    </w:p>
    <w:p w14:paraId="21D76B16" w14:textId="77777777" w:rsidR="00C96521" w:rsidRPr="008C00B8" w:rsidRDefault="00C96521" w:rsidP="00C96521">
      <w:pPr>
        <w:widowControl/>
        <w:autoSpaceDE/>
        <w:autoSpaceDN/>
        <w:adjustRightInd/>
        <w:spacing w:line="276" w:lineRule="auto"/>
        <w:ind w:left="360" w:hangingChars="200" w:hanging="360"/>
        <w:rPr>
          <w:rFonts w:eastAsia="MS Mincho"/>
          <w:szCs w:val="18"/>
          <w:lang w:val="fr-FR" w:eastAsia="ja-JP"/>
        </w:rPr>
      </w:pPr>
      <w:r w:rsidRPr="008C00B8">
        <w:rPr>
          <w:rFonts w:eastAsia="MS Mincho"/>
          <w:szCs w:val="18"/>
          <w:lang w:val="fr-FR" w:eastAsia="ja-JP"/>
        </w:rPr>
        <w:t>MNHN – Muséum National d’Histoire Naturelle</w:t>
      </w:r>
    </w:p>
    <w:p w14:paraId="6033F671" w14:textId="77777777" w:rsidR="00C96521" w:rsidRPr="008C00B8" w:rsidRDefault="00C96521" w:rsidP="00C96521">
      <w:pPr>
        <w:widowControl/>
        <w:autoSpaceDE/>
        <w:autoSpaceDN/>
        <w:adjustRightInd/>
        <w:spacing w:line="276" w:lineRule="auto"/>
        <w:ind w:left="360" w:hangingChars="200" w:hanging="360"/>
        <w:rPr>
          <w:rFonts w:eastAsia="MS Mincho"/>
          <w:szCs w:val="18"/>
          <w:lang w:val="fr-FR" w:eastAsia="ja-JP"/>
        </w:rPr>
      </w:pPr>
      <w:r w:rsidRPr="008C00B8">
        <w:rPr>
          <w:rFonts w:eastAsia="MS Mincho"/>
          <w:szCs w:val="18"/>
          <w:lang w:val="fr-FR" w:eastAsia="ja-JP"/>
        </w:rPr>
        <w:t>NGO - Non-governmental Organisation</w:t>
      </w:r>
    </w:p>
    <w:p w14:paraId="448249E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NABU - Nature and Biodiversity Conservation Union (BirdLife Germany)</w:t>
      </w:r>
    </w:p>
    <w:p w14:paraId="55592E1B"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OMPO - Migratory Birds of the Western Palearctic</w:t>
      </w:r>
    </w:p>
    <w:p w14:paraId="594A94D4" w14:textId="77777777"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ONCFS - Office National de la Chasse et de la Faune Sauvage</w:t>
      </w:r>
    </w:p>
    <w:p w14:paraId="1D3C6CBF"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OTOP - Ogólnopolskie Towarzystwo Ochrony Ptaków (BirdLife Poland)</w:t>
      </w:r>
    </w:p>
    <w:p w14:paraId="3224AC29"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RSCN - Royal Society for the Conservation of Nature (BirdLife Jordan)</w:t>
      </w:r>
    </w:p>
    <w:p w14:paraId="43ED7364"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RSPB - Royal Society for the Protection of Birds (BirdLife United Kingdom)</w:t>
      </w:r>
    </w:p>
    <w:p w14:paraId="07709CA5" w14:textId="77777777" w:rsidR="00C96521" w:rsidRPr="00890F11" w:rsidRDefault="00C96521" w:rsidP="00C96521">
      <w:pPr>
        <w:widowControl/>
        <w:autoSpaceDE/>
        <w:autoSpaceDN/>
        <w:adjustRightInd/>
        <w:spacing w:line="276" w:lineRule="auto"/>
        <w:ind w:left="360" w:hangingChars="200" w:hanging="360"/>
        <w:rPr>
          <w:rFonts w:eastAsia="MS Mincho"/>
          <w:szCs w:val="18"/>
          <w:lang w:val="es-ES" w:eastAsia="ja-JP"/>
        </w:rPr>
      </w:pPr>
      <w:r w:rsidRPr="00890F11">
        <w:rPr>
          <w:rFonts w:eastAsia="MS Mincho"/>
          <w:szCs w:val="18"/>
          <w:lang w:val="es-ES" w:eastAsia="ja-JP"/>
        </w:rPr>
        <w:t>SEO - Sociedad Española de Ornitología (BirdLife Spain)</w:t>
      </w:r>
    </w:p>
    <w:p w14:paraId="06362D34" w14:textId="7CB01182" w:rsidR="00C96521" w:rsidRPr="00890F11" w:rsidRDefault="00C96521" w:rsidP="00C96521">
      <w:pPr>
        <w:widowControl/>
        <w:autoSpaceDE/>
        <w:autoSpaceDN/>
        <w:adjustRightInd/>
        <w:spacing w:line="276" w:lineRule="auto"/>
        <w:ind w:left="360" w:hangingChars="200" w:hanging="360"/>
        <w:rPr>
          <w:rFonts w:eastAsia="MS Mincho"/>
          <w:szCs w:val="18"/>
          <w:lang w:val="fr-FR" w:eastAsia="ja-JP"/>
        </w:rPr>
      </w:pPr>
      <w:r w:rsidRPr="00890F11">
        <w:rPr>
          <w:rFonts w:eastAsia="MS Mincho"/>
          <w:szCs w:val="18"/>
          <w:lang w:val="fr-FR" w:eastAsia="ja-JP"/>
        </w:rPr>
        <w:t>SEOF – Société d’</w:t>
      </w:r>
      <w:r w:rsidR="00526B63">
        <w:rPr>
          <w:rFonts w:eastAsia="MS Mincho"/>
          <w:szCs w:val="18"/>
          <w:lang w:val="fr-FR" w:eastAsia="ja-JP"/>
        </w:rPr>
        <w:t>É</w:t>
      </w:r>
      <w:r w:rsidRPr="00890F11">
        <w:rPr>
          <w:rFonts w:eastAsia="MS Mincho"/>
          <w:szCs w:val="18"/>
          <w:lang w:val="fr-FR" w:eastAsia="ja-JP"/>
        </w:rPr>
        <w:t>tudes Ornithologiques de France</w:t>
      </w:r>
    </w:p>
    <w:p w14:paraId="6770CD66"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SOR - Societatea Ornitologică Română (BirdLife Romania)</w:t>
      </w:r>
    </w:p>
    <w:p w14:paraId="6D84B405"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SOS – Slovakian Ornithological Society (BirdLife Slovakia)</w:t>
      </w:r>
    </w:p>
    <w:p w14:paraId="16FB0839" w14:textId="77777777" w:rsidR="00C96521" w:rsidRPr="00890F11" w:rsidRDefault="00C96521" w:rsidP="00C96521">
      <w:pPr>
        <w:widowControl/>
        <w:autoSpaceDE/>
        <w:autoSpaceDN/>
        <w:adjustRightInd/>
        <w:spacing w:line="276" w:lineRule="auto"/>
        <w:ind w:left="360" w:hangingChars="200" w:hanging="360"/>
        <w:rPr>
          <w:rFonts w:eastAsia="MS Mincho"/>
          <w:szCs w:val="18"/>
          <w:lang w:val="es-ES" w:eastAsia="ja-JP"/>
        </w:rPr>
      </w:pPr>
      <w:r w:rsidRPr="00890F11">
        <w:rPr>
          <w:rFonts w:eastAsia="MS Mincho"/>
          <w:szCs w:val="18"/>
          <w:lang w:val="es-ES" w:eastAsia="ja-JP"/>
        </w:rPr>
        <w:t>SPA - Special Protection Area</w:t>
      </w:r>
    </w:p>
    <w:p w14:paraId="37773578" w14:textId="77777777" w:rsidR="00C96521" w:rsidRPr="00890F11" w:rsidRDefault="00C96521" w:rsidP="00C96521">
      <w:pPr>
        <w:widowControl/>
        <w:autoSpaceDE/>
        <w:autoSpaceDN/>
        <w:adjustRightInd/>
        <w:spacing w:line="276" w:lineRule="auto"/>
        <w:ind w:left="360" w:hangingChars="200" w:hanging="360"/>
        <w:rPr>
          <w:rFonts w:eastAsia="MS Mincho"/>
          <w:szCs w:val="18"/>
          <w:lang w:val="es-ES" w:eastAsia="ja-JP"/>
        </w:rPr>
      </w:pPr>
      <w:r w:rsidRPr="00890F11">
        <w:rPr>
          <w:rFonts w:eastAsia="MS Mincho"/>
          <w:szCs w:val="18"/>
          <w:lang w:val="es-ES" w:eastAsia="ja-JP"/>
        </w:rPr>
        <w:t>SPEA - Sociedade Portuguesa para o Estudo das Aves (BirdLife Portugal)</w:t>
      </w:r>
    </w:p>
    <w:p w14:paraId="734B105C"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SPNI - Society for the Protection of Nature in Israel (BirdLife Israel)</w:t>
      </w:r>
    </w:p>
    <w:p w14:paraId="21BF9C79"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SPNL - Society for the Protection of Nature in Lebanon (BirdLife Lebanon)</w:t>
      </w:r>
    </w:p>
    <w:p w14:paraId="4EE29BF5"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SSCW - Syrian Society for Conservation of Wildlife (BirdLife Syria)</w:t>
      </w:r>
    </w:p>
    <w:p w14:paraId="6685E336"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USPB - Ukrainian Society for the Protection of Birds(BirdLife Ukraine)</w:t>
      </w:r>
    </w:p>
    <w:p w14:paraId="396A8D52"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WABDaB – West African Bird Database</w:t>
      </w:r>
    </w:p>
    <w:p w14:paraId="47BC628C" w14:textId="77777777" w:rsidR="00C96521" w:rsidRPr="00C96521" w:rsidRDefault="00C96521" w:rsidP="00C96521">
      <w:pPr>
        <w:widowControl/>
        <w:autoSpaceDE/>
        <w:autoSpaceDN/>
        <w:adjustRightInd/>
        <w:spacing w:line="276" w:lineRule="auto"/>
        <w:ind w:left="360" w:hangingChars="200" w:hanging="360"/>
        <w:rPr>
          <w:rFonts w:eastAsia="MS Mincho"/>
          <w:szCs w:val="18"/>
          <w:lang w:val="en-GB" w:eastAsia="ja-JP"/>
        </w:rPr>
      </w:pPr>
      <w:r w:rsidRPr="00C96521">
        <w:rPr>
          <w:rFonts w:eastAsia="MS Mincho"/>
          <w:szCs w:val="18"/>
          <w:lang w:val="en-GB" w:eastAsia="ja-JP"/>
        </w:rPr>
        <w:t>WABSA - West African Bird Study Association</w:t>
      </w:r>
    </w:p>
    <w:p w14:paraId="211D73F2" w14:textId="77777777" w:rsidR="00C96521" w:rsidRPr="00C96521" w:rsidRDefault="00C96521" w:rsidP="00C96521">
      <w:pPr>
        <w:widowControl/>
        <w:autoSpaceDE/>
        <w:autoSpaceDN/>
        <w:adjustRightInd/>
        <w:spacing w:line="276" w:lineRule="auto"/>
        <w:rPr>
          <w:rFonts w:eastAsia="MS Mincho"/>
          <w:szCs w:val="18"/>
          <w:lang w:val="en-GB" w:eastAsia="ja-JP"/>
        </w:rPr>
      </w:pPr>
      <w:r w:rsidRPr="00C96521">
        <w:rPr>
          <w:rFonts w:eastAsia="MS Mincho"/>
          <w:szCs w:val="18"/>
          <w:lang w:val="en-GB" w:eastAsia="ja-JP"/>
        </w:rPr>
        <w:t>WBRU - Wild Birds Regulation Unit, Government of Malta</w:t>
      </w:r>
    </w:p>
    <w:p w14:paraId="01F5D1A7" w14:textId="77777777" w:rsidR="00C96521" w:rsidRPr="00C96521" w:rsidRDefault="00C96521" w:rsidP="00C96521">
      <w:pPr>
        <w:widowControl/>
        <w:autoSpaceDE/>
        <w:autoSpaceDN/>
        <w:adjustRightInd/>
        <w:spacing w:line="276" w:lineRule="auto"/>
        <w:rPr>
          <w:rFonts w:eastAsia="MS Mincho"/>
          <w:sz w:val="20"/>
          <w:szCs w:val="22"/>
          <w:lang w:val="en-GB" w:eastAsia="ja-JP"/>
        </w:rPr>
      </w:pPr>
      <w:r w:rsidRPr="00C96521">
        <w:rPr>
          <w:rFonts w:eastAsia="MS Mincho"/>
          <w:sz w:val="20"/>
          <w:szCs w:val="22"/>
          <w:lang w:val="en-GB" w:eastAsia="ja-JP"/>
        </w:rPr>
        <w:br w:type="page"/>
      </w:r>
    </w:p>
    <w:p w14:paraId="4E7892C3" w14:textId="0C68FF75" w:rsidR="00C96521" w:rsidRPr="00C96521" w:rsidRDefault="00C96521" w:rsidP="00C96521">
      <w:pPr>
        <w:keepNext/>
        <w:keepLines/>
        <w:widowControl/>
        <w:autoSpaceDE/>
        <w:autoSpaceDN/>
        <w:adjustRightInd/>
        <w:spacing w:before="480" w:line="276" w:lineRule="auto"/>
        <w:outlineLvl w:val="0"/>
        <w:rPr>
          <w:rFonts w:eastAsia="MS Gothic"/>
          <w:b/>
          <w:bCs/>
          <w:color w:val="365F91"/>
          <w:sz w:val="32"/>
          <w:szCs w:val="28"/>
          <w:lang w:val="en-GB" w:eastAsia="ja-JP"/>
        </w:rPr>
      </w:pPr>
      <w:bookmarkStart w:id="41" w:name="_Toc469140858"/>
      <w:bookmarkStart w:id="42" w:name="_Toc478646926"/>
      <w:r w:rsidRPr="00C96521">
        <w:rPr>
          <w:rFonts w:eastAsia="MS Gothic"/>
          <w:b/>
          <w:bCs/>
          <w:color w:val="365F91"/>
          <w:sz w:val="32"/>
          <w:szCs w:val="28"/>
          <w:lang w:val="en-GB" w:eastAsia="ja-JP"/>
        </w:rPr>
        <w:lastRenderedPageBreak/>
        <w:t xml:space="preserve">Annex 7 - </w:t>
      </w:r>
      <w:bookmarkEnd w:id="41"/>
      <w:r w:rsidRPr="00C96521">
        <w:rPr>
          <w:rFonts w:eastAsia="MS Gothic"/>
          <w:b/>
          <w:bCs/>
          <w:color w:val="365F91"/>
          <w:sz w:val="32"/>
          <w:szCs w:val="28"/>
          <w:lang w:val="en-GB" w:eastAsia="ja-JP"/>
        </w:rPr>
        <w:t xml:space="preserve">EUROPEAN </w:t>
      </w:r>
      <w:r w:rsidR="00526B63">
        <w:rPr>
          <w:rFonts w:eastAsia="MS Gothic"/>
          <w:b/>
          <w:bCs/>
          <w:color w:val="365F91"/>
          <w:sz w:val="32"/>
          <w:szCs w:val="28"/>
          <w:lang w:val="en-GB" w:eastAsia="ja-JP"/>
        </w:rPr>
        <w:t xml:space="preserve">UNION </w:t>
      </w:r>
      <w:r w:rsidRPr="00C96521">
        <w:rPr>
          <w:rFonts w:eastAsia="MS Gothic"/>
          <w:b/>
          <w:bCs/>
          <w:color w:val="365F91"/>
          <w:sz w:val="32"/>
          <w:szCs w:val="28"/>
          <w:lang w:val="en-GB" w:eastAsia="ja-JP"/>
        </w:rPr>
        <w:t>MEMBER STATES CODES</w:t>
      </w:r>
      <w:bookmarkEnd w:id="42"/>
    </w:p>
    <w:p w14:paraId="02A32B4C" w14:textId="77777777" w:rsidR="00C96521" w:rsidRPr="00C96521" w:rsidRDefault="00C96521" w:rsidP="00C96521">
      <w:pPr>
        <w:widowControl/>
        <w:autoSpaceDE/>
        <w:autoSpaceDN/>
        <w:adjustRightInd/>
        <w:spacing w:line="276" w:lineRule="auto"/>
        <w:rPr>
          <w:rFonts w:eastAsia="MS Mincho"/>
          <w:sz w:val="20"/>
          <w:szCs w:val="22"/>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58"/>
        <w:gridCol w:w="1810"/>
        <w:gridCol w:w="4697"/>
      </w:tblGrid>
      <w:tr w:rsidR="00C96521" w:rsidRPr="005D4262" w14:paraId="1AE98390" w14:textId="77777777" w:rsidTr="00C96521">
        <w:trPr>
          <w:trHeight w:val="220"/>
        </w:trPr>
        <w:tc>
          <w:tcPr>
            <w:tcW w:w="959" w:type="dxa"/>
          </w:tcPr>
          <w:p w14:paraId="48C0AEA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AT</w:t>
            </w:r>
          </w:p>
        </w:tc>
        <w:tc>
          <w:tcPr>
            <w:tcW w:w="1701" w:type="dxa"/>
          </w:tcPr>
          <w:p w14:paraId="22F9A87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Austria</w:t>
            </w:r>
          </w:p>
        </w:tc>
        <w:tc>
          <w:tcPr>
            <w:tcW w:w="1843" w:type="dxa"/>
          </w:tcPr>
          <w:p w14:paraId="5EC0E5F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Österreich</w:t>
            </w:r>
          </w:p>
        </w:tc>
        <w:tc>
          <w:tcPr>
            <w:tcW w:w="5033" w:type="dxa"/>
          </w:tcPr>
          <w:p w14:paraId="29436E4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Austria</w:t>
            </w:r>
          </w:p>
        </w:tc>
      </w:tr>
      <w:tr w:rsidR="00C96521" w:rsidRPr="005D4262" w14:paraId="0F9299C0" w14:textId="77777777" w:rsidTr="00C96521">
        <w:tc>
          <w:tcPr>
            <w:tcW w:w="959" w:type="dxa"/>
          </w:tcPr>
          <w:p w14:paraId="0B68FDE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BE</w:t>
            </w:r>
          </w:p>
        </w:tc>
        <w:tc>
          <w:tcPr>
            <w:tcW w:w="1701" w:type="dxa"/>
          </w:tcPr>
          <w:p w14:paraId="55E0A76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Belgium</w:t>
            </w:r>
          </w:p>
        </w:tc>
        <w:tc>
          <w:tcPr>
            <w:tcW w:w="1843" w:type="dxa"/>
          </w:tcPr>
          <w:p w14:paraId="2682441A"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Belgique/België</w:t>
            </w:r>
          </w:p>
        </w:tc>
        <w:tc>
          <w:tcPr>
            <w:tcW w:w="5033" w:type="dxa"/>
          </w:tcPr>
          <w:p w14:paraId="6E7B69B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Kingdom of Belgium</w:t>
            </w:r>
          </w:p>
        </w:tc>
      </w:tr>
      <w:tr w:rsidR="00C96521" w:rsidRPr="005D4262" w14:paraId="575B3557" w14:textId="77777777" w:rsidTr="00C96521">
        <w:tc>
          <w:tcPr>
            <w:tcW w:w="959" w:type="dxa"/>
          </w:tcPr>
          <w:p w14:paraId="0621045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BG</w:t>
            </w:r>
          </w:p>
        </w:tc>
        <w:tc>
          <w:tcPr>
            <w:tcW w:w="1701" w:type="dxa"/>
          </w:tcPr>
          <w:p w14:paraId="3BB029D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Bulgaria</w:t>
            </w:r>
          </w:p>
        </w:tc>
        <w:tc>
          <w:tcPr>
            <w:tcW w:w="1843" w:type="dxa"/>
          </w:tcPr>
          <w:p w14:paraId="7040F0D8"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България</w:t>
            </w:r>
          </w:p>
        </w:tc>
        <w:tc>
          <w:tcPr>
            <w:tcW w:w="5033" w:type="dxa"/>
          </w:tcPr>
          <w:p w14:paraId="066477F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Bulgaria</w:t>
            </w:r>
          </w:p>
        </w:tc>
      </w:tr>
      <w:tr w:rsidR="00C96521" w:rsidRPr="005D4262" w14:paraId="015D483F" w14:textId="77777777" w:rsidTr="00C96521">
        <w:tc>
          <w:tcPr>
            <w:tcW w:w="959" w:type="dxa"/>
          </w:tcPr>
          <w:p w14:paraId="611A390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CY</w:t>
            </w:r>
          </w:p>
        </w:tc>
        <w:tc>
          <w:tcPr>
            <w:tcW w:w="1701" w:type="dxa"/>
          </w:tcPr>
          <w:p w14:paraId="460B778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Cyprus</w:t>
            </w:r>
          </w:p>
        </w:tc>
        <w:tc>
          <w:tcPr>
            <w:tcW w:w="1843" w:type="dxa"/>
          </w:tcPr>
          <w:p w14:paraId="40F5145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Κύπρος</w:t>
            </w:r>
          </w:p>
        </w:tc>
        <w:tc>
          <w:tcPr>
            <w:tcW w:w="5033" w:type="dxa"/>
          </w:tcPr>
          <w:p w14:paraId="1519299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Cyprus</w:t>
            </w:r>
          </w:p>
        </w:tc>
      </w:tr>
      <w:tr w:rsidR="00C96521" w:rsidRPr="005D4262" w14:paraId="41642A3D" w14:textId="77777777" w:rsidTr="00C96521">
        <w:tc>
          <w:tcPr>
            <w:tcW w:w="959" w:type="dxa"/>
          </w:tcPr>
          <w:p w14:paraId="72A949D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CZ</w:t>
            </w:r>
          </w:p>
        </w:tc>
        <w:tc>
          <w:tcPr>
            <w:tcW w:w="1701" w:type="dxa"/>
          </w:tcPr>
          <w:p w14:paraId="6381A1DA"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Czech Republic</w:t>
            </w:r>
          </w:p>
        </w:tc>
        <w:tc>
          <w:tcPr>
            <w:tcW w:w="1843" w:type="dxa"/>
          </w:tcPr>
          <w:p w14:paraId="7F2B262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Česká republika</w:t>
            </w:r>
          </w:p>
        </w:tc>
        <w:tc>
          <w:tcPr>
            <w:tcW w:w="5033" w:type="dxa"/>
          </w:tcPr>
          <w:p w14:paraId="3563669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Czech Republic</w:t>
            </w:r>
          </w:p>
        </w:tc>
      </w:tr>
      <w:tr w:rsidR="00C96521" w:rsidRPr="005D4262" w14:paraId="571BB414" w14:textId="77777777" w:rsidTr="00C96521">
        <w:tc>
          <w:tcPr>
            <w:tcW w:w="959" w:type="dxa"/>
          </w:tcPr>
          <w:p w14:paraId="3AB54F8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DE</w:t>
            </w:r>
          </w:p>
        </w:tc>
        <w:tc>
          <w:tcPr>
            <w:tcW w:w="1701" w:type="dxa"/>
          </w:tcPr>
          <w:p w14:paraId="58B816E6"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Germany</w:t>
            </w:r>
          </w:p>
        </w:tc>
        <w:tc>
          <w:tcPr>
            <w:tcW w:w="1843" w:type="dxa"/>
          </w:tcPr>
          <w:p w14:paraId="29536C3E"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Deutschland</w:t>
            </w:r>
          </w:p>
        </w:tc>
        <w:tc>
          <w:tcPr>
            <w:tcW w:w="5033" w:type="dxa"/>
          </w:tcPr>
          <w:p w14:paraId="006C559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Federal Republic of Germany</w:t>
            </w:r>
          </w:p>
        </w:tc>
      </w:tr>
      <w:tr w:rsidR="00C96521" w:rsidRPr="005D4262" w14:paraId="2DF4DA1C" w14:textId="77777777" w:rsidTr="00C96521">
        <w:tc>
          <w:tcPr>
            <w:tcW w:w="959" w:type="dxa"/>
          </w:tcPr>
          <w:p w14:paraId="5CD84EA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DK</w:t>
            </w:r>
          </w:p>
        </w:tc>
        <w:tc>
          <w:tcPr>
            <w:tcW w:w="1701" w:type="dxa"/>
          </w:tcPr>
          <w:p w14:paraId="714DB3AE"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Denmark</w:t>
            </w:r>
          </w:p>
        </w:tc>
        <w:tc>
          <w:tcPr>
            <w:tcW w:w="1843" w:type="dxa"/>
          </w:tcPr>
          <w:p w14:paraId="4CF30CB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Danmark</w:t>
            </w:r>
          </w:p>
        </w:tc>
        <w:tc>
          <w:tcPr>
            <w:tcW w:w="5033" w:type="dxa"/>
          </w:tcPr>
          <w:p w14:paraId="233B1DD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Kingdom of Denmark</w:t>
            </w:r>
          </w:p>
        </w:tc>
      </w:tr>
      <w:tr w:rsidR="00C96521" w:rsidRPr="005D4262" w14:paraId="35D6510B" w14:textId="77777777" w:rsidTr="00C96521">
        <w:tc>
          <w:tcPr>
            <w:tcW w:w="959" w:type="dxa"/>
          </w:tcPr>
          <w:p w14:paraId="25603A9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EE</w:t>
            </w:r>
          </w:p>
        </w:tc>
        <w:tc>
          <w:tcPr>
            <w:tcW w:w="1701" w:type="dxa"/>
          </w:tcPr>
          <w:p w14:paraId="77B390B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Estonia</w:t>
            </w:r>
          </w:p>
        </w:tc>
        <w:tc>
          <w:tcPr>
            <w:tcW w:w="1843" w:type="dxa"/>
          </w:tcPr>
          <w:p w14:paraId="3EC36D4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Eesti</w:t>
            </w:r>
          </w:p>
        </w:tc>
        <w:tc>
          <w:tcPr>
            <w:tcW w:w="5033" w:type="dxa"/>
          </w:tcPr>
          <w:p w14:paraId="6A43606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Estonia</w:t>
            </w:r>
          </w:p>
        </w:tc>
      </w:tr>
      <w:tr w:rsidR="00C96521" w:rsidRPr="005D4262" w14:paraId="73E5666C" w14:textId="77777777" w:rsidTr="00C96521">
        <w:tc>
          <w:tcPr>
            <w:tcW w:w="959" w:type="dxa"/>
          </w:tcPr>
          <w:p w14:paraId="79EFF5F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EL</w:t>
            </w:r>
          </w:p>
        </w:tc>
        <w:tc>
          <w:tcPr>
            <w:tcW w:w="1701" w:type="dxa"/>
          </w:tcPr>
          <w:p w14:paraId="05BC4FA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Greece</w:t>
            </w:r>
          </w:p>
        </w:tc>
        <w:tc>
          <w:tcPr>
            <w:tcW w:w="1843" w:type="dxa"/>
          </w:tcPr>
          <w:p w14:paraId="2447F58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Ελλάδα</w:t>
            </w:r>
          </w:p>
        </w:tc>
        <w:tc>
          <w:tcPr>
            <w:tcW w:w="5033" w:type="dxa"/>
          </w:tcPr>
          <w:p w14:paraId="77A4448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Hellenic Republic</w:t>
            </w:r>
          </w:p>
        </w:tc>
      </w:tr>
      <w:tr w:rsidR="00C96521" w:rsidRPr="005D4262" w14:paraId="4142A2BD" w14:textId="77777777" w:rsidTr="00C96521">
        <w:tc>
          <w:tcPr>
            <w:tcW w:w="959" w:type="dxa"/>
          </w:tcPr>
          <w:p w14:paraId="429741C8"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ES</w:t>
            </w:r>
          </w:p>
        </w:tc>
        <w:tc>
          <w:tcPr>
            <w:tcW w:w="1701" w:type="dxa"/>
          </w:tcPr>
          <w:p w14:paraId="3FC37BE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Spain</w:t>
            </w:r>
          </w:p>
        </w:tc>
        <w:tc>
          <w:tcPr>
            <w:tcW w:w="1843" w:type="dxa"/>
          </w:tcPr>
          <w:p w14:paraId="4976575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España</w:t>
            </w:r>
          </w:p>
        </w:tc>
        <w:tc>
          <w:tcPr>
            <w:tcW w:w="5033" w:type="dxa"/>
          </w:tcPr>
          <w:p w14:paraId="5C01847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Kingdom of Spain</w:t>
            </w:r>
          </w:p>
        </w:tc>
      </w:tr>
      <w:tr w:rsidR="00C96521" w:rsidRPr="005D4262" w14:paraId="5E6B0DBC" w14:textId="77777777" w:rsidTr="00C96521">
        <w:tc>
          <w:tcPr>
            <w:tcW w:w="959" w:type="dxa"/>
          </w:tcPr>
          <w:p w14:paraId="346A15A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FI</w:t>
            </w:r>
          </w:p>
        </w:tc>
        <w:tc>
          <w:tcPr>
            <w:tcW w:w="1701" w:type="dxa"/>
          </w:tcPr>
          <w:p w14:paraId="64CCD40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Finland</w:t>
            </w:r>
          </w:p>
        </w:tc>
        <w:tc>
          <w:tcPr>
            <w:tcW w:w="1843" w:type="dxa"/>
          </w:tcPr>
          <w:p w14:paraId="20EFB54A"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Suomi/Finland</w:t>
            </w:r>
          </w:p>
        </w:tc>
        <w:tc>
          <w:tcPr>
            <w:tcW w:w="5033" w:type="dxa"/>
          </w:tcPr>
          <w:p w14:paraId="270AA51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Finland</w:t>
            </w:r>
          </w:p>
        </w:tc>
      </w:tr>
      <w:tr w:rsidR="00C96521" w:rsidRPr="005D4262" w14:paraId="2CB498F4" w14:textId="77777777" w:rsidTr="00C96521">
        <w:tc>
          <w:tcPr>
            <w:tcW w:w="959" w:type="dxa"/>
          </w:tcPr>
          <w:p w14:paraId="4BFAC49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FR</w:t>
            </w:r>
          </w:p>
        </w:tc>
        <w:tc>
          <w:tcPr>
            <w:tcW w:w="1701" w:type="dxa"/>
          </w:tcPr>
          <w:p w14:paraId="6E5549F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France</w:t>
            </w:r>
          </w:p>
        </w:tc>
        <w:tc>
          <w:tcPr>
            <w:tcW w:w="1843" w:type="dxa"/>
          </w:tcPr>
          <w:p w14:paraId="5902A85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France</w:t>
            </w:r>
          </w:p>
        </w:tc>
        <w:tc>
          <w:tcPr>
            <w:tcW w:w="5033" w:type="dxa"/>
          </w:tcPr>
          <w:p w14:paraId="56022E3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French Republic</w:t>
            </w:r>
          </w:p>
        </w:tc>
      </w:tr>
      <w:tr w:rsidR="00C96521" w:rsidRPr="005D4262" w14:paraId="34A23FC8" w14:textId="77777777" w:rsidTr="00C96521">
        <w:tc>
          <w:tcPr>
            <w:tcW w:w="959" w:type="dxa"/>
          </w:tcPr>
          <w:p w14:paraId="275C845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HR</w:t>
            </w:r>
          </w:p>
        </w:tc>
        <w:tc>
          <w:tcPr>
            <w:tcW w:w="1701" w:type="dxa"/>
          </w:tcPr>
          <w:p w14:paraId="234E8E5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Croatia</w:t>
            </w:r>
          </w:p>
        </w:tc>
        <w:tc>
          <w:tcPr>
            <w:tcW w:w="1843" w:type="dxa"/>
          </w:tcPr>
          <w:p w14:paraId="17B7A66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Hrvatska</w:t>
            </w:r>
          </w:p>
        </w:tc>
        <w:tc>
          <w:tcPr>
            <w:tcW w:w="5033" w:type="dxa"/>
          </w:tcPr>
          <w:p w14:paraId="7B778E7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Croatia</w:t>
            </w:r>
          </w:p>
        </w:tc>
      </w:tr>
      <w:tr w:rsidR="00C96521" w:rsidRPr="005D4262" w14:paraId="58D852DC" w14:textId="77777777" w:rsidTr="00C96521">
        <w:tc>
          <w:tcPr>
            <w:tcW w:w="959" w:type="dxa"/>
          </w:tcPr>
          <w:p w14:paraId="4F75A49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HU</w:t>
            </w:r>
          </w:p>
        </w:tc>
        <w:tc>
          <w:tcPr>
            <w:tcW w:w="1701" w:type="dxa"/>
          </w:tcPr>
          <w:p w14:paraId="6F36F80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Hungary</w:t>
            </w:r>
          </w:p>
        </w:tc>
        <w:tc>
          <w:tcPr>
            <w:tcW w:w="1843" w:type="dxa"/>
          </w:tcPr>
          <w:p w14:paraId="2AD6554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Magyarország</w:t>
            </w:r>
          </w:p>
        </w:tc>
        <w:tc>
          <w:tcPr>
            <w:tcW w:w="5033" w:type="dxa"/>
          </w:tcPr>
          <w:p w14:paraId="7B93315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Hungary</w:t>
            </w:r>
          </w:p>
        </w:tc>
      </w:tr>
      <w:tr w:rsidR="00C96521" w:rsidRPr="005D4262" w14:paraId="4DEBFACA" w14:textId="77777777" w:rsidTr="00C96521">
        <w:tc>
          <w:tcPr>
            <w:tcW w:w="959" w:type="dxa"/>
          </w:tcPr>
          <w:p w14:paraId="7DEF98C3"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IE</w:t>
            </w:r>
          </w:p>
        </w:tc>
        <w:tc>
          <w:tcPr>
            <w:tcW w:w="1701" w:type="dxa"/>
          </w:tcPr>
          <w:p w14:paraId="6BC45EA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Ireland</w:t>
            </w:r>
          </w:p>
        </w:tc>
        <w:tc>
          <w:tcPr>
            <w:tcW w:w="1843" w:type="dxa"/>
          </w:tcPr>
          <w:p w14:paraId="6771448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Éire/Ireland</w:t>
            </w:r>
          </w:p>
        </w:tc>
        <w:tc>
          <w:tcPr>
            <w:tcW w:w="5033" w:type="dxa"/>
          </w:tcPr>
          <w:p w14:paraId="7F5DD61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Ireland</w:t>
            </w:r>
          </w:p>
        </w:tc>
      </w:tr>
      <w:tr w:rsidR="00C96521" w:rsidRPr="005D4262" w14:paraId="3FE4D48B" w14:textId="77777777" w:rsidTr="00C96521">
        <w:tc>
          <w:tcPr>
            <w:tcW w:w="959" w:type="dxa"/>
          </w:tcPr>
          <w:p w14:paraId="7100F2B8"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IT</w:t>
            </w:r>
          </w:p>
        </w:tc>
        <w:tc>
          <w:tcPr>
            <w:tcW w:w="1701" w:type="dxa"/>
          </w:tcPr>
          <w:p w14:paraId="4C6C66C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Italy</w:t>
            </w:r>
          </w:p>
        </w:tc>
        <w:tc>
          <w:tcPr>
            <w:tcW w:w="1843" w:type="dxa"/>
          </w:tcPr>
          <w:p w14:paraId="75B04D9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Italia</w:t>
            </w:r>
          </w:p>
        </w:tc>
        <w:tc>
          <w:tcPr>
            <w:tcW w:w="5033" w:type="dxa"/>
          </w:tcPr>
          <w:p w14:paraId="079D7D8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Italian Republic</w:t>
            </w:r>
          </w:p>
        </w:tc>
      </w:tr>
      <w:tr w:rsidR="00C96521" w:rsidRPr="005D4262" w14:paraId="5818CEAD" w14:textId="77777777" w:rsidTr="00C96521">
        <w:tc>
          <w:tcPr>
            <w:tcW w:w="959" w:type="dxa"/>
          </w:tcPr>
          <w:p w14:paraId="48BABD0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LT</w:t>
            </w:r>
          </w:p>
        </w:tc>
        <w:tc>
          <w:tcPr>
            <w:tcW w:w="1701" w:type="dxa"/>
          </w:tcPr>
          <w:p w14:paraId="3EF36C6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Lithuania</w:t>
            </w:r>
          </w:p>
        </w:tc>
        <w:tc>
          <w:tcPr>
            <w:tcW w:w="1843" w:type="dxa"/>
          </w:tcPr>
          <w:p w14:paraId="1B9336C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Lietuva</w:t>
            </w:r>
          </w:p>
        </w:tc>
        <w:tc>
          <w:tcPr>
            <w:tcW w:w="5033" w:type="dxa"/>
          </w:tcPr>
          <w:p w14:paraId="79A8B446"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Lithuania</w:t>
            </w:r>
          </w:p>
        </w:tc>
      </w:tr>
      <w:tr w:rsidR="00C96521" w:rsidRPr="005D4262" w14:paraId="30655F64" w14:textId="77777777" w:rsidTr="00C96521">
        <w:tc>
          <w:tcPr>
            <w:tcW w:w="959" w:type="dxa"/>
          </w:tcPr>
          <w:p w14:paraId="4ABD966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LU</w:t>
            </w:r>
          </w:p>
        </w:tc>
        <w:tc>
          <w:tcPr>
            <w:tcW w:w="1701" w:type="dxa"/>
          </w:tcPr>
          <w:p w14:paraId="663F687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Luxembourg</w:t>
            </w:r>
          </w:p>
        </w:tc>
        <w:tc>
          <w:tcPr>
            <w:tcW w:w="1843" w:type="dxa"/>
          </w:tcPr>
          <w:p w14:paraId="2997C43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Luxembourg</w:t>
            </w:r>
          </w:p>
        </w:tc>
        <w:tc>
          <w:tcPr>
            <w:tcW w:w="5033" w:type="dxa"/>
          </w:tcPr>
          <w:p w14:paraId="3E507A0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Grand Duchy of Luxembourg</w:t>
            </w:r>
          </w:p>
        </w:tc>
      </w:tr>
      <w:tr w:rsidR="00C96521" w:rsidRPr="005D4262" w14:paraId="6D2D3EAD" w14:textId="77777777" w:rsidTr="00C96521">
        <w:tc>
          <w:tcPr>
            <w:tcW w:w="959" w:type="dxa"/>
          </w:tcPr>
          <w:p w14:paraId="3C094FC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LV</w:t>
            </w:r>
          </w:p>
        </w:tc>
        <w:tc>
          <w:tcPr>
            <w:tcW w:w="1701" w:type="dxa"/>
          </w:tcPr>
          <w:p w14:paraId="4C47487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Latvia</w:t>
            </w:r>
          </w:p>
        </w:tc>
        <w:tc>
          <w:tcPr>
            <w:tcW w:w="1843" w:type="dxa"/>
          </w:tcPr>
          <w:p w14:paraId="65B39A4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Latvija</w:t>
            </w:r>
          </w:p>
        </w:tc>
        <w:tc>
          <w:tcPr>
            <w:tcW w:w="5033" w:type="dxa"/>
          </w:tcPr>
          <w:p w14:paraId="36336818"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Latvia</w:t>
            </w:r>
          </w:p>
        </w:tc>
      </w:tr>
      <w:tr w:rsidR="00C96521" w:rsidRPr="005D4262" w14:paraId="42F94957" w14:textId="77777777" w:rsidTr="00C96521">
        <w:tc>
          <w:tcPr>
            <w:tcW w:w="959" w:type="dxa"/>
          </w:tcPr>
          <w:p w14:paraId="7BCA6A8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MT</w:t>
            </w:r>
          </w:p>
        </w:tc>
        <w:tc>
          <w:tcPr>
            <w:tcW w:w="1701" w:type="dxa"/>
          </w:tcPr>
          <w:p w14:paraId="1F64DA3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Malta</w:t>
            </w:r>
          </w:p>
        </w:tc>
        <w:tc>
          <w:tcPr>
            <w:tcW w:w="1843" w:type="dxa"/>
          </w:tcPr>
          <w:p w14:paraId="7B14337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Malta</w:t>
            </w:r>
          </w:p>
        </w:tc>
        <w:tc>
          <w:tcPr>
            <w:tcW w:w="5033" w:type="dxa"/>
          </w:tcPr>
          <w:p w14:paraId="5108358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Malta</w:t>
            </w:r>
          </w:p>
        </w:tc>
      </w:tr>
      <w:tr w:rsidR="00C96521" w:rsidRPr="005D4262" w14:paraId="4E692870" w14:textId="77777777" w:rsidTr="00C96521">
        <w:tc>
          <w:tcPr>
            <w:tcW w:w="959" w:type="dxa"/>
          </w:tcPr>
          <w:p w14:paraId="707F6046"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NL</w:t>
            </w:r>
          </w:p>
        </w:tc>
        <w:tc>
          <w:tcPr>
            <w:tcW w:w="1701" w:type="dxa"/>
          </w:tcPr>
          <w:p w14:paraId="619D5D2E"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Netherlands</w:t>
            </w:r>
          </w:p>
        </w:tc>
        <w:tc>
          <w:tcPr>
            <w:tcW w:w="1843" w:type="dxa"/>
          </w:tcPr>
          <w:p w14:paraId="6D0CA25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Nederland</w:t>
            </w:r>
          </w:p>
        </w:tc>
        <w:tc>
          <w:tcPr>
            <w:tcW w:w="5033" w:type="dxa"/>
          </w:tcPr>
          <w:p w14:paraId="18BE0F9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Kingdom of the Netherlands</w:t>
            </w:r>
          </w:p>
        </w:tc>
      </w:tr>
      <w:tr w:rsidR="00C96521" w:rsidRPr="005D4262" w14:paraId="7D37A171" w14:textId="77777777" w:rsidTr="00C96521">
        <w:tc>
          <w:tcPr>
            <w:tcW w:w="959" w:type="dxa"/>
          </w:tcPr>
          <w:p w14:paraId="334131F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PL</w:t>
            </w:r>
          </w:p>
        </w:tc>
        <w:tc>
          <w:tcPr>
            <w:tcW w:w="1701" w:type="dxa"/>
          </w:tcPr>
          <w:p w14:paraId="6725E1E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Poland</w:t>
            </w:r>
          </w:p>
        </w:tc>
        <w:tc>
          <w:tcPr>
            <w:tcW w:w="1843" w:type="dxa"/>
          </w:tcPr>
          <w:p w14:paraId="33588F0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Polska</w:t>
            </w:r>
          </w:p>
        </w:tc>
        <w:tc>
          <w:tcPr>
            <w:tcW w:w="5033" w:type="dxa"/>
          </w:tcPr>
          <w:p w14:paraId="67748C4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Poland</w:t>
            </w:r>
          </w:p>
        </w:tc>
      </w:tr>
      <w:tr w:rsidR="00C96521" w:rsidRPr="005D4262" w14:paraId="0F89A3DE" w14:textId="77777777" w:rsidTr="00C96521">
        <w:tc>
          <w:tcPr>
            <w:tcW w:w="959" w:type="dxa"/>
          </w:tcPr>
          <w:p w14:paraId="5A3957B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PT</w:t>
            </w:r>
          </w:p>
        </w:tc>
        <w:tc>
          <w:tcPr>
            <w:tcW w:w="1701" w:type="dxa"/>
          </w:tcPr>
          <w:p w14:paraId="64E72ECB"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Portugal</w:t>
            </w:r>
          </w:p>
        </w:tc>
        <w:tc>
          <w:tcPr>
            <w:tcW w:w="1843" w:type="dxa"/>
          </w:tcPr>
          <w:p w14:paraId="13FB12BE"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Portugal</w:t>
            </w:r>
          </w:p>
        </w:tc>
        <w:tc>
          <w:tcPr>
            <w:tcW w:w="5033" w:type="dxa"/>
          </w:tcPr>
          <w:p w14:paraId="220AB33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Portuguese Republic</w:t>
            </w:r>
          </w:p>
        </w:tc>
      </w:tr>
      <w:tr w:rsidR="00C96521" w:rsidRPr="005D4262" w14:paraId="5C15D3F3" w14:textId="77777777" w:rsidTr="00C96521">
        <w:tc>
          <w:tcPr>
            <w:tcW w:w="959" w:type="dxa"/>
          </w:tcPr>
          <w:p w14:paraId="2E60243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RO</w:t>
            </w:r>
          </w:p>
        </w:tc>
        <w:tc>
          <w:tcPr>
            <w:tcW w:w="1701" w:type="dxa"/>
          </w:tcPr>
          <w:p w14:paraId="3959032E"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Romania</w:t>
            </w:r>
          </w:p>
        </w:tc>
        <w:tc>
          <w:tcPr>
            <w:tcW w:w="1843" w:type="dxa"/>
          </w:tcPr>
          <w:p w14:paraId="26DBC8F7"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România</w:t>
            </w:r>
          </w:p>
        </w:tc>
        <w:tc>
          <w:tcPr>
            <w:tcW w:w="5033" w:type="dxa"/>
          </w:tcPr>
          <w:p w14:paraId="58B9699F"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Romania</w:t>
            </w:r>
          </w:p>
        </w:tc>
      </w:tr>
      <w:tr w:rsidR="00C96521" w:rsidRPr="005D4262" w14:paraId="7A15B9E3" w14:textId="77777777" w:rsidTr="00C96521">
        <w:tc>
          <w:tcPr>
            <w:tcW w:w="959" w:type="dxa"/>
          </w:tcPr>
          <w:p w14:paraId="4C70ED4A"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SE</w:t>
            </w:r>
          </w:p>
        </w:tc>
        <w:tc>
          <w:tcPr>
            <w:tcW w:w="1701" w:type="dxa"/>
          </w:tcPr>
          <w:p w14:paraId="234C0BD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Sweden</w:t>
            </w:r>
          </w:p>
        </w:tc>
        <w:tc>
          <w:tcPr>
            <w:tcW w:w="1843" w:type="dxa"/>
          </w:tcPr>
          <w:p w14:paraId="376E4C4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Sverige</w:t>
            </w:r>
          </w:p>
        </w:tc>
        <w:tc>
          <w:tcPr>
            <w:tcW w:w="5033" w:type="dxa"/>
          </w:tcPr>
          <w:p w14:paraId="1D70591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Kingdom of Sweden</w:t>
            </w:r>
          </w:p>
        </w:tc>
      </w:tr>
      <w:tr w:rsidR="00C96521" w:rsidRPr="005D4262" w14:paraId="3ED76C50" w14:textId="77777777" w:rsidTr="00C96521">
        <w:tc>
          <w:tcPr>
            <w:tcW w:w="959" w:type="dxa"/>
          </w:tcPr>
          <w:p w14:paraId="2E893C1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SI</w:t>
            </w:r>
          </w:p>
        </w:tc>
        <w:tc>
          <w:tcPr>
            <w:tcW w:w="1701" w:type="dxa"/>
          </w:tcPr>
          <w:p w14:paraId="61D222BA"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Slovenia</w:t>
            </w:r>
          </w:p>
        </w:tc>
        <w:tc>
          <w:tcPr>
            <w:tcW w:w="1843" w:type="dxa"/>
          </w:tcPr>
          <w:p w14:paraId="558B2F82"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Slovenija</w:t>
            </w:r>
          </w:p>
        </w:tc>
        <w:tc>
          <w:tcPr>
            <w:tcW w:w="5033" w:type="dxa"/>
          </w:tcPr>
          <w:p w14:paraId="57AA645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Republic of Slovenia</w:t>
            </w:r>
          </w:p>
        </w:tc>
      </w:tr>
      <w:tr w:rsidR="00C96521" w:rsidRPr="005D4262" w14:paraId="42CC7A2F" w14:textId="77777777" w:rsidTr="00C96521">
        <w:tc>
          <w:tcPr>
            <w:tcW w:w="959" w:type="dxa"/>
          </w:tcPr>
          <w:p w14:paraId="696320B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SK</w:t>
            </w:r>
          </w:p>
        </w:tc>
        <w:tc>
          <w:tcPr>
            <w:tcW w:w="1701" w:type="dxa"/>
          </w:tcPr>
          <w:p w14:paraId="1AE9E1CC"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Slovakia</w:t>
            </w:r>
          </w:p>
        </w:tc>
        <w:tc>
          <w:tcPr>
            <w:tcW w:w="1843" w:type="dxa"/>
          </w:tcPr>
          <w:p w14:paraId="19880B21"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Slovensko</w:t>
            </w:r>
          </w:p>
        </w:tc>
        <w:tc>
          <w:tcPr>
            <w:tcW w:w="5033" w:type="dxa"/>
          </w:tcPr>
          <w:p w14:paraId="131FB76D"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Slovak Republic</w:t>
            </w:r>
          </w:p>
        </w:tc>
      </w:tr>
      <w:tr w:rsidR="00C96521" w:rsidRPr="005D4262" w14:paraId="28DFAF05" w14:textId="77777777" w:rsidTr="00C96521">
        <w:tc>
          <w:tcPr>
            <w:tcW w:w="959" w:type="dxa"/>
          </w:tcPr>
          <w:p w14:paraId="39782FA5"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UK</w:t>
            </w:r>
          </w:p>
        </w:tc>
        <w:tc>
          <w:tcPr>
            <w:tcW w:w="1701" w:type="dxa"/>
          </w:tcPr>
          <w:p w14:paraId="52C8AD39"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United Kingdom</w:t>
            </w:r>
          </w:p>
        </w:tc>
        <w:tc>
          <w:tcPr>
            <w:tcW w:w="1843" w:type="dxa"/>
          </w:tcPr>
          <w:p w14:paraId="77AA4D34"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United Kingdom</w:t>
            </w:r>
          </w:p>
        </w:tc>
        <w:tc>
          <w:tcPr>
            <w:tcW w:w="5033" w:type="dxa"/>
          </w:tcPr>
          <w:p w14:paraId="5B60BA80" w14:textId="77777777" w:rsidR="00C96521" w:rsidRPr="005D4262" w:rsidRDefault="00C96521" w:rsidP="00C96521">
            <w:pPr>
              <w:widowControl/>
              <w:autoSpaceDE/>
              <w:autoSpaceDN/>
              <w:adjustRightInd/>
              <w:rPr>
                <w:rFonts w:ascii="Arial" w:hAnsi="Arial" w:cs="Arial"/>
                <w:sz w:val="18"/>
                <w:szCs w:val="18"/>
                <w:lang w:val="en-GB"/>
              </w:rPr>
            </w:pPr>
            <w:r w:rsidRPr="005D4262">
              <w:rPr>
                <w:rFonts w:ascii="Arial" w:hAnsi="Arial" w:cs="Arial"/>
                <w:sz w:val="18"/>
                <w:szCs w:val="18"/>
                <w:lang w:val="en-GB"/>
              </w:rPr>
              <w:t>United Kingdom of Great Britain and Northern Ireland</w:t>
            </w:r>
          </w:p>
        </w:tc>
      </w:tr>
    </w:tbl>
    <w:p w14:paraId="284A2996"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402A2001" w14:textId="77777777" w:rsidR="00C96521" w:rsidRPr="005D4262" w:rsidRDefault="00C96521" w:rsidP="00C96521">
      <w:pPr>
        <w:widowControl/>
        <w:autoSpaceDE/>
        <w:autoSpaceDN/>
        <w:adjustRightInd/>
        <w:spacing w:line="276" w:lineRule="auto"/>
        <w:rPr>
          <w:rFonts w:eastAsia="MS Mincho" w:cs="Arial"/>
          <w:szCs w:val="18"/>
          <w:lang w:val="en-GB" w:eastAsia="ja-JP"/>
        </w:rPr>
      </w:pPr>
    </w:p>
    <w:p w14:paraId="3B9A25A0" w14:textId="0995DE48" w:rsidR="007910DD" w:rsidRPr="005D4262" w:rsidRDefault="007910DD" w:rsidP="007910DD">
      <w:pPr>
        <w:rPr>
          <w:rFonts w:cs="Arial"/>
          <w:szCs w:val="18"/>
          <w:lang w:val="en-GB"/>
        </w:rPr>
      </w:pPr>
    </w:p>
    <w:p w14:paraId="23A235FB" w14:textId="77777777" w:rsidR="007910DD" w:rsidRPr="005D4262" w:rsidRDefault="007910DD" w:rsidP="007910DD">
      <w:pPr>
        <w:ind w:left="720"/>
        <w:jc w:val="both"/>
        <w:rPr>
          <w:rFonts w:cs="Arial"/>
          <w:iCs/>
          <w:szCs w:val="18"/>
          <w:lang w:val="en-GB"/>
        </w:rPr>
      </w:pPr>
    </w:p>
    <w:p w14:paraId="20FDA345" w14:textId="77777777" w:rsidR="0079075D" w:rsidRPr="005D4262" w:rsidRDefault="0079075D" w:rsidP="007910DD">
      <w:pPr>
        <w:pStyle w:val="Heading2"/>
        <w:keepNext w:val="0"/>
        <w:ind w:left="-90" w:right="-367"/>
        <w:jc w:val="center"/>
        <w:rPr>
          <w:rFonts w:cs="Arial"/>
          <w:sz w:val="20"/>
          <w:szCs w:val="20"/>
          <w:lang w:val="en-GB"/>
        </w:rPr>
      </w:pPr>
    </w:p>
    <w:sectPr w:rsidR="0079075D" w:rsidRPr="005D4262" w:rsidSect="0052082F">
      <w:endnotePr>
        <w:numFmt w:val="decimal"/>
      </w:endnotePr>
      <w:pgSz w:w="11905" w:h="16837" w:code="9"/>
      <w:pgMar w:top="1008" w:right="1411" w:bottom="1152" w:left="1411" w:header="432" w:footer="432"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5CC43A" w14:textId="77777777" w:rsidR="00AE6297" w:rsidRDefault="00AE6297">
      <w:r>
        <w:separator/>
      </w:r>
    </w:p>
  </w:endnote>
  <w:endnote w:type="continuationSeparator" w:id="0">
    <w:p w14:paraId="09EE60F4" w14:textId="77777777" w:rsidR="00AE6297" w:rsidRDefault="00AE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dvOT46dcae81">
    <w:panose1 w:val="00000000000000000000"/>
    <w:charset w:val="00"/>
    <w:family w:val="swiss"/>
    <w:notTrueType/>
    <w:pitch w:val="default"/>
    <w:sig w:usb0="00000003" w:usb1="00000000" w:usb2="00000000" w:usb3="00000000" w:csb0="00000001" w:csb1="00000000"/>
  </w:font>
  <w:font w:name="TimesNewRoman">
    <w:altName w:val="Calibri"/>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Shell Dlg 2">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C5202" w14:textId="4A0550BF" w:rsidR="00C46CCB" w:rsidRPr="00922791" w:rsidRDefault="00C46CCB"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9213E9">
      <w:rPr>
        <w:rFonts w:cs="Arial"/>
        <w:noProof/>
        <w:szCs w:val="18"/>
      </w:rPr>
      <w:t>22</w:t>
    </w:r>
    <w:r w:rsidRPr="00922791">
      <w:rPr>
        <w:rFonts w:cs="Arial"/>
        <w:noProof/>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390D6" w14:textId="62991E22" w:rsidR="00C46CCB" w:rsidRPr="00922791" w:rsidRDefault="00C46CCB"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9213E9">
      <w:rPr>
        <w:rFonts w:cs="Arial"/>
        <w:noProof/>
        <w:szCs w:val="18"/>
      </w:rPr>
      <w:t>5</w:t>
    </w:r>
    <w:r w:rsidRPr="00922791">
      <w:rPr>
        <w:rFonts w:cs="Arial"/>
        <w:noProof/>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E2426" w14:textId="77777777" w:rsidR="00C46CCB" w:rsidRPr="00CD7355" w:rsidRDefault="00C46CCB" w:rsidP="00015E07">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19F4C0" w14:textId="7808B7C4" w:rsidR="00C46CCB" w:rsidRPr="00D605A4" w:rsidRDefault="00C46CCB" w:rsidP="00015E07">
    <w:pPr>
      <w:pStyle w:val="Footer"/>
      <w:tabs>
        <w:tab w:val="clear" w:pos="8640"/>
        <w:tab w:val="right" w:pos="9083"/>
      </w:tabs>
      <w:jc w:val="center"/>
      <w:rPr>
        <w:rFonts w:cs="Arial"/>
        <w:szCs w:val="18"/>
      </w:rPr>
    </w:pPr>
    <w:r>
      <w:rPr>
        <w:rFonts w:cs="Arial"/>
        <w:noProof/>
        <w:szCs w:val="18"/>
      </w:rPr>
      <w:tab/>
    </w:r>
    <w:r w:rsidRPr="00D605A4">
      <w:rPr>
        <w:rFonts w:cs="Arial"/>
        <w:szCs w:val="18"/>
      </w:rPr>
      <w:fldChar w:fldCharType="begin"/>
    </w:r>
    <w:r w:rsidRPr="00D605A4">
      <w:rPr>
        <w:rFonts w:cs="Arial"/>
        <w:szCs w:val="18"/>
      </w:rPr>
      <w:instrText xml:space="preserve"> PAGE   \* MERGEFORMAT </w:instrText>
    </w:r>
    <w:r w:rsidRPr="00D605A4">
      <w:rPr>
        <w:rFonts w:cs="Arial"/>
        <w:szCs w:val="18"/>
      </w:rPr>
      <w:fldChar w:fldCharType="separate"/>
    </w:r>
    <w:r w:rsidR="009213E9">
      <w:rPr>
        <w:rFonts w:cs="Arial"/>
        <w:noProof/>
        <w:szCs w:val="18"/>
      </w:rPr>
      <w:t>2</w:t>
    </w:r>
    <w:r w:rsidRPr="00D605A4">
      <w:rPr>
        <w:rFonts w:cs="Arial"/>
        <w:noProof/>
        <w:szCs w:val="18"/>
      </w:rPr>
      <w:fldChar w:fldCharType="end"/>
    </w:r>
    <w:r>
      <w:rPr>
        <w:rFonts w:cs="Arial"/>
        <w:noProof/>
        <w:szCs w:val="18"/>
      </w:rPr>
      <w:tab/>
    </w:r>
  </w:p>
  <w:p w14:paraId="20CF20C0" w14:textId="77777777" w:rsidR="00C46CCB" w:rsidRPr="00D605A4" w:rsidRDefault="00C46CCB" w:rsidP="00D605A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4228330"/>
      <w:docPartObj>
        <w:docPartGallery w:val="Page Numbers (Bottom of Page)"/>
        <w:docPartUnique/>
      </w:docPartObj>
    </w:sdtPr>
    <w:sdtEndPr>
      <w:rPr>
        <w:noProof/>
      </w:rPr>
    </w:sdtEndPr>
    <w:sdtContent>
      <w:p w14:paraId="78D1F41C" w14:textId="77777777" w:rsidR="00C46CCB" w:rsidRDefault="00C46CCB">
        <w:pPr>
          <w:pStyle w:val="Footer"/>
          <w:jc w:val="center"/>
        </w:pPr>
      </w:p>
      <w:p w14:paraId="5E1752EF" w14:textId="3F6A7CE4" w:rsidR="00C46CCB" w:rsidRDefault="00C46CCB">
        <w:pPr>
          <w:pStyle w:val="Footer"/>
          <w:jc w:val="center"/>
        </w:pPr>
        <w:r>
          <w:fldChar w:fldCharType="begin"/>
        </w:r>
        <w:r>
          <w:instrText xml:space="preserve"> PAGE   \* MERGEFORMAT </w:instrText>
        </w:r>
        <w:r>
          <w:fldChar w:fldCharType="separate"/>
        </w:r>
        <w:r w:rsidR="009213E9">
          <w:rPr>
            <w:noProof/>
          </w:rPr>
          <w:t>4</w:t>
        </w:r>
        <w:r>
          <w:rPr>
            <w:noProof/>
          </w:rPr>
          <w:fldChar w:fldCharType="end"/>
        </w:r>
      </w:p>
    </w:sdtContent>
  </w:sdt>
  <w:p w14:paraId="427961B9" w14:textId="77777777" w:rsidR="00C46CCB" w:rsidRDefault="00C46CC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803661"/>
      <w:docPartObj>
        <w:docPartGallery w:val="Page Numbers (Bottom of Page)"/>
        <w:docPartUnique/>
      </w:docPartObj>
    </w:sdtPr>
    <w:sdtEndPr>
      <w:rPr>
        <w:noProof/>
      </w:rPr>
    </w:sdtEndPr>
    <w:sdtContent>
      <w:p w14:paraId="305EE7FB" w14:textId="377C5B8E" w:rsidR="00C46CCB" w:rsidRDefault="00C46CCB">
        <w:pPr>
          <w:pStyle w:val="Footer"/>
          <w:jc w:val="center"/>
        </w:pPr>
        <w:r>
          <w:fldChar w:fldCharType="begin"/>
        </w:r>
        <w:r>
          <w:instrText xml:space="preserve"> PAGE   \* MERGEFORMAT </w:instrText>
        </w:r>
        <w:r>
          <w:fldChar w:fldCharType="separate"/>
        </w:r>
        <w:r w:rsidR="009213E9">
          <w:rPr>
            <w:noProof/>
          </w:rPr>
          <w:t>21</w:t>
        </w:r>
        <w:r>
          <w:rPr>
            <w:noProof/>
          </w:rPr>
          <w:fldChar w:fldCharType="end"/>
        </w:r>
      </w:p>
    </w:sdtContent>
  </w:sdt>
  <w:p w14:paraId="04578353" w14:textId="086600CB" w:rsidR="00C46CCB" w:rsidRPr="005958E3" w:rsidRDefault="00C46CCB" w:rsidP="00C96521">
    <w:pPr>
      <w:pStyle w:val="TDSmall"/>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98225"/>
      <w:docPartObj>
        <w:docPartGallery w:val="Page Numbers (Bottom of Page)"/>
        <w:docPartUnique/>
      </w:docPartObj>
    </w:sdtPr>
    <w:sdtEndPr/>
    <w:sdtContent>
      <w:p w14:paraId="6CF4660B" w14:textId="77777777" w:rsidR="00C46CCB" w:rsidRDefault="00C46CCB" w:rsidP="00C96521">
        <w:pPr>
          <w:pStyle w:val="TDSmall"/>
          <w:jc w:val="right"/>
        </w:pPr>
      </w:p>
      <w:p w14:paraId="76FB92ED" w14:textId="77777777" w:rsidR="00C46CCB" w:rsidRDefault="009213E9">
        <w:pPr>
          <w:pStyle w:val="TDSmall"/>
          <w:jc w:val="center"/>
        </w:pPr>
      </w:p>
    </w:sdtContent>
  </w:sdt>
  <w:p w14:paraId="2C4093B2" w14:textId="77777777" w:rsidR="00C46CCB" w:rsidRDefault="00C46C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60EFCD" w14:textId="77777777" w:rsidR="00AE6297" w:rsidRDefault="00AE6297">
      <w:r>
        <w:separator/>
      </w:r>
    </w:p>
  </w:footnote>
  <w:footnote w:type="continuationSeparator" w:id="0">
    <w:p w14:paraId="2C28594A" w14:textId="77777777" w:rsidR="00AE6297" w:rsidRDefault="00AE6297">
      <w:r>
        <w:continuationSeparator/>
      </w:r>
    </w:p>
  </w:footnote>
  <w:footnote w:id="1">
    <w:p w14:paraId="6303AC5A" w14:textId="28CD70D7" w:rsidR="00C46CCB" w:rsidRPr="005F2B45" w:rsidRDefault="00C46CCB" w:rsidP="00C96521">
      <w:pPr>
        <w:pStyle w:val="FootnoteText"/>
        <w:rPr>
          <w:sz w:val="16"/>
          <w:szCs w:val="16"/>
        </w:rPr>
      </w:pPr>
      <w:r w:rsidRPr="005F2B45">
        <w:rPr>
          <w:rStyle w:val="FootnoteReference"/>
          <w:sz w:val="16"/>
          <w:szCs w:val="16"/>
        </w:rPr>
        <w:footnoteRef/>
      </w:r>
      <w:r w:rsidRPr="005F2B45">
        <w:rPr>
          <w:sz w:val="16"/>
          <w:szCs w:val="16"/>
        </w:rPr>
        <w:t xml:space="preserve"> The </w:t>
      </w:r>
      <w:r>
        <w:rPr>
          <w:sz w:val="16"/>
          <w:szCs w:val="16"/>
        </w:rPr>
        <w:t>T</w:t>
      </w:r>
      <w:r w:rsidRPr="005F2B45">
        <w:rPr>
          <w:sz w:val="16"/>
          <w:szCs w:val="16"/>
        </w:rPr>
        <w:t>urtle</w:t>
      </w:r>
      <w:r>
        <w:rPr>
          <w:sz w:val="16"/>
          <w:szCs w:val="16"/>
        </w:rPr>
        <w:t xml:space="preserve"> D</w:t>
      </w:r>
      <w:r w:rsidRPr="005F2B45">
        <w:rPr>
          <w:sz w:val="16"/>
          <w:szCs w:val="16"/>
        </w:rPr>
        <w:t>ove has not bred in Malta since 1956.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E55D63" w14:textId="77777777" w:rsidR="00C46CCB" w:rsidRPr="00922791" w:rsidRDefault="00C46CCB"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/Doc.x.x</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9C9A9" w14:textId="354B286E" w:rsidR="00C46CCB" w:rsidRPr="00497E66" w:rsidRDefault="00C46CCB" w:rsidP="00C96521">
    <w:pPr>
      <w:pStyle w:val="Heading1"/>
      <w:keepNext w:val="0"/>
      <w:pBdr>
        <w:bottom w:val="single" w:sz="4" w:space="1" w:color="auto"/>
      </w:pBdr>
      <w:tabs>
        <w:tab w:val="clear" w:pos="-720"/>
      </w:tabs>
      <w:ind w:left="261" w:right="-277" w:hanging="261"/>
      <w:jc w:val="right"/>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24.1.6/Annex 1</w:t>
    </w:r>
  </w:p>
  <w:p w14:paraId="13FA0967" w14:textId="77777777" w:rsidR="00C46CCB" w:rsidRPr="00497E66" w:rsidRDefault="00C46CCB" w:rsidP="00C96521">
    <w:pPr>
      <w:jc w:val="right"/>
      <w:rPr>
        <w:i/>
        <w:szCs w:val="20"/>
        <w:lang w:val="fr-FR"/>
      </w:rPr>
    </w:pPr>
  </w:p>
  <w:p w14:paraId="2B0F7377" w14:textId="75DBF200" w:rsidR="00C46CCB" w:rsidRPr="005958E3" w:rsidRDefault="00C46CCB" w:rsidP="00C96521">
    <w:pPr>
      <w:pStyle w:val="Header"/>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5E2641" w14:textId="3EA1AD5F" w:rsidR="00C46CCB" w:rsidRPr="00497E66" w:rsidRDefault="00C46CCB" w:rsidP="00922791">
    <w:pPr>
      <w:pStyle w:val="Heading1"/>
      <w:keepNext w:val="0"/>
      <w:pBdr>
        <w:bottom w:val="single" w:sz="4" w:space="1" w:color="auto"/>
      </w:pBdr>
      <w:tabs>
        <w:tab w:val="clear" w:pos="-720"/>
      </w:tabs>
      <w:ind w:left="261" w:right="-277" w:hanging="261"/>
      <w:jc w:val="right"/>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24.1.6</w:t>
    </w:r>
  </w:p>
  <w:p w14:paraId="0CEE59C4" w14:textId="77777777" w:rsidR="00C46CCB" w:rsidRPr="00497E66" w:rsidRDefault="00C46CCB" w:rsidP="00A27BE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28187A" w14:textId="77777777" w:rsidR="00C46CCB" w:rsidRDefault="00C46CCB" w:rsidP="00894D19">
    <w:pPr>
      <w:pStyle w:val="Header"/>
    </w:pPr>
    <w:r>
      <w:rPr>
        <w:noProof/>
        <w:lang w:val="en-US"/>
      </w:rPr>
      <w:drawing>
        <wp:anchor distT="0" distB="0" distL="114300" distR="114300" simplePos="0" relativeHeight="251657216" behindDoc="1" locked="0" layoutInCell="1" allowOverlap="1" wp14:anchorId="32DED744" wp14:editId="29F50B65">
          <wp:simplePos x="0" y="0"/>
          <wp:positionH relativeFrom="column">
            <wp:posOffset>716280</wp:posOffset>
          </wp:positionH>
          <wp:positionV relativeFrom="paragraph">
            <wp:posOffset>-75565</wp:posOffset>
          </wp:positionV>
          <wp:extent cx="431165" cy="441325"/>
          <wp:effectExtent l="0" t="0" r="6985" b="0"/>
          <wp:wrapTight wrapText="bothSides">
            <wp:wrapPolygon edited="0">
              <wp:start x="0" y="0"/>
              <wp:lineTo x="0" y="20512"/>
              <wp:lineTo x="20996" y="20512"/>
              <wp:lineTo x="20996" y="0"/>
              <wp:lineTo x="0" y="0"/>
            </wp:wrapPolygon>
          </wp:wrapTight>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8240" behindDoc="1" locked="0" layoutInCell="1" allowOverlap="1" wp14:anchorId="38C2E44E" wp14:editId="27BD4A2C">
          <wp:simplePos x="0" y="0"/>
          <wp:positionH relativeFrom="column">
            <wp:posOffset>0</wp:posOffset>
          </wp:positionH>
          <wp:positionV relativeFrom="paragraph">
            <wp:posOffset>-38100</wp:posOffset>
          </wp:positionV>
          <wp:extent cx="742950" cy="485775"/>
          <wp:effectExtent l="0" t="0" r="0" b="0"/>
          <wp:wrapTight wrapText="bothSides">
            <wp:wrapPolygon edited="0">
              <wp:start x="1662" y="2541"/>
              <wp:lineTo x="1662" y="18635"/>
              <wp:lineTo x="19385" y="18635"/>
              <wp:lineTo x="19385" y="7624"/>
              <wp:lineTo x="18277" y="2541"/>
              <wp:lineTo x="1662" y="2541"/>
            </wp:wrapPolygon>
          </wp:wrapTight>
          <wp:docPr id="92" name="Picture 92" descr="UNEnvironment_Logo_Englis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nvironment_Logo_English_Short_blac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2950" cy="485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3FEBEC" w14:textId="77777777" w:rsidR="00C46CCB" w:rsidRDefault="00C46C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34BB2" w14:textId="7A6B985C" w:rsidR="00C46CCB" w:rsidRPr="00D605A4" w:rsidRDefault="00C46CCB" w:rsidP="00D605A4">
    <w:pPr>
      <w:pStyle w:val="Header"/>
      <w:pBdr>
        <w:bottom w:val="single" w:sz="4" w:space="1" w:color="auto"/>
      </w:pBdr>
      <w:rPr>
        <w:rFonts w:cs="Arial"/>
        <w:i/>
        <w:szCs w:val="18"/>
        <w:lang w:val="de-DE"/>
      </w:rPr>
    </w:pPr>
    <w:r w:rsidRPr="00D605A4">
      <w:rPr>
        <w:rFonts w:cs="Arial"/>
        <w:i/>
        <w:szCs w:val="18"/>
        <w:lang w:val="de-DE"/>
      </w:rPr>
      <w:t>UNEP/CMS/COP12/Doc.</w:t>
    </w:r>
    <w:r>
      <w:rPr>
        <w:rFonts w:cs="Arial"/>
        <w:i/>
        <w:szCs w:val="18"/>
        <w:lang w:val="de-DE"/>
      </w:rPr>
      <w:t>24.1.6</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B361D" w14:textId="77777777" w:rsidR="00C46CCB" w:rsidRPr="00497E66" w:rsidRDefault="00C46CCB" w:rsidP="00C96521">
    <w:pPr>
      <w:pStyle w:val="Heading1"/>
      <w:keepNext w:val="0"/>
      <w:pBdr>
        <w:bottom w:val="single" w:sz="4" w:space="1" w:color="auto"/>
      </w:pBdr>
      <w:tabs>
        <w:tab w:val="clear" w:pos="-720"/>
      </w:tabs>
      <w:ind w:left="261" w:right="-277" w:hanging="261"/>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24.1.6</w:t>
    </w:r>
  </w:p>
  <w:p w14:paraId="1EF7F754" w14:textId="77777777" w:rsidR="00C46CCB" w:rsidRDefault="00C46CC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93DF8" w14:textId="7171EFD8" w:rsidR="00C46CCB" w:rsidRPr="00D605A4" w:rsidRDefault="00C46CCB" w:rsidP="00D605A4">
    <w:pPr>
      <w:pStyle w:val="Header"/>
      <w:pBdr>
        <w:bottom w:val="single" w:sz="4" w:space="1" w:color="auto"/>
      </w:pBdr>
      <w:rPr>
        <w:rFonts w:cs="Arial"/>
        <w:i/>
        <w:szCs w:val="18"/>
        <w:lang w:val="de-DE"/>
      </w:rPr>
    </w:pPr>
    <w:r>
      <w:rPr>
        <w:rFonts w:cs="Arial"/>
        <w:i/>
        <w:szCs w:val="18"/>
        <w:lang w:val="de-DE"/>
      </w:rPr>
      <w:ptab w:relativeTo="margin" w:alignment="right" w:leader="none"/>
    </w:r>
    <w:r w:rsidRPr="00D605A4">
      <w:rPr>
        <w:rFonts w:cs="Arial"/>
        <w:i/>
        <w:szCs w:val="18"/>
        <w:lang w:val="de-DE"/>
      </w:rPr>
      <w:t>UNEP/CMS/COP12/Doc.</w:t>
    </w:r>
    <w:r>
      <w:rPr>
        <w:rFonts w:cs="Arial"/>
        <w:i/>
        <w:szCs w:val="18"/>
        <w:lang w:val="de-DE"/>
      </w:rPr>
      <w:t>24.1.6/Annex 1</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26D7E" w14:textId="24CE50E7" w:rsidR="00C46CCB" w:rsidRPr="00497E66" w:rsidRDefault="00C46CCB" w:rsidP="00922791">
    <w:pPr>
      <w:pStyle w:val="Heading1"/>
      <w:keepNext w:val="0"/>
      <w:pBdr>
        <w:bottom w:val="single" w:sz="4" w:space="1" w:color="auto"/>
      </w:pBdr>
      <w:tabs>
        <w:tab w:val="clear" w:pos="-720"/>
      </w:tabs>
      <w:ind w:left="261" w:right="-277" w:hanging="261"/>
      <w:jc w:val="right"/>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24.1.6/Annex 1</w:t>
    </w:r>
  </w:p>
  <w:p w14:paraId="60AF3524" w14:textId="77777777" w:rsidR="00C46CCB" w:rsidRPr="00497E66" w:rsidRDefault="00C46CCB" w:rsidP="00A27BE3">
    <w:pPr>
      <w:jc w:val="right"/>
      <w:rPr>
        <w:i/>
        <w:szCs w:val="20"/>
        <w:lang w:val="fr-FR"/>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67BA9" w14:textId="0B021967" w:rsidR="00C46CCB" w:rsidRPr="00D605A4" w:rsidRDefault="00C46CCB" w:rsidP="00D605A4">
    <w:pPr>
      <w:pStyle w:val="Header"/>
      <w:pBdr>
        <w:bottom w:val="single" w:sz="4" w:space="1" w:color="auto"/>
      </w:pBdr>
      <w:rPr>
        <w:rFonts w:cs="Arial"/>
        <w:i/>
        <w:szCs w:val="18"/>
        <w:lang w:val="de-DE"/>
      </w:rPr>
    </w:pPr>
    <w:r w:rsidRPr="00D605A4">
      <w:rPr>
        <w:rFonts w:cs="Arial"/>
        <w:i/>
        <w:szCs w:val="18"/>
        <w:lang w:val="de-DE"/>
      </w:rPr>
      <w:t>UNEP/CMS/COP12/Doc.</w:t>
    </w:r>
    <w:r>
      <w:rPr>
        <w:rFonts w:cs="Arial"/>
        <w:i/>
        <w:szCs w:val="18"/>
        <w:lang w:val="de-DE"/>
      </w:rPr>
      <w:t>24.1.6/Annex 1</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9166B" w14:textId="6205BD85" w:rsidR="00C46CCB" w:rsidRPr="00497E66" w:rsidRDefault="00C46CCB" w:rsidP="00C96521">
    <w:pPr>
      <w:pStyle w:val="Heading1"/>
      <w:keepNext w:val="0"/>
      <w:pBdr>
        <w:bottom w:val="single" w:sz="4" w:space="1" w:color="auto"/>
      </w:pBdr>
      <w:tabs>
        <w:tab w:val="clear" w:pos="-720"/>
      </w:tabs>
      <w:ind w:left="261" w:right="-277" w:hanging="261"/>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24.1.6/Annex 1</w:t>
    </w:r>
  </w:p>
  <w:p w14:paraId="1B0DD10D" w14:textId="77777777" w:rsidR="00C46CCB" w:rsidRDefault="00C46C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1" w15:restartNumberingAfterBreak="0">
    <w:nsid w:val="02AB155D"/>
    <w:multiLevelType w:val="hybridMultilevel"/>
    <w:tmpl w:val="8D1853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184C30"/>
    <w:multiLevelType w:val="hybridMultilevel"/>
    <w:tmpl w:val="2390987A"/>
    <w:lvl w:ilvl="0" w:tplc="3AD438C6">
      <w:start w:val="1"/>
      <w:numFmt w:val="bullet"/>
      <w:lvlText w:val="­"/>
      <w:lvlJc w:val="left"/>
      <w:pPr>
        <w:ind w:left="360" w:hanging="360"/>
      </w:pPr>
      <w:rPr>
        <w:rFonts w:ascii="Calibri"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710295"/>
    <w:multiLevelType w:val="hybridMultilevel"/>
    <w:tmpl w:val="676037A4"/>
    <w:lvl w:ilvl="0" w:tplc="3AD438C6">
      <w:start w:val="1"/>
      <w:numFmt w:val="bullet"/>
      <w:lvlText w:val="­"/>
      <w:lvlJc w:val="left"/>
      <w:pPr>
        <w:ind w:left="360" w:hanging="360"/>
      </w:pPr>
      <w:rPr>
        <w:rFonts w:ascii="Calibri"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4C5209F"/>
    <w:multiLevelType w:val="hybridMultilevel"/>
    <w:tmpl w:val="7DCC9896"/>
    <w:lvl w:ilvl="0" w:tplc="FAE4827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780F21"/>
    <w:multiLevelType w:val="hybridMultilevel"/>
    <w:tmpl w:val="0D20EA3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09B22A2D"/>
    <w:multiLevelType w:val="hybridMultilevel"/>
    <w:tmpl w:val="74B47A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E127042"/>
    <w:multiLevelType w:val="hybridMultilevel"/>
    <w:tmpl w:val="CF569BDE"/>
    <w:lvl w:ilvl="0" w:tplc="4460914E">
      <w:start w:val="1"/>
      <w:numFmt w:val="decimal"/>
      <w:lvlText w:val="%1"/>
      <w:lvlJc w:val="left"/>
      <w:pPr>
        <w:ind w:left="450" w:hanging="450"/>
      </w:pPr>
      <w:rPr>
        <w:rFonts w:hint="default"/>
      </w:rPr>
    </w:lvl>
    <w:lvl w:ilvl="1" w:tplc="08090019" w:tentative="1">
      <w:start w:val="1"/>
      <w:numFmt w:val="lowerLetter"/>
      <w:lvlText w:val="%2."/>
      <w:lvlJc w:val="left"/>
      <w:pPr>
        <w:ind w:left="1345" w:hanging="360"/>
      </w:pPr>
    </w:lvl>
    <w:lvl w:ilvl="2" w:tplc="0809001B" w:tentative="1">
      <w:start w:val="1"/>
      <w:numFmt w:val="lowerRoman"/>
      <w:lvlText w:val="%3."/>
      <w:lvlJc w:val="right"/>
      <w:pPr>
        <w:ind w:left="2065" w:hanging="180"/>
      </w:pPr>
    </w:lvl>
    <w:lvl w:ilvl="3" w:tplc="0809000F" w:tentative="1">
      <w:start w:val="1"/>
      <w:numFmt w:val="decimal"/>
      <w:lvlText w:val="%4."/>
      <w:lvlJc w:val="left"/>
      <w:pPr>
        <w:ind w:left="2785" w:hanging="360"/>
      </w:pPr>
    </w:lvl>
    <w:lvl w:ilvl="4" w:tplc="08090019" w:tentative="1">
      <w:start w:val="1"/>
      <w:numFmt w:val="lowerLetter"/>
      <w:lvlText w:val="%5."/>
      <w:lvlJc w:val="left"/>
      <w:pPr>
        <w:ind w:left="3505" w:hanging="360"/>
      </w:pPr>
    </w:lvl>
    <w:lvl w:ilvl="5" w:tplc="0809001B" w:tentative="1">
      <w:start w:val="1"/>
      <w:numFmt w:val="lowerRoman"/>
      <w:lvlText w:val="%6."/>
      <w:lvlJc w:val="right"/>
      <w:pPr>
        <w:ind w:left="4225" w:hanging="180"/>
      </w:pPr>
    </w:lvl>
    <w:lvl w:ilvl="6" w:tplc="0809000F" w:tentative="1">
      <w:start w:val="1"/>
      <w:numFmt w:val="decimal"/>
      <w:lvlText w:val="%7."/>
      <w:lvlJc w:val="left"/>
      <w:pPr>
        <w:ind w:left="4945" w:hanging="360"/>
      </w:pPr>
    </w:lvl>
    <w:lvl w:ilvl="7" w:tplc="08090019" w:tentative="1">
      <w:start w:val="1"/>
      <w:numFmt w:val="lowerLetter"/>
      <w:lvlText w:val="%8."/>
      <w:lvlJc w:val="left"/>
      <w:pPr>
        <w:ind w:left="5665" w:hanging="360"/>
      </w:pPr>
    </w:lvl>
    <w:lvl w:ilvl="8" w:tplc="0809001B" w:tentative="1">
      <w:start w:val="1"/>
      <w:numFmt w:val="lowerRoman"/>
      <w:lvlText w:val="%9."/>
      <w:lvlJc w:val="right"/>
      <w:pPr>
        <w:ind w:left="6385" w:hanging="180"/>
      </w:pPr>
    </w:lvl>
  </w:abstractNum>
  <w:abstractNum w:abstractNumId="8" w15:restartNumberingAfterBreak="0">
    <w:nsid w:val="17F37F08"/>
    <w:multiLevelType w:val="hybridMultilevel"/>
    <w:tmpl w:val="57609594"/>
    <w:lvl w:ilvl="0" w:tplc="3AD438C6">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952259C"/>
    <w:multiLevelType w:val="hybridMultilevel"/>
    <w:tmpl w:val="05E6BE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1A027A0A"/>
    <w:multiLevelType w:val="hybridMultilevel"/>
    <w:tmpl w:val="6352C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AF85D70"/>
    <w:multiLevelType w:val="hybridMultilevel"/>
    <w:tmpl w:val="977605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DBA1DF4"/>
    <w:multiLevelType w:val="hybridMultilevel"/>
    <w:tmpl w:val="D7789D0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04936B1"/>
    <w:multiLevelType w:val="hybridMultilevel"/>
    <w:tmpl w:val="B7581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2F012E1"/>
    <w:multiLevelType w:val="hybridMultilevel"/>
    <w:tmpl w:val="C95C44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426759F"/>
    <w:multiLevelType w:val="hybridMultilevel"/>
    <w:tmpl w:val="534CF7DA"/>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275D4CF5"/>
    <w:multiLevelType w:val="hybridMultilevel"/>
    <w:tmpl w:val="39749E98"/>
    <w:lvl w:ilvl="0" w:tplc="2C02CDC2">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2E27D4"/>
    <w:multiLevelType w:val="hybridMultilevel"/>
    <w:tmpl w:val="57828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D9D2BC6"/>
    <w:multiLevelType w:val="hybridMultilevel"/>
    <w:tmpl w:val="6AEEC328"/>
    <w:lvl w:ilvl="0" w:tplc="08090001">
      <w:start w:val="1"/>
      <w:numFmt w:val="bullet"/>
      <w:lvlText w:val=""/>
      <w:lvlJc w:val="left"/>
      <w:pPr>
        <w:ind w:left="720" w:hanging="360"/>
      </w:pPr>
      <w:rPr>
        <w:rFonts w:ascii="Symbol" w:hAnsi="Symbol" w:hint="default"/>
      </w:rPr>
    </w:lvl>
    <w:lvl w:ilvl="1" w:tplc="92A8CC96">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9A73CB"/>
    <w:multiLevelType w:val="hybridMultilevel"/>
    <w:tmpl w:val="FF144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213788"/>
    <w:multiLevelType w:val="hybridMultilevel"/>
    <w:tmpl w:val="5A6422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DC12FA"/>
    <w:multiLevelType w:val="hybridMultilevel"/>
    <w:tmpl w:val="675EFB6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7A0372A"/>
    <w:multiLevelType w:val="multilevel"/>
    <w:tmpl w:val="D9926594"/>
    <w:lvl w:ilvl="0">
      <w:start w:val="1"/>
      <w:numFmt w:val="decimal"/>
      <w:lvlText w:val="%1."/>
      <w:lvlJc w:val="left"/>
      <w:pPr>
        <w:ind w:left="360" w:hanging="360"/>
      </w:pPr>
      <w:rPr>
        <w:i w:val="0"/>
      </w:r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23" w15:restartNumberingAfterBreak="0">
    <w:nsid w:val="381F3E37"/>
    <w:multiLevelType w:val="hybridMultilevel"/>
    <w:tmpl w:val="EF3211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3BE345E4"/>
    <w:multiLevelType w:val="hybridMultilevel"/>
    <w:tmpl w:val="ED821E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C414212"/>
    <w:multiLevelType w:val="hybridMultilevel"/>
    <w:tmpl w:val="FBFCBC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E200771"/>
    <w:multiLevelType w:val="hybridMultilevel"/>
    <w:tmpl w:val="D97261F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41CE335C"/>
    <w:multiLevelType w:val="hybridMultilevel"/>
    <w:tmpl w:val="0316BC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E9A2542"/>
    <w:multiLevelType w:val="hybridMultilevel"/>
    <w:tmpl w:val="215E54A0"/>
    <w:lvl w:ilvl="0" w:tplc="3AD438C6">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ECF1F02"/>
    <w:multiLevelType w:val="hybridMultilevel"/>
    <w:tmpl w:val="2CAAFC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01508D2"/>
    <w:multiLevelType w:val="hybridMultilevel"/>
    <w:tmpl w:val="09987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7C66B8"/>
    <w:multiLevelType w:val="hybridMultilevel"/>
    <w:tmpl w:val="3514A81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2" w15:restartNumberingAfterBreak="0">
    <w:nsid w:val="55166D41"/>
    <w:multiLevelType w:val="hybridMultilevel"/>
    <w:tmpl w:val="384631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5ADB4D0C"/>
    <w:multiLevelType w:val="hybridMultilevel"/>
    <w:tmpl w:val="2564F748"/>
    <w:lvl w:ilvl="0" w:tplc="3AD438C6">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4225CB"/>
    <w:multiLevelType w:val="hybridMultilevel"/>
    <w:tmpl w:val="285CC7C0"/>
    <w:lvl w:ilvl="0" w:tplc="2C02CDC2">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D815C31"/>
    <w:multiLevelType w:val="hybridMultilevel"/>
    <w:tmpl w:val="033C803A"/>
    <w:lvl w:ilvl="0" w:tplc="75D6F73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416413"/>
    <w:multiLevelType w:val="hybridMultilevel"/>
    <w:tmpl w:val="FE2802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0421C25"/>
    <w:multiLevelType w:val="hybridMultilevel"/>
    <w:tmpl w:val="E056D1B4"/>
    <w:lvl w:ilvl="0" w:tplc="2C02CDC2">
      <w:numFmt w:val="bullet"/>
      <w:lvlText w:val=""/>
      <w:lvlJc w:val="left"/>
      <w:pPr>
        <w:ind w:left="360" w:hanging="360"/>
      </w:pPr>
      <w:rPr>
        <w:rFonts w:ascii="Wingdings" w:eastAsia="Times New Roman" w:hAnsi="Wingdings"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638B125E"/>
    <w:multiLevelType w:val="hybridMultilevel"/>
    <w:tmpl w:val="AE381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4670EF0"/>
    <w:multiLevelType w:val="hybridMultilevel"/>
    <w:tmpl w:val="6FFCAED0"/>
    <w:lvl w:ilvl="0" w:tplc="3AD438C6">
      <w:start w:val="1"/>
      <w:numFmt w:val="bullet"/>
      <w:lvlText w:val="­"/>
      <w:lvlJc w:val="left"/>
      <w:pPr>
        <w:ind w:left="360" w:hanging="360"/>
      </w:pPr>
      <w:rPr>
        <w:rFonts w:ascii="Calibri"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1" w15:restartNumberingAfterBreak="0">
    <w:nsid w:val="6AAF7842"/>
    <w:multiLevelType w:val="hybridMultilevel"/>
    <w:tmpl w:val="C1323E3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2" w15:restartNumberingAfterBreak="0">
    <w:nsid w:val="6E24268A"/>
    <w:multiLevelType w:val="hybridMultilevel"/>
    <w:tmpl w:val="412483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70D26840"/>
    <w:multiLevelType w:val="hybridMultilevel"/>
    <w:tmpl w:val="40AEC0B2"/>
    <w:lvl w:ilvl="0" w:tplc="3AD438C6">
      <w:start w:val="1"/>
      <w:numFmt w:val="bullet"/>
      <w:lvlText w:val="­"/>
      <w:lvlJc w:val="left"/>
      <w:pPr>
        <w:ind w:left="360" w:hanging="360"/>
      </w:pPr>
      <w:rPr>
        <w:rFonts w:ascii="Calibri"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715F2C59"/>
    <w:multiLevelType w:val="hybridMultilevel"/>
    <w:tmpl w:val="BDDC26EA"/>
    <w:lvl w:ilvl="0" w:tplc="2364F8D4">
      <w:start w:val="1"/>
      <w:numFmt w:val="decimal"/>
      <w:pStyle w:val="TDHeading"/>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8EB13B1"/>
    <w:multiLevelType w:val="hybridMultilevel"/>
    <w:tmpl w:val="903484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9ED4B24"/>
    <w:multiLevelType w:val="hybridMultilevel"/>
    <w:tmpl w:val="BC5ED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ACF2211"/>
    <w:multiLevelType w:val="hybridMultilevel"/>
    <w:tmpl w:val="52643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num w:numId="1">
    <w:abstractNumId w:val="0"/>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44"/>
  </w:num>
  <w:num w:numId="12">
    <w:abstractNumId w:val="8"/>
  </w:num>
  <w:num w:numId="13">
    <w:abstractNumId w:val="33"/>
  </w:num>
  <w:num w:numId="14">
    <w:abstractNumId w:val="28"/>
  </w:num>
  <w:num w:numId="15">
    <w:abstractNumId w:val="10"/>
  </w:num>
  <w:num w:numId="16">
    <w:abstractNumId w:val="11"/>
  </w:num>
  <w:num w:numId="17">
    <w:abstractNumId w:val="18"/>
  </w:num>
  <w:num w:numId="18">
    <w:abstractNumId w:val="6"/>
  </w:num>
  <w:num w:numId="19">
    <w:abstractNumId w:val="30"/>
  </w:num>
  <w:num w:numId="20">
    <w:abstractNumId w:val="35"/>
  </w:num>
  <w:num w:numId="21">
    <w:abstractNumId w:val="39"/>
  </w:num>
  <w:num w:numId="22">
    <w:abstractNumId w:val="36"/>
  </w:num>
  <w:num w:numId="23">
    <w:abstractNumId w:val="29"/>
  </w:num>
  <w:num w:numId="24">
    <w:abstractNumId w:val="45"/>
  </w:num>
  <w:num w:numId="25">
    <w:abstractNumId w:val="42"/>
  </w:num>
  <w:num w:numId="26">
    <w:abstractNumId w:val="25"/>
  </w:num>
  <w:num w:numId="27">
    <w:abstractNumId w:val="14"/>
  </w:num>
  <w:num w:numId="28">
    <w:abstractNumId w:val="43"/>
  </w:num>
  <w:num w:numId="29">
    <w:abstractNumId w:val="13"/>
  </w:num>
  <w:num w:numId="30">
    <w:abstractNumId w:val="4"/>
  </w:num>
  <w:num w:numId="31">
    <w:abstractNumId w:val="23"/>
  </w:num>
  <w:num w:numId="32">
    <w:abstractNumId w:val="47"/>
  </w:num>
  <w:num w:numId="33">
    <w:abstractNumId w:val="38"/>
  </w:num>
  <w:num w:numId="34">
    <w:abstractNumId w:val="17"/>
  </w:num>
  <w:num w:numId="35">
    <w:abstractNumId w:val="32"/>
  </w:num>
  <w:num w:numId="36">
    <w:abstractNumId w:val="20"/>
  </w:num>
  <w:num w:numId="37">
    <w:abstractNumId w:val="12"/>
  </w:num>
  <w:num w:numId="38">
    <w:abstractNumId w:val="19"/>
  </w:num>
  <w:num w:numId="39">
    <w:abstractNumId w:val="1"/>
  </w:num>
  <w:num w:numId="40">
    <w:abstractNumId w:val="27"/>
  </w:num>
  <w:num w:numId="41">
    <w:abstractNumId w:val="9"/>
  </w:num>
  <w:num w:numId="42">
    <w:abstractNumId w:val="7"/>
  </w:num>
  <w:num w:numId="43">
    <w:abstractNumId w:val="24"/>
  </w:num>
  <w:num w:numId="44">
    <w:abstractNumId w:val="3"/>
  </w:num>
  <w:num w:numId="45">
    <w:abstractNumId w:val="2"/>
  </w:num>
  <w:num w:numId="46">
    <w:abstractNumId w:val="46"/>
  </w:num>
  <w:num w:numId="47">
    <w:abstractNumId w:val="16"/>
  </w:num>
  <w:num w:numId="48">
    <w:abstractNumId w:val="34"/>
  </w:num>
  <w:num w:numId="49">
    <w:abstractNumId w:val="3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63EB"/>
    <w:rsid w:val="00007296"/>
    <w:rsid w:val="00015E07"/>
    <w:rsid w:val="000254DF"/>
    <w:rsid w:val="00031A88"/>
    <w:rsid w:val="0003375A"/>
    <w:rsid w:val="0003449E"/>
    <w:rsid w:val="00036C53"/>
    <w:rsid w:val="000518C2"/>
    <w:rsid w:val="00056DC1"/>
    <w:rsid w:val="00060156"/>
    <w:rsid w:val="00060FED"/>
    <w:rsid w:val="00070BBC"/>
    <w:rsid w:val="00073C92"/>
    <w:rsid w:val="00080F03"/>
    <w:rsid w:val="00085172"/>
    <w:rsid w:val="000900E1"/>
    <w:rsid w:val="0009076A"/>
    <w:rsid w:val="00093B90"/>
    <w:rsid w:val="000A0F59"/>
    <w:rsid w:val="000A484B"/>
    <w:rsid w:val="000B6220"/>
    <w:rsid w:val="000C21B1"/>
    <w:rsid w:val="000C3653"/>
    <w:rsid w:val="000C3C87"/>
    <w:rsid w:val="000C4731"/>
    <w:rsid w:val="000C7460"/>
    <w:rsid w:val="000D7CC9"/>
    <w:rsid w:val="000E01C1"/>
    <w:rsid w:val="000F0B93"/>
    <w:rsid w:val="000F1156"/>
    <w:rsid w:val="000F52BA"/>
    <w:rsid w:val="001111A9"/>
    <w:rsid w:val="00113272"/>
    <w:rsid w:val="001151A3"/>
    <w:rsid w:val="001245DF"/>
    <w:rsid w:val="00130BFD"/>
    <w:rsid w:val="001419C7"/>
    <w:rsid w:val="00150AC4"/>
    <w:rsid w:val="001523DA"/>
    <w:rsid w:val="00153C2E"/>
    <w:rsid w:val="00155F53"/>
    <w:rsid w:val="00162D88"/>
    <w:rsid w:val="00166ABA"/>
    <w:rsid w:val="00173165"/>
    <w:rsid w:val="001743FD"/>
    <w:rsid w:val="001764E6"/>
    <w:rsid w:val="00177BBB"/>
    <w:rsid w:val="001808F1"/>
    <w:rsid w:val="00180B11"/>
    <w:rsid w:val="001A33B6"/>
    <w:rsid w:val="001C069F"/>
    <w:rsid w:val="001C6038"/>
    <w:rsid w:val="001C6133"/>
    <w:rsid w:val="001E3B2C"/>
    <w:rsid w:val="001E7A03"/>
    <w:rsid w:val="001F60A1"/>
    <w:rsid w:val="00200759"/>
    <w:rsid w:val="00200A67"/>
    <w:rsid w:val="00201F88"/>
    <w:rsid w:val="00202332"/>
    <w:rsid w:val="00205A70"/>
    <w:rsid w:val="002210F4"/>
    <w:rsid w:val="00230104"/>
    <w:rsid w:val="00235FA0"/>
    <w:rsid w:val="00243E9E"/>
    <w:rsid w:val="00253BC1"/>
    <w:rsid w:val="00254721"/>
    <w:rsid w:val="00257709"/>
    <w:rsid w:val="00263159"/>
    <w:rsid w:val="002779F7"/>
    <w:rsid w:val="00283518"/>
    <w:rsid w:val="00284FD2"/>
    <w:rsid w:val="00287939"/>
    <w:rsid w:val="002A380C"/>
    <w:rsid w:val="002A3BA1"/>
    <w:rsid w:val="002C187A"/>
    <w:rsid w:val="002C20F1"/>
    <w:rsid w:val="002D2863"/>
    <w:rsid w:val="002D5EC0"/>
    <w:rsid w:val="002E3DEA"/>
    <w:rsid w:val="002E6F7E"/>
    <w:rsid w:val="002E7CC2"/>
    <w:rsid w:val="002F50FF"/>
    <w:rsid w:val="002F6F9B"/>
    <w:rsid w:val="003331C6"/>
    <w:rsid w:val="00343026"/>
    <w:rsid w:val="00345044"/>
    <w:rsid w:val="00351095"/>
    <w:rsid w:val="00354A9C"/>
    <w:rsid w:val="003574BE"/>
    <w:rsid w:val="00364973"/>
    <w:rsid w:val="00364C8C"/>
    <w:rsid w:val="00372347"/>
    <w:rsid w:val="003779D4"/>
    <w:rsid w:val="00382398"/>
    <w:rsid w:val="003909E4"/>
    <w:rsid w:val="003A2FE2"/>
    <w:rsid w:val="003A3278"/>
    <w:rsid w:val="003A3E30"/>
    <w:rsid w:val="003A70FE"/>
    <w:rsid w:val="003B0C35"/>
    <w:rsid w:val="003B219E"/>
    <w:rsid w:val="003E21B3"/>
    <w:rsid w:val="003F6C6E"/>
    <w:rsid w:val="004006B8"/>
    <w:rsid w:val="00411E65"/>
    <w:rsid w:val="00412DE9"/>
    <w:rsid w:val="00420040"/>
    <w:rsid w:val="00423388"/>
    <w:rsid w:val="00426D73"/>
    <w:rsid w:val="00454373"/>
    <w:rsid w:val="00454913"/>
    <w:rsid w:val="00457441"/>
    <w:rsid w:val="004579F6"/>
    <w:rsid w:val="004656D0"/>
    <w:rsid w:val="00465B53"/>
    <w:rsid w:val="00473ABD"/>
    <w:rsid w:val="00482DCA"/>
    <w:rsid w:val="00497E66"/>
    <w:rsid w:val="004B25D4"/>
    <w:rsid w:val="004B6CFD"/>
    <w:rsid w:val="004C204D"/>
    <w:rsid w:val="004D0436"/>
    <w:rsid w:val="004D084A"/>
    <w:rsid w:val="004D0936"/>
    <w:rsid w:val="004D1564"/>
    <w:rsid w:val="004D5651"/>
    <w:rsid w:val="004E7A47"/>
    <w:rsid w:val="004E7ED7"/>
    <w:rsid w:val="004F0833"/>
    <w:rsid w:val="004F243D"/>
    <w:rsid w:val="004F3D8D"/>
    <w:rsid w:val="005028F9"/>
    <w:rsid w:val="005076F1"/>
    <w:rsid w:val="00512B91"/>
    <w:rsid w:val="005158EB"/>
    <w:rsid w:val="0052082F"/>
    <w:rsid w:val="00526B63"/>
    <w:rsid w:val="0053142C"/>
    <w:rsid w:val="00542FCC"/>
    <w:rsid w:val="0055762E"/>
    <w:rsid w:val="00565445"/>
    <w:rsid w:val="00575334"/>
    <w:rsid w:val="00593736"/>
    <w:rsid w:val="005A09C2"/>
    <w:rsid w:val="005A2E8C"/>
    <w:rsid w:val="005A3181"/>
    <w:rsid w:val="005B0F06"/>
    <w:rsid w:val="005B6141"/>
    <w:rsid w:val="005C3F15"/>
    <w:rsid w:val="005D4262"/>
    <w:rsid w:val="005D6A2A"/>
    <w:rsid w:val="005F3989"/>
    <w:rsid w:val="005F4303"/>
    <w:rsid w:val="005F7B20"/>
    <w:rsid w:val="00601B52"/>
    <w:rsid w:val="0060280B"/>
    <w:rsid w:val="00604422"/>
    <w:rsid w:val="00623F5D"/>
    <w:rsid w:val="006436BF"/>
    <w:rsid w:val="006437E1"/>
    <w:rsid w:val="00651341"/>
    <w:rsid w:val="00666F8B"/>
    <w:rsid w:val="006815B2"/>
    <w:rsid w:val="006826E0"/>
    <w:rsid w:val="00682B31"/>
    <w:rsid w:val="006864E1"/>
    <w:rsid w:val="00691001"/>
    <w:rsid w:val="006919AE"/>
    <w:rsid w:val="00691BFF"/>
    <w:rsid w:val="00695F1D"/>
    <w:rsid w:val="006A313E"/>
    <w:rsid w:val="006B1037"/>
    <w:rsid w:val="006E56AD"/>
    <w:rsid w:val="006E5763"/>
    <w:rsid w:val="007101BB"/>
    <w:rsid w:val="00713308"/>
    <w:rsid w:val="00725A91"/>
    <w:rsid w:val="00727E01"/>
    <w:rsid w:val="00745222"/>
    <w:rsid w:val="00752E19"/>
    <w:rsid w:val="00753052"/>
    <w:rsid w:val="00757614"/>
    <w:rsid w:val="00767B8F"/>
    <w:rsid w:val="007728B4"/>
    <w:rsid w:val="0077622E"/>
    <w:rsid w:val="00777FE4"/>
    <w:rsid w:val="0079075D"/>
    <w:rsid w:val="007910C0"/>
    <w:rsid w:val="007910DD"/>
    <w:rsid w:val="00791680"/>
    <w:rsid w:val="007C1468"/>
    <w:rsid w:val="007C41D7"/>
    <w:rsid w:val="007F16FB"/>
    <w:rsid w:val="007F1BBA"/>
    <w:rsid w:val="0080080C"/>
    <w:rsid w:val="00810359"/>
    <w:rsid w:val="008151EA"/>
    <w:rsid w:val="0081600F"/>
    <w:rsid w:val="0082722D"/>
    <w:rsid w:val="008274F7"/>
    <w:rsid w:val="008441F9"/>
    <w:rsid w:val="00846A99"/>
    <w:rsid w:val="008641D1"/>
    <w:rsid w:val="00870FB9"/>
    <w:rsid w:val="00872F67"/>
    <w:rsid w:val="008807BF"/>
    <w:rsid w:val="008879E9"/>
    <w:rsid w:val="00890F11"/>
    <w:rsid w:val="00893346"/>
    <w:rsid w:val="00894D19"/>
    <w:rsid w:val="008A0D8D"/>
    <w:rsid w:val="008A61D1"/>
    <w:rsid w:val="008B1A69"/>
    <w:rsid w:val="008C00B8"/>
    <w:rsid w:val="008C1A39"/>
    <w:rsid w:val="008D1B43"/>
    <w:rsid w:val="008E7DFB"/>
    <w:rsid w:val="008F7327"/>
    <w:rsid w:val="0090059C"/>
    <w:rsid w:val="009076C8"/>
    <w:rsid w:val="00915BBE"/>
    <w:rsid w:val="009211D4"/>
    <w:rsid w:val="009213E9"/>
    <w:rsid w:val="00921D62"/>
    <w:rsid w:val="00922791"/>
    <w:rsid w:val="00927CD6"/>
    <w:rsid w:val="00933572"/>
    <w:rsid w:val="009363C7"/>
    <w:rsid w:val="00965D7D"/>
    <w:rsid w:val="00972D36"/>
    <w:rsid w:val="00973BFB"/>
    <w:rsid w:val="00980406"/>
    <w:rsid w:val="00994621"/>
    <w:rsid w:val="009A2C8F"/>
    <w:rsid w:val="009A7B65"/>
    <w:rsid w:val="009C6098"/>
    <w:rsid w:val="009D2AD6"/>
    <w:rsid w:val="009D3A07"/>
    <w:rsid w:val="009D4711"/>
    <w:rsid w:val="009D5DA6"/>
    <w:rsid w:val="009E3A84"/>
    <w:rsid w:val="009E54BD"/>
    <w:rsid w:val="009E5B91"/>
    <w:rsid w:val="009E72D7"/>
    <w:rsid w:val="009E7ACC"/>
    <w:rsid w:val="009F450E"/>
    <w:rsid w:val="009F54DA"/>
    <w:rsid w:val="00A06984"/>
    <w:rsid w:val="00A12C76"/>
    <w:rsid w:val="00A1324E"/>
    <w:rsid w:val="00A22A65"/>
    <w:rsid w:val="00A27BE3"/>
    <w:rsid w:val="00A339B9"/>
    <w:rsid w:val="00A36F9C"/>
    <w:rsid w:val="00A40EDF"/>
    <w:rsid w:val="00A568DF"/>
    <w:rsid w:val="00A62028"/>
    <w:rsid w:val="00A73A79"/>
    <w:rsid w:val="00A91CA9"/>
    <w:rsid w:val="00A922B2"/>
    <w:rsid w:val="00A93C52"/>
    <w:rsid w:val="00AA7368"/>
    <w:rsid w:val="00AB4FF9"/>
    <w:rsid w:val="00AC5AD4"/>
    <w:rsid w:val="00AC7264"/>
    <w:rsid w:val="00AE6297"/>
    <w:rsid w:val="00AE7B21"/>
    <w:rsid w:val="00AF1980"/>
    <w:rsid w:val="00AF2021"/>
    <w:rsid w:val="00B016F8"/>
    <w:rsid w:val="00B025B7"/>
    <w:rsid w:val="00B04483"/>
    <w:rsid w:val="00B471BD"/>
    <w:rsid w:val="00B50C2D"/>
    <w:rsid w:val="00B64904"/>
    <w:rsid w:val="00B64FCF"/>
    <w:rsid w:val="00B70B7A"/>
    <w:rsid w:val="00B75124"/>
    <w:rsid w:val="00B76ED7"/>
    <w:rsid w:val="00BA0680"/>
    <w:rsid w:val="00BA60CE"/>
    <w:rsid w:val="00BB7AB8"/>
    <w:rsid w:val="00BC0B3E"/>
    <w:rsid w:val="00BC5607"/>
    <w:rsid w:val="00BE0D1D"/>
    <w:rsid w:val="00BE20B6"/>
    <w:rsid w:val="00BE2448"/>
    <w:rsid w:val="00BE24D4"/>
    <w:rsid w:val="00BE365A"/>
    <w:rsid w:val="00BE3C08"/>
    <w:rsid w:val="00BE5EF4"/>
    <w:rsid w:val="00BF2BE7"/>
    <w:rsid w:val="00BF4512"/>
    <w:rsid w:val="00C05102"/>
    <w:rsid w:val="00C13FA6"/>
    <w:rsid w:val="00C1694D"/>
    <w:rsid w:val="00C169ED"/>
    <w:rsid w:val="00C27451"/>
    <w:rsid w:val="00C35830"/>
    <w:rsid w:val="00C44645"/>
    <w:rsid w:val="00C46CCB"/>
    <w:rsid w:val="00C5484D"/>
    <w:rsid w:val="00C618F2"/>
    <w:rsid w:val="00C73207"/>
    <w:rsid w:val="00C7602A"/>
    <w:rsid w:val="00C82160"/>
    <w:rsid w:val="00C82ED9"/>
    <w:rsid w:val="00C87D68"/>
    <w:rsid w:val="00C9281B"/>
    <w:rsid w:val="00C96521"/>
    <w:rsid w:val="00CA367A"/>
    <w:rsid w:val="00CB1D26"/>
    <w:rsid w:val="00CB5111"/>
    <w:rsid w:val="00CC4C21"/>
    <w:rsid w:val="00CC57AD"/>
    <w:rsid w:val="00CD0FE9"/>
    <w:rsid w:val="00CD6DE1"/>
    <w:rsid w:val="00CD7355"/>
    <w:rsid w:val="00CE5B83"/>
    <w:rsid w:val="00CF6EDD"/>
    <w:rsid w:val="00D03D59"/>
    <w:rsid w:val="00D05922"/>
    <w:rsid w:val="00D107A3"/>
    <w:rsid w:val="00D147EA"/>
    <w:rsid w:val="00D21383"/>
    <w:rsid w:val="00D24D5F"/>
    <w:rsid w:val="00D417C2"/>
    <w:rsid w:val="00D42AE1"/>
    <w:rsid w:val="00D605A4"/>
    <w:rsid w:val="00D61B13"/>
    <w:rsid w:val="00D675FA"/>
    <w:rsid w:val="00D76AD2"/>
    <w:rsid w:val="00D7746A"/>
    <w:rsid w:val="00D838FE"/>
    <w:rsid w:val="00D8406F"/>
    <w:rsid w:val="00D859C7"/>
    <w:rsid w:val="00D9021F"/>
    <w:rsid w:val="00D95FF4"/>
    <w:rsid w:val="00DA1080"/>
    <w:rsid w:val="00DA12C2"/>
    <w:rsid w:val="00DB30A6"/>
    <w:rsid w:val="00DB5B0C"/>
    <w:rsid w:val="00DC6B90"/>
    <w:rsid w:val="00DD0F9D"/>
    <w:rsid w:val="00DD6A9E"/>
    <w:rsid w:val="00E23367"/>
    <w:rsid w:val="00E27689"/>
    <w:rsid w:val="00E3152E"/>
    <w:rsid w:val="00E31B92"/>
    <w:rsid w:val="00E475D4"/>
    <w:rsid w:val="00E5204B"/>
    <w:rsid w:val="00E54718"/>
    <w:rsid w:val="00E62CEF"/>
    <w:rsid w:val="00E74D1C"/>
    <w:rsid w:val="00E8776E"/>
    <w:rsid w:val="00E9237A"/>
    <w:rsid w:val="00E963E7"/>
    <w:rsid w:val="00EA0B88"/>
    <w:rsid w:val="00EB2285"/>
    <w:rsid w:val="00EC4294"/>
    <w:rsid w:val="00EC681E"/>
    <w:rsid w:val="00ED02D3"/>
    <w:rsid w:val="00ED477B"/>
    <w:rsid w:val="00ED5E31"/>
    <w:rsid w:val="00EE4815"/>
    <w:rsid w:val="00EE64C1"/>
    <w:rsid w:val="00EF7FD7"/>
    <w:rsid w:val="00F05AA0"/>
    <w:rsid w:val="00F061CB"/>
    <w:rsid w:val="00F11793"/>
    <w:rsid w:val="00F24050"/>
    <w:rsid w:val="00F248AA"/>
    <w:rsid w:val="00F31539"/>
    <w:rsid w:val="00F33271"/>
    <w:rsid w:val="00F444EC"/>
    <w:rsid w:val="00F45FE3"/>
    <w:rsid w:val="00F54D03"/>
    <w:rsid w:val="00F6347A"/>
    <w:rsid w:val="00F64924"/>
    <w:rsid w:val="00F7503A"/>
    <w:rsid w:val="00F81FEF"/>
    <w:rsid w:val="00F978B9"/>
    <w:rsid w:val="00FA61AF"/>
    <w:rsid w:val="00FB0078"/>
    <w:rsid w:val="00FB2C17"/>
    <w:rsid w:val="00FC6C34"/>
    <w:rsid w:val="00FD3A06"/>
    <w:rsid w:val="00FD7D14"/>
    <w:rsid w:val="00FE79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0D0A497"/>
  <w15:docId w15:val="{1FA160EC-8012-4D3A-AA79-6C26A5684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18"/>
        <w:szCs w:val="24"/>
        <w:lang w:val="en-U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0" w:qFormat="1"/>
    <w:lsdException w:name="heading 2" w:locked="1" w:uiPriority="9" w:qFormat="1"/>
    <w:lsdException w:name="heading 3" w:locked="1" w:uiPriority="0" w:qFormat="1"/>
    <w:lsdException w:name="heading 4" w:locked="1" w:uiPriority="9" w:unhideWhenUsed="1" w:qFormat="1"/>
    <w:lsdException w:name="heading 5" w:locked="1" w:uiPriority="9" w:unhideWhenUsed="1" w:qFormat="1"/>
    <w:lsdException w:name="heading 6" w:locked="1" w:uiPriority="9" w:unhideWhenUsed="1" w:qFormat="1"/>
    <w:lsdException w:name="heading 7" w:locked="1" w:uiPriority="9" w:unhideWhenUsed="1" w:qFormat="1"/>
    <w:lsdException w:name="heading 8" w:locked="1" w:uiPriority="9" w:unhideWhenUsed="1" w:qFormat="1"/>
    <w:lsdException w:name="heading 9" w:locked="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locked="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59"/>
    <w:lsdException w:name="Table Theme" w:semiHidden="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style>
  <w:style w:type="paragraph" w:styleId="Heading1">
    <w:name w:val="heading 1"/>
    <w:basedOn w:val="Normal"/>
    <w:next w:val="Normal"/>
    <w:link w:val="Heading1Char"/>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lang w:val="en-GB"/>
    </w:rPr>
  </w:style>
  <w:style w:type="paragraph" w:styleId="Heading2">
    <w:name w:val="heading 2"/>
    <w:basedOn w:val="Normal"/>
    <w:next w:val="Normal"/>
    <w:link w:val="Heading2Char"/>
    <w:uiPriority w:val="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lang w:val="en-GB"/>
    </w:rPr>
  </w:style>
  <w:style w:type="paragraph" w:styleId="Heading4">
    <w:name w:val="heading 4"/>
    <w:basedOn w:val="Normal"/>
    <w:next w:val="Normal"/>
    <w:link w:val="Heading4Char"/>
    <w:uiPriority w:val="9"/>
    <w:qFormat/>
    <w:rsid w:val="002779F7"/>
    <w:pPr>
      <w:keepNext/>
      <w:outlineLvl w:val="3"/>
    </w:pPr>
    <w:rPr>
      <w:b/>
      <w:bCs/>
      <w:szCs w:val="20"/>
      <w:lang w:val="en-GB"/>
    </w:rPr>
  </w:style>
  <w:style w:type="paragraph" w:styleId="Heading5">
    <w:name w:val="heading 5"/>
    <w:basedOn w:val="Normal"/>
    <w:next w:val="Normal"/>
    <w:link w:val="Heading5Char"/>
    <w:uiPriority w:val="9"/>
    <w:qFormat/>
    <w:rsid w:val="002779F7"/>
    <w:pPr>
      <w:keepNext/>
      <w:jc w:val="both"/>
      <w:outlineLvl w:val="4"/>
    </w:pPr>
    <w:rPr>
      <w:b/>
      <w:i/>
      <w:iCs/>
      <w:sz w:val="22"/>
      <w:u w:val="single"/>
      <w:lang w:val="en-GB"/>
    </w:rPr>
  </w:style>
  <w:style w:type="paragraph" w:styleId="Heading6">
    <w:name w:val="heading 6"/>
    <w:basedOn w:val="Normal"/>
    <w:next w:val="Normal"/>
    <w:link w:val="Heading6Char"/>
    <w:uiPriority w:val="9"/>
    <w:qFormat/>
    <w:rsid w:val="002779F7"/>
    <w:pPr>
      <w:keepNext/>
      <w:outlineLvl w:val="5"/>
    </w:pPr>
    <w:rPr>
      <w:i/>
      <w:iCs/>
      <w:sz w:val="23"/>
      <w:szCs w:val="23"/>
      <w:lang w:val="en-GB"/>
    </w:rPr>
  </w:style>
  <w:style w:type="paragraph" w:styleId="Heading7">
    <w:name w:val="heading 7"/>
    <w:basedOn w:val="Normal"/>
    <w:next w:val="Normal"/>
    <w:link w:val="Heading7Char"/>
    <w:uiPriority w:val="9"/>
    <w:qFormat/>
    <w:rsid w:val="002779F7"/>
    <w:pPr>
      <w:keepNext/>
      <w:jc w:val="center"/>
      <w:outlineLvl w:val="6"/>
    </w:pPr>
    <w:rPr>
      <w:b/>
      <w:bCs/>
      <w:sz w:val="26"/>
      <w:szCs w:val="26"/>
      <w:lang w:val="en-GB"/>
    </w:rPr>
  </w:style>
  <w:style w:type="paragraph" w:styleId="Heading8">
    <w:name w:val="heading 8"/>
    <w:basedOn w:val="Normal"/>
    <w:next w:val="Normal"/>
    <w:link w:val="Heading8Char"/>
    <w:uiPriority w:val="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cs="Arial"/>
      <w:sz w:val="24"/>
      <w:lang w:val="en-GB"/>
    </w:rPr>
  </w:style>
  <w:style w:type="paragraph" w:styleId="Heading9">
    <w:name w:val="heading 9"/>
    <w:basedOn w:val="Normal"/>
    <w:next w:val="Normal"/>
    <w:link w:val="Heading9Char"/>
    <w:uiPriority w:val="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cs="Arial"/>
      <w:b/>
      <w:bCs/>
      <w:sz w:val="32"/>
      <w:szCs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B4403"/>
    <w:rPr>
      <w:rFonts w:ascii="Cambria" w:eastAsia="Times New Roman" w:hAnsi="Cambria" w:cs="Times New Roman"/>
      <w:b/>
      <w:bCs/>
      <w:kern w:val="32"/>
      <w:sz w:val="32"/>
      <w:szCs w:val="32"/>
      <w:lang w:val="en-US" w:eastAsia="en-US"/>
    </w:rPr>
  </w:style>
  <w:style w:type="character" w:customStyle="1" w:styleId="Heading2Char">
    <w:name w:val="Heading 2 Char"/>
    <w:link w:val="Heading2"/>
    <w:uiPriority w:val="9"/>
    <w:rsid w:val="00EB4403"/>
    <w:rPr>
      <w:rFonts w:ascii="Cambria" w:eastAsia="Times New Roman" w:hAnsi="Cambria" w:cs="Times New Roman"/>
      <w:b/>
      <w:bCs/>
      <w:i/>
      <w:iCs/>
      <w:sz w:val="28"/>
      <w:szCs w:val="28"/>
      <w:lang w:val="en-US" w:eastAsia="en-US"/>
    </w:rPr>
  </w:style>
  <w:style w:type="character" w:customStyle="1" w:styleId="Heading3Char">
    <w:name w:val="Heading 3 Char"/>
    <w:link w:val="Heading3"/>
    <w:uiPriority w:val="9"/>
    <w:rsid w:val="00EB4403"/>
    <w:rPr>
      <w:rFonts w:ascii="Cambria" w:eastAsia="Times New Roman" w:hAnsi="Cambria" w:cs="Times New Roman"/>
      <w:b/>
      <w:bCs/>
      <w:sz w:val="26"/>
      <w:szCs w:val="26"/>
      <w:lang w:val="en-U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n-U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n-U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n-U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n-U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n-US" w:eastAsia="en-US"/>
    </w:rPr>
  </w:style>
  <w:style w:type="character" w:customStyle="1" w:styleId="Heading9Char">
    <w:name w:val="Heading 9 Char"/>
    <w:link w:val="Heading9"/>
    <w:uiPriority w:val="9"/>
    <w:semiHidden/>
    <w:rsid w:val="00EB4403"/>
    <w:rPr>
      <w:rFonts w:ascii="Cambria" w:eastAsia="Times New Roman" w:hAnsi="Cambria" w:cs="Times New Roman"/>
      <w:lang w:val="en-US" w:eastAsia="en-US"/>
    </w:rPr>
  </w:style>
  <w:style w:type="character" w:styleId="FootnoteReference">
    <w:name w:val="footnote reference"/>
    <w:uiPriority w:val="99"/>
    <w:semiHidden/>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lang w:val="en-GB"/>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rPr>
      <w:lang w:val="de-DE"/>
    </w:r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lang w:val="en-GB"/>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n-US" w:eastAsia="en-US"/>
    </w:rPr>
  </w:style>
  <w:style w:type="paragraph" w:styleId="BodyTextIndent">
    <w:name w:val="Body Text Indent"/>
    <w:basedOn w:val="Normal"/>
    <w:link w:val="BodyTextIndentChar"/>
    <w:uiPriority w:val="99"/>
    <w:rsid w:val="002779F7"/>
    <w:pPr>
      <w:ind w:left="720" w:hanging="720"/>
      <w:jc w:val="both"/>
    </w:pPr>
    <w:rPr>
      <w:sz w:val="22"/>
      <w:lang w:val="en-GB"/>
    </w:rPr>
  </w:style>
  <w:style w:type="character" w:customStyle="1" w:styleId="BodyTextIndentChar">
    <w:name w:val="Body Text Indent Char"/>
    <w:link w:val="BodyTextIndent"/>
    <w:uiPriority w:val="99"/>
    <w:semiHidden/>
    <w:rsid w:val="00EB4403"/>
    <w:rPr>
      <w:sz w:val="20"/>
      <w:szCs w:val="24"/>
      <w:lang w:val="en-US" w:eastAsia="en-US"/>
    </w:rPr>
  </w:style>
  <w:style w:type="paragraph" w:styleId="BodyText">
    <w:name w:val="Body Text"/>
    <w:basedOn w:val="Normal"/>
    <w:link w:val="BodyTextChar"/>
    <w:uiPriority w:val="99"/>
    <w:rsid w:val="002779F7"/>
    <w:pPr>
      <w:jc w:val="both"/>
    </w:pPr>
    <w:rPr>
      <w:sz w:val="22"/>
      <w:lang w:val="en-GB"/>
    </w:rPr>
  </w:style>
  <w:style w:type="character" w:customStyle="1" w:styleId="BodyTextChar">
    <w:name w:val="Body Text Char"/>
    <w:link w:val="BodyText"/>
    <w:uiPriority w:val="99"/>
    <w:semiHidden/>
    <w:rsid w:val="00EB4403"/>
    <w:rPr>
      <w:sz w:val="20"/>
      <w:szCs w:val="24"/>
      <w:lang w:val="en-US" w:eastAsia="en-US"/>
    </w:rPr>
  </w:style>
  <w:style w:type="character" w:styleId="Hyperlink">
    <w:name w:val="Hyperlink"/>
    <w:uiPriority w:val="99"/>
    <w:rsid w:val="002779F7"/>
    <w:rPr>
      <w:rFonts w:cs="Times New Roman"/>
      <w:color w:val="0000FF"/>
      <w:u w:val="single"/>
    </w:rPr>
  </w:style>
  <w:style w:type="paragraph" w:styleId="FootnoteText">
    <w:name w:val="footnote text"/>
    <w:basedOn w:val="Normal"/>
    <w:link w:val="FootnoteTextChar"/>
    <w:uiPriority w:val="99"/>
    <w:semiHidden/>
    <w:rsid w:val="002779F7"/>
    <w:rPr>
      <w:szCs w:val="20"/>
    </w:rPr>
  </w:style>
  <w:style w:type="character" w:customStyle="1" w:styleId="FootnoteTextChar">
    <w:name w:val="Footnote Text Char"/>
    <w:link w:val="FootnoteText"/>
    <w:uiPriority w:val="99"/>
    <w:semiHidden/>
    <w:rsid w:val="00EB4403"/>
    <w:rPr>
      <w:sz w:val="20"/>
      <w:szCs w:val="20"/>
      <w:lang w:val="en-U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n-U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n-U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lang w:val="en-GB"/>
    </w:rPr>
  </w:style>
  <w:style w:type="character" w:customStyle="1" w:styleId="BodyText3Char">
    <w:name w:val="Body Text 3 Char"/>
    <w:link w:val="BodyText3"/>
    <w:uiPriority w:val="99"/>
    <w:semiHidden/>
    <w:rsid w:val="00EB4403"/>
    <w:rPr>
      <w:sz w:val="16"/>
      <w:szCs w:val="16"/>
      <w:lang w:val="en-U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10"/>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cs="Arial"/>
      <w:b/>
      <w:bCs/>
      <w:sz w:val="32"/>
      <w:szCs w:val="22"/>
      <w:lang w:val="en-GB"/>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n-U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lang w:val="es-UY"/>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semiHidden/>
    <w:rsid w:val="00DA1080"/>
    <w:rPr>
      <w:sz w:val="24"/>
    </w:rPr>
  </w:style>
  <w:style w:type="character" w:customStyle="1" w:styleId="CommentTextChar">
    <w:name w:val="Comment Text Char"/>
    <w:link w:val="CommentText"/>
    <w:uiPriority w:val="99"/>
    <w:semiHidden/>
    <w:locked/>
    <w:rsid w:val="00DA1080"/>
    <w:rPr>
      <w:sz w:val="24"/>
      <w:lang w:val="en-U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n-U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20"/>
    <w:qFormat/>
    <w:rsid w:val="00F81FEF"/>
    <w:rPr>
      <w:rFonts w:cs="Times New Roman"/>
      <w:i/>
      <w:iCs/>
    </w:rPr>
  </w:style>
  <w:style w:type="paragraph" w:customStyle="1" w:styleId="Default">
    <w:name w:val="Default"/>
    <w:basedOn w:val="Normal"/>
    <w:rsid w:val="00CC57AD"/>
    <w:pPr>
      <w:widowControl/>
      <w:adjustRightInd/>
    </w:pPr>
    <w:rPr>
      <w:color w:val="000000"/>
      <w:sz w:val="24"/>
      <w:lang w:val="en-GB" w:eastAsia="en-GB"/>
    </w:rPr>
  </w:style>
  <w:style w:type="numbering" w:customStyle="1" w:styleId="NoList1">
    <w:name w:val="No List1"/>
    <w:next w:val="NoList"/>
    <w:uiPriority w:val="99"/>
    <w:semiHidden/>
    <w:unhideWhenUsed/>
    <w:rsid w:val="00C96521"/>
  </w:style>
  <w:style w:type="paragraph" w:customStyle="1" w:styleId="TDTitle">
    <w:name w:val="TD Title"/>
    <w:basedOn w:val="Normal"/>
    <w:link w:val="TDTitleChar"/>
    <w:rsid w:val="00C96521"/>
    <w:pPr>
      <w:widowControl/>
      <w:autoSpaceDE/>
      <w:autoSpaceDN/>
      <w:jc w:val="center"/>
    </w:pPr>
    <w:rPr>
      <w:rFonts w:cs="Arial"/>
      <w:b/>
      <w:bCs/>
      <w:spacing w:val="-3"/>
      <w:sz w:val="28"/>
      <w:szCs w:val="28"/>
      <w:lang w:val="en-GB" w:eastAsia="ja-JP"/>
    </w:rPr>
  </w:style>
  <w:style w:type="paragraph" w:customStyle="1" w:styleId="TDNormal">
    <w:name w:val="TD Normal"/>
    <w:basedOn w:val="Normal"/>
    <w:link w:val="TDNormalChar"/>
    <w:rsid w:val="00C96521"/>
    <w:pPr>
      <w:widowControl/>
      <w:autoSpaceDE/>
      <w:autoSpaceDN/>
    </w:pPr>
    <w:rPr>
      <w:rFonts w:cs="Arial"/>
      <w:sz w:val="20"/>
      <w:szCs w:val="20"/>
      <w:lang w:val="en-GB" w:eastAsia="ja-JP"/>
    </w:rPr>
  </w:style>
  <w:style w:type="character" w:customStyle="1" w:styleId="TDTitleChar">
    <w:name w:val="TD Title Char"/>
    <w:basedOn w:val="DefaultParagraphFont"/>
    <w:link w:val="TDTitle"/>
    <w:rsid w:val="00C96521"/>
    <w:rPr>
      <w:rFonts w:cs="Arial"/>
      <w:b/>
      <w:bCs/>
      <w:spacing w:val="-3"/>
      <w:sz w:val="28"/>
      <w:szCs w:val="28"/>
      <w:lang w:val="en-GB" w:eastAsia="ja-JP"/>
    </w:rPr>
  </w:style>
  <w:style w:type="paragraph" w:customStyle="1" w:styleId="TDSmall">
    <w:name w:val="TD Small"/>
    <w:basedOn w:val="Normal"/>
    <w:link w:val="TDSmallChar"/>
    <w:rsid w:val="00C96521"/>
    <w:pPr>
      <w:widowControl/>
      <w:autoSpaceDE/>
      <w:autoSpaceDN/>
    </w:pPr>
    <w:rPr>
      <w:rFonts w:cs="Arial"/>
      <w:sz w:val="16"/>
      <w:szCs w:val="16"/>
      <w:lang w:val="en-GB" w:eastAsia="ja-JP"/>
    </w:rPr>
  </w:style>
  <w:style w:type="character" w:customStyle="1" w:styleId="TDNormalChar">
    <w:name w:val="TD Normal Char"/>
    <w:basedOn w:val="DefaultParagraphFont"/>
    <w:link w:val="TDNormal"/>
    <w:rsid w:val="00C96521"/>
    <w:rPr>
      <w:rFonts w:cs="Arial"/>
      <w:sz w:val="20"/>
      <w:szCs w:val="20"/>
      <w:lang w:val="en-GB" w:eastAsia="ja-JP"/>
    </w:rPr>
  </w:style>
  <w:style w:type="paragraph" w:customStyle="1" w:styleId="TDHeading">
    <w:name w:val="TD Heading"/>
    <w:basedOn w:val="TDNormal"/>
    <w:link w:val="TDHeadingChar"/>
    <w:rsid w:val="00C96521"/>
    <w:pPr>
      <w:numPr>
        <w:numId w:val="11"/>
      </w:numPr>
    </w:pPr>
    <w:rPr>
      <w:b/>
      <w:bCs/>
      <w:sz w:val="24"/>
    </w:rPr>
  </w:style>
  <w:style w:type="character" w:customStyle="1" w:styleId="TDSmallChar">
    <w:name w:val="TD Small Char"/>
    <w:basedOn w:val="DefaultParagraphFont"/>
    <w:link w:val="TDSmall"/>
    <w:rsid w:val="00C96521"/>
    <w:rPr>
      <w:rFonts w:cs="Arial"/>
      <w:sz w:val="16"/>
      <w:szCs w:val="16"/>
      <w:lang w:val="en-GB" w:eastAsia="ja-JP"/>
    </w:rPr>
  </w:style>
  <w:style w:type="character" w:customStyle="1" w:styleId="TDHeadingChar">
    <w:name w:val="TD Heading Char"/>
    <w:basedOn w:val="TDNormalChar"/>
    <w:link w:val="TDHeading"/>
    <w:rsid w:val="00C96521"/>
    <w:rPr>
      <w:rFonts w:cs="Arial"/>
      <w:b/>
      <w:bCs/>
      <w:sz w:val="24"/>
      <w:szCs w:val="20"/>
      <w:lang w:val="en-GB" w:eastAsia="ja-JP"/>
    </w:rPr>
  </w:style>
  <w:style w:type="paragraph" w:styleId="TOCHeading">
    <w:name w:val="TOC Heading"/>
    <w:basedOn w:val="Heading1"/>
    <w:next w:val="Normal"/>
    <w:uiPriority w:val="39"/>
    <w:unhideWhenUsed/>
    <w:qFormat/>
    <w:rsid w:val="00C96521"/>
    <w:pPr>
      <w:keepLines/>
      <w:widowControl/>
      <w:tabs>
        <w:tab w:val="clear" w:pos="-1057"/>
        <w:tab w:val="clear" w:pos="-720"/>
        <w:tab w:val="clear" w:pos="0"/>
        <w:tab w:val="clear" w:pos="141"/>
        <w:tab w:val="clear" w:pos="720"/>
        <w:tab w:val="clear" w:pos="1440"/>
        <w:tab w:val="clear" w:pos="2160"/>
        <w:tab w:val="clear" w:pos="2880"/>
        <w:tab w:val="clear" w:pos="3600"/>
        <w:tab w:val="clear" w:pos="4320"/>
        <w:tab w:val="clear" w:pos="5040"/>
        <w:tab w:val="clear" w:pos="5760"/>
        <w:tab w:val="clear" w:pos="6008"/>
        <w:tab w:val="clear" w:pos="6480"/>
        <w:tab w:val="clear" w:pos="7200"/>
        <w:tab w:val="clear" w:pos="7920"/>
        <w:tab w:val="clear" w:pos="8640"/>
      </w:tabs>
      <w:autoSpaceDE/>
      <w:autoSpaceDN/>
      <w:adjustRightInd/>
      <w:spacing w:before="480" w:line="276" w:lineRule="auto"/>
      <w:outlineLvl w:val="9"/>
    </w:pPr>
    <w:rPr>
      <w:rFonts w:eastAsia="MS Gothic"/>
      <w:color w:val="365F91"/>
      <w:sz w:val="32"/>
      <w:szCs w:val="28"/>
      <w:lang w:eastAsia="ja-JP"/>
    </w:rPr>
  </w:style>
  <w:style w:type="paragraph" w:styleId="TOC2">
    <w:name w:val="toc 2"/>
    <w:basedOn w:val="Normal"/>
    <w:next w:val="Normal"/>
    <w:autoRedefine/>
    <w:uiPriority w:val="39"/>
    <w:unhideWhenUsed/>
    <w:locked/>
    <w:rsid w:val="00C96521"/>
    <w:pPr>
      <w:widowControl/>
      <w:autoSpaceDE/>
      <w:autoSpaceDN/>
      <w:adjustRightInd/>
      <w:spacing w:after="100" w:line="276" w:lineRule="auto"/>
      <w:ind w:left="220"/>
    </w:pPr>
    <w:rPr>
      <w:rFonts w:eastAsia="MS Mincho"/>
      <w:sz w:val="20"/>
      <w:szCs w:val="22"/>
      <w:lang w:val="en-GB" w:eastAsia="ja-JP"/>
    </w:rPr>
  </w:style>
  <w:style w:type="paragraph" w:styleId="TOC1">
    <w:name w:val="toc 1"/>
    <w:basedOn w:val="Normal"/>
    <w:next w:val="Normal"/>
    <w:autoRedefine/>
    <w:uiPriority w:val="39"/>
    <w:unhideWhenUsed/>
    <w:locked/>
    <w:rsid w:val="00C96521"/>
    <w:pPr>
      <w:widowControl/>
      <w:autoSpaceDE/>
      <w:autoSpaceDN/>
      <w:adjustRightInd/>
      <w:spacing w:after="100" w:line="276" w:lineRule="auto"/>
    </w:pPr>
    <w:rPr>
      <w:rFonts w:eastAsia="MS Mincho"/>
      <w:b/>
      <w:sz w:val="20"/>
      <w:szCs w:val="22"/>
      <w:lang w:val="en-GB" w:eastAsia="ja-JP"/>
    </w:rPr>
  </w:style>
  <w:style w:type="paragraph" w:styleId="TOC3">
    <w:name w:val="toc 3"/>
    <w:basedOn w:val="Normal"/>
    <w:next w:val="Normal"/>
    <w:autoRedefine/>
    <w:uiPriority w:val="39"/>
    <w:unhideWhenUsed/>
    <w:locked/>
    <w:rsid w:val="00C96521"/>
    <w:pPr>
      <w:widowControl/>
      <w:tabs>
        <w:tab w:val="right" w:leader="dot" w:pos="9310"/>
        <w:tab w:val="left" w:pos="9356"/>
      </w:tabs>
      <w:autoSpaceDE/>
      <w:autoSpaceDN/>
      <w:adjustRightInd/>
      <w:spacing w:after="100" w:line="276" w:lineRule="auto"/>
      <w:ind w:left="442"/>
    </w:pPr>
    <w:rPr>
      <w:rFonts w:eastAsia="MS Mincho"/>
      <w:sz w:val="20"/>
      <w:szCs w:val="22"/>
      <w:lang w:val="en-GB" w:eastAsia="ja-JP"/>
    </w:rPr>
  </w:style>
  <w:style w:type="paragraph" w:customStyle="1" w:styleId="Subtitle1">
    <w:name w:val="Subtitle1"/>
    <w:basedOn w:val="Normal"/>
    <w:next w:val="Normal"/>
    <w:uiPriority w:val="11"/>
    <w:qFormat/>
    <w:rsid w:val="00C96521"/>
    <w:pPr>
      <w:widowControl/>
      <w:numPr>
        <w:ilvl w:val="1"/>
      </w:numPr>
      <w:autoSpaceDE/>
      <w:autoSpaceDN/>
      <w:adjustRightInd/>
      <w:spacing w:line="276" w:lineRule="auto"/>
    </w:pPr>
    <w:rPr>
      <w:rFonts w:eastAsia="MS Gothic"/>
      <w:i/>
      <w:iCs/>
      <w:color w:val="4F81BD"/>
      <w:spacing w:val="15"/>
      <w:sz w:val="24"/>
      <w:lang w:val="en-GB" w:eastAsia="ja-JP"/>
    </w:rPr>
  </w:style>
  <w:style w:type="character" w:customStyle="1" w:styleId="SubtitleChar">
    <w:name w:val="Subtitle Char"/>
    <w:basedOn w:val="DefaultParagraphFont"/>
    <w:link w:val="Subtitle"/>
    <w:uiPriority w:val="11"/>
    <w:rsid w:val="00C96521"/>
    <w:rPr>
      <w:rFonts w:ascii="Arial" w:eastAsia="MS Gothic" w:hAnsi="Arial" w:cs="Times New Roman"/>
      <w:i/>
      <w:iCs/>
      <w:color w:val="4F81BD"/>
      <w:spacing w:val="15"/>
      <w:sz w:val="24"/>
      <w:szCs w:val="24"/>
      <w:lang w:val="en-GB"/>
    </w:rPr>
  </w:style>
  <w:style w:type="character" w:styleId="Strong">
    <w:name w:val="Strong"/>
    <w:uiPriority w:val="22"/>
    <w:qFormat/>
    <w:locked/>
    <w:rsid w:val="00C96521"/>
    <w:rPr>
      <w:b/>
      <w:bCs/>
    </w:rPr>
  </w:style>
  <w:style w:type="paragraph" w:styleId="NoSpacing">
    <w:name w:val="No Spacing"/>
    <w:basedOn w:val="Normal"/>
    <w:uiPriority w:val="1"/>
    <w:qFormat/>
    <w:rsid w:val="00C96521"/>
    <w:pPr>
      <w:widowControl/>
      <w:autoSpaceDE/>
      <w:autoSpaceDN/>
      <w:adjustRightInd/>
    </w:pPr>
    <w:rPr>
      <w:rFonts w:eastAsia="MS Mincho"/>
      <w:sz w:val="20"/>
      <w:szCs w:val="22"/>
      <w:lang w:val="en-GB" w:eastAsia="ja-JP"/>
    </w:rPr>
  </w:style>
  <w:style w:type="paragraph" w:customStyle="1" w:styleId="Quote1">
    <w:name w:val="Quote1"/>
    <w:basedOn w:val="Normal"/>
    <w:next w:val="Normal"/>
    <w:uiPriority w:val="29"/>
    <w:qFormat/>
    <w:rsid w:val="00C96521"/>
    <w:pPr>
      <w:widowControl/>
      <w:autoSpaceDE/>
      <w:autoSpaceDN/>
      <w:adjustRightInd/>
      <w:spacing w:line="276" w:lineRule="auto"/>
    </w:pPr>
    <w:rPr>
      <w:rFonts w:eastAsia="MS Mincho"/>
      <w:i/>
      <w:iCs/>
      <w:color w:val="000000"/>
      <w:sz w:val="20"/>
      <w:szCs w:val="22"/>
      <w:lang w:val="en-GB" w:eastAsia="ja-JP"/>
    </w:rPr>
  </w:style>
  <w:style w:type="character" w:customStyle="1" w:styleId="QuoteChar">
    <w:name w:val="Quote Char"/>
    <w:basedOn w:val="DefaultParagraphFont"/>
    <w:link w:val="Quote"/>
    <w:uiPriority w:val="29"/>
    <w:rsid w:val="00C96521"/>
    <w:rPr>
      <w:i/>
      <w:iCs/>
      <w:color w:val="000000"/>
      <w:lang w:val="en-GB"/>
    </w:rPr>
  </w:style>
  <w:style w:type="paragraph" w:customStyle="1" w:styleId="IntenseQuote1">
    <w:name w:val="Intense Quote1"/>
    <w:basedOn w:val="Normal"/>
    <w:next w:val="Normal"/>
    <w:uiPriority w:val="30"/>
    <w:qFormat/>
    <w:rsid w:val="00C96521"/>
    <w:pPr>
      <w:widowControl/>
      <w:pBdr>
        <w:bottom w:val="single" w:sz="4" w:space="4" w:color="4F81BD"/>
      </w:pBdr>
      <w:autoSpaceDE/>
      <w:autoSpaceDN/>
      <w:adjustRightInd/>
      <w:spacing w:before="200" w:after="280" w:line="276" w:lineRule="auto"/>
      <w:ind w:left="936" w:right="936"/>
    </w:pPr>
    <w:rPr>
      <w:rFonts w:eastAsia="MS Mincho"/>
      <w:b/>
      <w:bCs/>
      <w:i/>
      <w:iCs/>
      <w:color w:val="4F81BD"/>
      <w:sz w:val="20"/>
      <w:szCs w:val="22"/>
      <w:lang w:val="en-GB" w:eastAsia="ja-JP"/>
    </w:rPr>
  </w:style>
  <w:style w:type="character" w:customStyle="1" w:styleId="IntenseQuoteChar">
    <w:name w:val="Intense Quote Char"/>
    <w:basedOn w:val="DefaultParagraphFont"/>
    <w:link w:val="IntenseQuote"/>
    <w:uiPriority w:val="30"/>
    <w:rsid w:val="00C96521"/>
    <w:rPr>
      <w:b/>
      <w:bCs/>
      <w:i/>
      <w:iCs/>
      <w:color w:val="4F81BD"/>
      <w:lang w:val="en-GB"/>
    </w:rPr>
  </w:style>
  <w:style w:type="character" w:customStyle="1" w:styleId="SubtleEmphasis1">
    <w:name w:val="Subtle Emphasis1"/>
    <w:uiPriority w:val="19"/>
    <w:qFormat/>
    <w:rsid w:val="00C96521"/>
    <w:rPr>
      <w:i/>
      <w:iCs/>
      <w:color w:val="808080"/>
    </w:rPr>
  </w:style>
  <w:style w:type="character" w:customStyle="1" w:styleId="IntenseEmphasis1">
    <w:name w:val="Intense Emphasis1"/>
    <w:uiPriority w:val="21"/>
    <w:qFormat/>
    <w:rsid w:val="00C96521"/>
    <w:rPr>
      <w:b/>
      <w:bCs/>
      <w:i/>
      <w:iCs/>
      <w:color w:val="4F81BD"/>
    </w:rPr>
  </w:style>
  <w:style w:type="character" w:customStyle="1" w:styleId="SubtleReference1">
    <w:name w:val="Subtle Reference1"/>
    <w:basedOn w:val="DefaultParagraphFont"/>
    <w:uiPriority w:val="31"/>
    <w:qFormat/>
    <w:rsid w:val="00C96521"/>
    <w:rPr>
      <w:smallCaps/>
      <w:color w:val="C0504D"/>
      <w:u w:val="single"/>
    </w:rPr>
  </w:style>
  <w:style w:type="character" w:customStyle="1" w:styleId="IntenseReference1">
    <w:name w:val="Intense Reference1"/>
    <w:uiPriority w:val="32"/>
    <w:qFormat/>
    <w:rsid w:val="00C96521"/>
    <w:rPr>
      <w:b/>
      <w:bCs/>
      <w:smallCaps/>
      <w:color w:val="C0504D"/>
      <w:spacing w:val="5"/>
      <w:u w:val="single"/>
    </w:rPr>
  </w:style>
  <w:style w:type="character" w:styleId="BookTitle">
    <w:name w:val="Book Title"/>
    <w:basedOn w:val="DefaultParagraphFont"/>
    <w:uiPriority w:val="33"/>
    <w:qFormat/>
    <w:rsid w:val="00C96521"/>
    <w:rPr>
      <w:b/>
      <w:bCs/>
      <w:smallCaps/>
      <w:spacing w:val="5"/>
    </w:rPr>
  </w:style>
  <w:style w:type="table" w:styleId="TableGrid">
    <w:name w:val="Table Grid"/>
    <w:basedOn w:val="TableNormal"/>
    <w:uiPriority w:val="59"/>
    <w:locked/>
    <w:rsid w:val="00C96521"/>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C96521"/>
    <w:pPr>
      <w:widowControl/>
      <w:autoSpaceDE/>
      <w:autoSpaceDN/>
      <w:adjustRightInd/>
      <w:spacing w:before="100" w:beforeAutospacing="1" w:after="100" w:afterAutospacing="1"/>
    </w:pPr>
    <w:rPr>
      <w:rFonts w:ascii="Times New Roman" w:hAnsi="Times New Roman"/>
      <w:sz w:val="24"/>
      <w:lang w:val="en-GB" w:eastAsia="ja-JP"/>
    </w:rPr>
  </w:style>
  <w:style w:type="character" w:customStyle="1" w:styleId="apple-converted-space">
    <w:name w:val="apple-converted-space"/>
    <w:basedOn w:val="DefaultParagraphFont"/>
    <w:rsid w:val="00C96521"/>
  </w:style>
  <w:style w:type="character" w:customStyle="1" w:styleId="personname">
    <w:name w:val="person_name"/>
    <w:basedOn w:val="DefaultParagraphFont"/>
    <w:rsid w:val="00C96521"/>
  </w:style>
  <w:style w:type="paragraph" w:styleId="Revision">
    <w:name w:val="Revision"/>
    <w:hidden/>
    <w:uiPriority w:val="99"/>
    <w:semiHidden/>
    <w:rsid w:val="00C96521"/>
    <w:rPr>
      <w:rFonts w:eastAsia="MS Mincho"/>
      <w:sz w:val="20"/>
      <w:szCs w:val="22"/>
      <w:lang w:val="en-GB" w:eastAsia="ja-JP"/>
    </w:rPr>
  </w:style>
  <w:style w:type="character" w:customStyle="1" w:styleId="st">
    <w:name w:val="st"/>
    <w:basedOn w:val="DefaultParagraphFont"/>
    <w:rsid w:val="00C96521"/>
  </w:style>
  <w:style w:type="paragraph" w:styleId="EndnoteText">
    <w:name w:val="endnote text"/>
    <w:basedOn w:val="Normal"/>
    <w:link w:val="EndnoteTextChar"/>
    <w:uiPriority w:val="99"/>
    <w:semiHidden/>
    <w:unhideWhenUsed/>
    <w:rsid w:val="00C96521"/>
    <w:pPr>
      <w:widowControl/>
      <w:autoSpaceDE/>
      <w:autoSpaceDN/>
      <w:adjustRightInd/>
    </w:pPr>
    <w:rPr>
      <w:rFonts w:eastAsia="MS Mincho"/>
      <w:sz w:val="20"/>
      <w:szCs w:val="20"/>
      <w:lang w:val="en-GB" w:eastAsia="ja-JP"/>
    </w:rPr>
  </w:style>
  <w:style w:type="character" w:customStyle="1" w:styleId="EndnoteTextChar">
    <w:name w:val="Endnote Text Char"/>
    <w:basedOn w:val="DefaultParagraphFont"/>
    <w:link w:val="EndnoteText"/>
    <w:uiPriority w:val="99"/>
    <w:semiHidden/>
    <w:rsid w:val="00C96521"/>
    <w:rPr>
      <w:rFonts w:eastAsia="MS Mincho"/>
      <w:sz w:val="20"/>
      <w:szCs w:val="20"/>
      <w:lang w:val="en-GB" w:eastAsia="ja-JP"/>
    </w:rPr>
  </w:style>
  <w:style w:type="character" w:styleId="EndnoteReference">
    <w:name w:val="endnote reference"/>
    <w:basedOn w:val="DefaultParagraphFont"/>
    <w:uiPriority w:val="99"/>
    <w:semiHidden/>
    <w:unhideWhenUsed/>
    <w:rsid w:val="00C96521"/>
    <w:rPr>
      <w:vertAlign w:val="superscript"/>
    </w:rPr>
  </w:style>
  <w:style w:type="paragraph" w:customStyle="1" w:styleId="xmsolistparagraph">
    <w:name w:val="x_msolistparagraph"/>
    <w:basedOn w:val="Normal"/>
    <w:rsid w:val="00C96521"/>
    <w:pPr>
      <w:widowControl/>
      <w:autoSpaceDE/>
      <w:autoSpaceDN/>
      <w:adjustRightInd/>
      <w:spacing w:before="100" w:beforeAutospacing="1" w:after="100" w:afterAutospacing="1"/>
    </w:pPr>
    <w:rPr>
      <w:rFonts w:ascii="Times New Roman" w:hAnsi="Times New Roman"/>
      <w:sz w:val="24"/>
      <w:lang w:val="en-GB" w:eastAsia="ja-JP"/>
    </w:rPr>
  </w:style>
  <w:style w:type="paragraph" w:customStyle="1" w:styleId="Defra12ptBoldParagraph">
    <w:name w:val="Defra 12pt Bold Paragraph"/>
    <w:basedOn w:val="Normal"/>
    <w:rsid w:val="00C96521"/>
    <w:pPr>
      <w:autoSpaceDE/>
      <w:autoSpaceDN/>
      <w:adjustRightInd/>
      <w:spacing w:after="120" w:line="280" w:lineRule="exact"/>
    </w:pPr>
    <w:rPr>
      <w:b/>
      <w:sz w:val="24"/>
      <w:lang w:val="en-GB"/>
    </w:rPr>
  </w:style>
  <w:style w:type="paragraph" w:customStyle="1" w:styleId="xmsonormal">
    <w:name w:val="x_msonormal"/>
    <w:basedOn w:val="Normal"/>
    <w:rsid w:val="00C96521"/>
    <w:pPr>
      <w:widowControl/>
      <w:autoSpaceDE/>
      <w:autoSpaceDN/>
      <w:adjustRightInd/>
      <w:spacing w:before="100" w:beforeAutospacing="1" w:after="100" w:afterAutospacing="1"/>
    </w:pPr>
    <w:rPr>
      <w:rFonts w:ascii="Times New Roman" w:hAnsi="Times New Roman"/>
      <w:sz w:val="24"/>
      <w:lang w:val="en-GB" w:eastAsia="ja-JP"/>
    </w:rPr>
  </w:style>
  <w:style w:type="character" w:customStyle="1" w:styleId="views-labelviews-label-field-journal-last-page">
    <w:name w:val="views-label views-label-field-journal-last-page"/>
    <w:basedOn w:val="DefaultParagraphFont"/>
    <w:rsid w:val="00C96521"/>
  </w:style>
  <w:style w:type="character" w:customStyle="1" w:styleId="field-content">
    <w:name w:val="field-content"/>
    <w:basedOn w:val="DefaultParagraphFont"/>
    <w:rsid w:val="00C96521"/>
  </w:style>
  <w:style w:type="character" w:customStyle="1" w:styleId="contextualextensionhighlight">
    <w:name w:val="contextualextensionhighlight"/>
    <w:basedOn w:val="DefaultParagraphFont"/>
    <w:rsid w:val="00C96521"/>
  </w:style>
  <w:style w:type="paragraph" w:styleId="Subtitle">
    <w:name w:val="Subtitle"/>
    <w:basedOn w:val="Normal"/>
    <w:next w:val="Normal"/>
    <w:link w:val="SubtitleChar"/>
    <w:uiPriority w:val="11"/>
    <w:qFormat/>
    <w:locked/>
    <w:rsid w:val="00C96521"/>
    <w:pPr>
      <w:numPr>
        <w:ilvl w:val="1"/>
      </w:numPr>
      <w:spacing w:after="160"/>
    </w:pPr>
    <w:rPr>
      <w:rFonts w:eastAsia="MS Gothic"/>
      <w:i/>
      <w:iCs/>
      <w:color w:val="4F81BD"/>
      <w:spacing w:val="15"/>
      <w:sz w:val="24"/>
      <w:lang w:val="en-GB"/>
    </w:rPr>
  </w:style>
  <w:style w:type="character" w:customStyle="1" w:styleId="SubtitleChar1">
    <w:name w:val="Subtitle Char1"/>
    <w:basedOn w:val="DefaultParagraphFont"/>
    <w:rsid w:val="00C96521"/>
    <w:rPr>
      <w:rFonts w:asciiTheme="minorHAnsi" w:eastAsiaTheme="minorEastAsia" w:hAnsiTheme="minorHAnsi" w:cstheme="minorBidi"/>
      <w:color w:val="5A5A5A" w:themeColor="text1" w:themeTint="A5"/>
      <w:spacing w:val="15"/>
      <w:sz w:val="22"/>
      <w:szCs w:val="22"/>
    </w:rPr>
  </w:style>
  <w:style w:type="paragraph" w:styleId="Quote">
    <w:name w:val="Quote"/>
    <w:basedOn w:val="Normal"/>
    <w:next w:val="Normal"/>
    <w:link w:val="QuoteChar"/>
    <w:uiPriority w:val="29"/>
    <w:qFormat/>
    <w:rsid w:val="00C96521"/>
    <w:pPr>
      <w:spacing w:before="200" w:after="160"/>
      <w:ind w:left="864" w:right="864"/>
      <w:jc w:val="center"/>
    </w:pPr>
    <w:rPr>
      <w:i/>
      <w:iCs/>
      <w:color w:val="000000"/>
      <w:lang w:val="en-GB"/>
    </w:rPr>
  </w:style>
  <w:style w:type="character" w:customStyle="1" w:styleId="QuoteChar1">
    <w:name w:val="Quote Char1"/>
    <w:basedOn w:val="DefaultParagraphFont"/>
    <w:uiPriority w:val="29"/>
    <w:rsid w:val="00C96521"/>
    <w:rPr>
      <w:i/>
      <w:iCs/>
      <w:color w:val="404040" w:themeColor="text1" w:themeTint="BF"/>
    </w:rPr>
  </w:style>
  <w:style w:type="paragraph" w:styleId="IntenseQuote">
    <w:name w:val="Intense Quote"/>
    <w:basedOn w:val="Normal"/>
    <w:next w:val="Normal"/>
    <w:link w:val="IntenseQuoteChar"/>
    <w:uiPriority w:val="30"/>
    <w:qFormat/>
    <w:rsid w:val="00C96521"/>
    <w:pPr>
      <w:pBdr>
        <w:top w:val="single" w:sz="4" w:space="10" w:color="5B9BD5" w:themeColor="accent1"/>
        <w:bottom w:val="single" w:sz="4" w:space="10" w:color="5B9BD5" w:themeColor="accent1"/>
      </w:pBdr>
      <w:spacing w:before="360" w:after="360"/>
      <w:ind w:left="864" w:right="864"/>
      <w:jc w:val="center"/>
    </w:pPr>
    <w:rPr>
      <w:b/>
      <w:bCs/>
      <w:i/>
      <w:iCs/>
      <w:color w:val="4F81BD"/>
      <w:lang w:val="en-GB"/>
    </w:rPr>
  </w:style>
  <w:style w:type="character" w:customStyle="1" w:styleId="IntenseQuoteChar1">
    <w:name w:val="Intense Quote Char1"/>
    <w:basedOn w:val="DefaultParagraphFont"/>
    <w:uiPriority w:val="30"/>
    <w:rsid w:val="00C96521"/>
    <w:rPr>
      <w:i/>
      <w:iCs/>
      <w:color w:val="5B9BD5" w:themeColor="accent1"/>
    </w:rPr>
  </w:style>
  <w:style w:type="character" w:styleId="SubtleEmphasis">
    <w:name w:val="Subtle Emphasis"/>
    <w:basedOn w:val="DefaultParagraphFont"/>
    <w:uiPriority w:val="19"/>
    <w:qFormat/>
    <w:rsid w:val="00C96521"/>
    <w:rPr>
      <w:i/>
      <w:iCs/>
      <w:color w:val="404040" w:themeColor="text1" w:themeTint="BF"/>
    </w:rPr>
  </w:style>
  <w:style w:type="character" w:styleId="IntenseEmphasis">
    <w:name w:val="Intense Emphasis"/>
    <w:basedOn w:val="DefaultParagraphFont"/>
    <w:uiPriority w:val="21"/>
    <w:qFormat/>
    <w:rsid w:val="00C96521"/>
    <w:rPr>
      <w:i/>
      <w:iCs/>
      <w:color w:val="5B9BD5" w:themeColor="accent1"/>
    </w:rPr>
  </w:style>
  <w:style w:type="character" w:styleId="SubtleReference">
    <w:name w:val="Subtle Reference"/>
    <w:basedOn w:val="DefaultParagraphFont"/>
    <w:uiPriority w:val="31"/>
    <w:qFormat/>
    <w:rsid w:val="00C96521"/>
    <w:rPr>
      <w:smallCaps/>
      <w:color w:val="5A5A5A" w:themeColor="text1" w:themeTint="A5"/>
    </w:rPr>
  </w:style>
  <w:style w:type="character" w:styleId="IntenseReference">
    <w:name w:val="Intense Reference"/>
    <w:basedOn w:val="DefaultParagraphFont"/>
    <w:uiPriority w:val="32"/>
    <w:qFormat/>
    <w:rsid w:val="00C96521"/>
    <w:rPr>
      <w:b/>
      <w:bCs/>
      <w:smallCaps/>
      <w:color w:val="5B9BD5"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9520925">
      <w:bodyDiv w:val="1"/>
      <w:marLeft w:val="0"/>
      <w:marRight w:val="0"/>
      <w:marTop w:val="0"/>
      <w:marBottom w:val="0"/>
      <w:divBdr>
        <w:top w:val="none" w:sz="0" w:space="0" w:color="auto"/>
        <w:left w:val="none" w:sz="0" w:space="0" w:color="auto"/>
        <w:bottom w:val="none" w:sz="0" w:space="0" w:color="auto"/>
        <w:right w:val="none" w:sz="0" w:space="0" w:color="auto"/>
      </w:divBdr>
    </w:div>
    <w:div w:id="1110203860">
      <w:bodyDiv w:val="1"/>
      <w:marLeft w:val="0"/>
      <w:marRight w:val="0"/>
      <w:marTop w:val="0"/>
      <w:marBottom w:val="0"/>
      <w:divBdr>
        <w:top w:val="none" w:sz="0" w:space="0" w:color="auto"/>
        <w:left w:val="none" w:sz="0" w:space="0" w:color="auto"/>
        <w:bottom w:val="none" w:sz="0" w:space="0" w:color="auto"/>
        <w:right w:val="none" w:sz="0" w:space="0" w:color="auto"/>
      </w:divBdr>
    </w:div>
    <w:div w:id="1129397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8.jpeg"/><Relationship Id="rId34" Type="http://schemas.openxmlformats.org/officeDocument/2006/relationships/footer" Target="footer6.xml"/><Relationship Id="rId42" Type="http://schemas.openxmlformats.org/officeDocument/2006/relationships/chart" Target="charts/chart7.xml"/><Relationship Id="rId47" Type="http://schemas.openxmlformats.org/officeDocument/2006/relationships/hyperlink" Target="http://www.birdlife.lt/" TargetMode="External"/><Relationship Id="rId50" Type="http://schemas.openxmlformats.org/officeDocument/2006/relationships/package" Target="embeddings/Microsoft_PowerPoint_Slide.sldx"/><Relationship Id="rId55" Type="http://schemas.openxmlformats.org/officeDocument/2006/relationships/hyperlink" Target="http://www.batumiraptorcount.org/raptor-migration/migration-count-data" TargetMode="External"/><Relationship Id="rId63" Type="http://schemas.openxmlformats.org/officeDocument/2006/relationships/hyperlink" Target="https://msdeccms.gov.mt/en/Documents/Downloads/WBRU/spring%20hunting%202015/SH%202015%20derogation%20report.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image" Target="media/image13.jpeg"/><Relationship Id="rId40" Type="http://schemas.openxmlformats.org/officeDocument/2006/relationships/chart" Target="charts/chart5.xml"/><Relationship Id="rId45" Type="http://schemas.openxmlformats.org/officeDocument/2006/relationships/chart" Target="charts/chart10.xml"/><Relationship Id="rId53" Type="http://schemas.openxmlformats.org/officeDocument/2006/relationships/image" Target="media/image18.jpeg"/><Relationship Id="rId58" Type="http://schemas.openxmlformats.org/officeDocument/2006/relationships/hyperlink" Target="http://www.raco.cat/index.php/ButlletiAnellament/index"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uoor.com.ua/eng/legislation/about_hunting" TargetMode="External"/><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header" Target="header7.xml"/><Relationship Id="rId30" Type="http://schemas.openxmlformats.org/officeDocument/2006/relationships/chart" Target="charts/chart1.xml"/><Relationship Id="rId35" Type="http://schemas.openxmlformats.org/officeDocument/2006/relationships/footer" Target="footer7.xml"/><Relationship Id="rId43" Type="http://schemas.openxmlformats.org/officeDocument/2006/relationships/chart" Target="charts/chart8.xml"/><Relationship Id="rId48" Type="http://schemas.openxmlformats.org/officeDocument/2006/relationships/image" Target="media/image14.jpeg"/><Relationship Id="rId56" Type="http://schemas.openxmlformats.org/officeDocument/2006/relationships/hyperlink" Target="https://protect-eu.mimecast.com/s/bAQABS6neOhr" TargetMode="External"/><Relationship Id="rId64" Type="http://schemas.openxmlformats.org/officeDocument/2006/relationships/hyperlink" Target="https://msdeccms.gov.mt/en/Documents/Downloads/WBRU/2016/SH%20derogation%20report%202016%209-6.pdf" TargetMode="External"/><Relationship Id="rId8" Type="http://schemas.openxmlformats.org/officeDocument/2006/relationships/image" Target="media/image1.wmf"/><Relationship Id="rId51" Type="http://schemas.openxmlformats.org/officeDocument/2006/relationships/image" Target="media/image16.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header" Target="header6.xml"/><Relationship Id="rId33" Type="http://schemas.openxmlformats.org/officeDocument/2006/relationships/header" Target="header10.xml"/><Relationship Id="rId38" Type="http://schemas.openxmlformats.org/officeDocument/2006/relationships/chart" Target="charts/chart3.xml"/><Relationship Id="rId46" Type="http://schemas.openxmlformats.org/officeDocument/2006/relationships/chart" Target="charts/chart11.xml"/><Relationship Id="rId59" Type="http://schemas.openxmlformats.org/officeDocument/2006/relationships/hyperlink" Target="http://www.rspb.org.uk/community/ourwork/b/biodiversity/archive/2016/08/30/what-we-ve-learnt-from-titan-the-satellite-tagged-turtle-dove.aspx" TargetMode="External"/><Relationship Id="rId20" Type="http://schemas.openxmlformats.org/officeDocument/2006/relationships/image" Target="media/image7.png"/><Relationship Id="rId41" Type="http://schemas.openxmlformats.org/officeDocument/2006/relationships/chart" Target="charts/chart6.xml"/><Relationship Id="rId54" Type="http://schemas.openxmlformats.org/officeDocument/2006/relationships/image" Target="media/image19.jpeg"/><Relationship Id="rId62" Type="http://schemas.openxmlformats.org/officeDocument/2006/relationships/hyperlink" Target="http://onlinelibrary.wiley.com/doi/10.1111/j.1748-7692.1998.tb00688.x/ful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10.jpeg"/><Relationship Id="rId28" Type="http://schemas.openxmlformats.org/officeDocument/2006/relationships/header" Target="header8.xml"/><Relationship Id="rId36" Type="http://schemas.openxmlformats.org/officeDocument/2006/relationships/image" Target="media/image12.png"/><Relationship Id="rId49" Type="http://schemas.openxmlformats.org/officeDocument/2006/relationships/image" Target="media/image15.emf"/><Relationship Id="rId57" Type="http://schemas.openxmlformats.org/officeDocument/2006/relationships/hyperlink" Target="http://www.zzps.rs/novo/index.php?jezik=_en&amp;strana=vest&amp;n=282" TargetMode="External"/><Relationship Id="rId10" Type="http://schemas.openxmlformats.org/officeDocument/2006/relationships/header" Target="header2.xml"/><Relationship Id="rId31" Type="http://schemas.openxmlformats.org/officeDocument/2006/relationships/chart" Target="charts/chart2.xml"/><Relationship Id="rId44" Type="http://schemas.openxmlformats.org/officeDocument/2006/relationships/chart" Target="charts/chart9.xml"/><Relationship Id="rId52" Type="http://schemas.openxmlformats.org/officeDocument/2006/relationships/image" Target="media/image17.jpeg"/><Relationship Id="rId60" Type="http://schemas.openxmlformats.org/officeDocument/2006/relationships/hyperlink" Target="http://www.trafficj.org/publication/08_Illigal_trade_in_wild_birds.pdf"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39" Type="http://schemas.openxmlformats.org/officeDocument/2006/relationships/chart" Target="charts/chart4.xml"/></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TURTLE%20DOVE\Review%20MP%20-%20management%20plan\MP%20Draft%202%20-%20report\Table%20of%20API%20and%20NIS%20for%20Management%20Plan%20Review.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oleObject" Target="file:///D:\TURTLE%20DOVE\Review%20MP%20-%20management%20plan\MP%20Draft%202%20-%20report\Table%20of%20API%20and%20NIS%20for%20Management%20Plan%20Review.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Next%20batch\TurtleDove_national%20data%20-%20PECBMS.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netwin\userdata\D-IntNat\DivShare\Migrants\PERSONAL\Ian%20and%20Jos\Status%20report\Next%20batch\Processed\TurtleDove_national%20data%20-%20PECBMS.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'NIS graph'!$A$2</c:f>
              <c:strCache>
                <c:ptCount val="1"/>
                <c:pt idx="0">
                  <c:v>NIS</c:v>
                </c:pt>
              </c:strCache>
            </c:strRef>
          </c:tx>
          <c:spPr>
            <a:solidFill>
              <a:schemeClr val="bg1">
                <a:lumMod val="75000"/>
              </a:schemeClr>
            </a:solidFill>
          </c:spPr>
          <c:invertIfNegative val="0"/>
          <c:dPt>
            <c:idx val="25"/>
            <c:invertIfNegative val="0"/>
            <c:bubble3D val="0"/>
            <c:spPr>
              <a:solidFill>
                <a:schemeClr val="bg1">
                  <a:lumMod val="50000"/>
                </a:schemeClr>
              </a:solidFill>
            </c:spPr>
            <c:extLst>
              <c:ext xmlns:c16="http://schemas.microsoft.com/office/drawing/2014/chart" uri="{C3380CC4-5D6E-409C-BE32-E72D297353CC}">
                <c16:uniqueId val="{00000001-BD84-4BD9-92FA-5ABA7FE825C6}"/>
              </c:ext>
            </c:extLst>
          </c:dPt>
          <c:cat>
            <c:strRef>
              <c:f>'NIS graph'!$B$1:$AA$1</c:f>
              <c:strCache>
                <c:ptCount val="26"/>
                <c:pt idx="0">
                  <c:v>AT</c:v>
                </c:pt>
                <c:pt idx="1">
                  <c:v>BE</c:v>
                </c:pt>
                <c:pt idx="2">
                  <c:v>BG</c:v>
                </c:pt>
                <c:pt idx="3">
                  <c:v>CY</c:v>
                </c:pt>
                <c:pt idx="4">
                  <c:v>CZ</c:v>
                </c:pt>
                <c:pt idx="5">
                  <c:v>DE</c:v>
                </c:pt>
                <c:pt idx="6">
                  <c:v>DK</c:v>
                </c:pt>
                <c:pt idx="7">
                  <c:v>EE</c:v>
                </c:pt>
                <c:pt idx="8">
                  <c:v>EL</c:v>
                </c:pt>
                <c:pt idx="9">
                  <c:v>ES</c:v>
                </c:pt>
                <c:pt idx="10">
                  <c:v>FR</c:v>
                </c:pt>
                <c:pt idx="11">
                  <c:v>HR</c:v>
                </c:pt>
                <c:pt idx="12">
                  <c:v>HU</c:v>
                </c:pt>
                <c:pt idx="13">
                  <c:v>IT</c:v>
                </c:pt>
                <c:pt idx="14">
                  <c:v>LT</c:v>
                </c:pt>
                <c:pt idx="15">
                  <c:v>LU</c:v>
                </c:pt>
                <c:pt idx="16">
                  <c:v>LV</c:v>
                </c:pt>
                <c:pt idx="17">
                  <c:v>MT</c:v>
                </c:pt>
                <c:pt idx="18">
                  <c:v>NL</c:v>
                </c:pt>
                <c:pt idx="19">
                  <c:v>PL</c:v>
                </c:pt>
                <c:pt idx="20">
                  <c:v>PT</c:v>
                </c:pt>
                <c:pt idx="21">
                  <c:v>RO</c:v>
                </c:pt>
                <c:pt idx="22">
                  <c:v>SI</c:v>
                </c:pt>
                <c:pt idx="23">
                  <c:v>SK</c:v>
                </c:pt>
                <c:pt idx="24">
                  <c:v>UK</c:v>
                </c:pt>
                <c:pt idx="25">
                  <c:v>Average</c:v>
                </c:pt>
              </c:strCache>
            </c:strRef>
          </c:cat>
          <c:val>
            <c:numRef>
              <c:f>'NIS graph'!$B$2:$AA$2</c:f>
              <c:numCache>
                <c:formatCode>0.0</c:formatCode>
                <c:ptCount val="26"/>
                <c:pt idx="0">
                  <c:v>1.3333333333333333</c:v>
                </c:pt>
                <c:pt idx="1">
                  <c:v>2.2000000000000002</c:v>
                </c:pt>
                <c:pt idx="2">
                  <c:v>1.8333333333333333</c:v>
                </c:pt>
                <c:pt idx="3">
                  <c:v>2.0555555555555554</c:v>
                </c:pt>
                <c:pt idx="4">
                  <c:v>1.4</c:v>
                </c:pt>
                <c:pt idx="5">
                  <c:v>2.1578947368421284</c:v>
                </c:pt>
                <c:pt idx="6">
                  <c:v>2</c:v>
                </c:pt>
                <c:pt idx="7">
                  <c:v>1</c:v>
                </c:pt>
                <c:pt idx="8">
                  <c:v>1.8888888888888991</c:v>
                </c:pt>
                <c:pt idx="9">
                  <c:v>1.55</c:v>
                </c:pt>
                <c:pt idx="10">
                  <c:v>2.7727272727273027</c:v>
                </c:pt>
                <c:pt idx="11">
                  <c:v>1</c:v>
                </c:pt>
                <c:pt idx="12">
                  <c:v>1.6</c:v>
                </c:pt>
                <c:pt idx="13">
                  <c:v>1.5</c:v>
                </c:pt>
                <c:pt idx="14">
                  <c:v>1.2</c:v>
                </c:pt>
                <c:pt idx="15">
                  <c:v>1.8</c:v>
                </c:pt>
                <c:pt idx="16">
                  <c:v>2.2000000000000002</c:v>
                </c:pt>
                <c:pt idx="17">
                  <c:v>3.3333333333333335</c:v>
                </c:pt>
                <c:pt idx="18">
                  <c:v>1.6</c:v>
                </c:pt>
                <c:pt idx="19">
                  <c:v>1.6666666666666667</c:v>
                </c:pt>
                <c:pt idx="20">
                  <c:v>1.5909090909090806</c:v>
                </c:pt>
                <c:pt idx="21">
                  <c:v>2.0499999999999998</c:v>
                </c:pt>
                <c:pt idx="22">
                  <c:v>2</c:v>
                </c:pt>
                <c:pt idx="23">
                  <c:v>1.4</c:v>
                </c:pt>
                <c:pt idx="24">
                  <c:v>3</c:v>
                </c:pt>
                <c:pt idx="25" formatCode="General">
                  <c:v>1.9221934254829001</c:v>
                </c:pt>
              </c:numCache>
            </c:numRef>
          </c:val>
          <c:extLst>
            <c:ext xmlns:c16="http://schemas.microsoft.com/office/drawing/2014/chart" uri="{C3380CC4-5D6E-409C-BE32-E72D297353CC}">
              <c16:uniqueId val="{00000002-BD84-4BD9-92FA-5ABA7FE825C6}"/>
            </c:ext>
          </c:extLst>
        </c:ser>
        <c:dLbls>
          <c:showLegendKey val="0"/>
          <c:showVal val="0"/>
          <c:showCatName val="0"/>
          <c:showSerName val="0"/>
          <c:showPercent val="0"/>
          <c:showBubbleSize val="0"/>
        </c:dLbls>
        <c:gapWidth val="55"/>
        <c:overlap val="100"/>
        <c:axId val="131798144"/>
        <c:axId val="131800448"/>
      </c:barChart>
      <c:catAx>
        <c:axId val="131798144"/>
        <c:scaling>
          <c:orientation val="minMax"/>
        </c:scaling>
        <c:delete val="0"/>
        <c:axPos val="b"/>
        <c:title>
          <c:tx>
            <c:rich>
              <a:bodyPr/>
              <a:lstStyle/>
              <a:p>
                <a:pPr>
                  <a:defRPr/>
                </a:pPr>
                <a:r>
                  <a:rPr lang="en-GB"/>
                  <a:t>Member State</a:t>
                </a:r>
              </a:p>
            </c:rich>
          </c:tx>
          <c:overlay val="0"/>
        </c:title>
        <c:numFmt formatCode="General" sourceLinked="0"/>
        <c:majorTickMark val="none"/>
        <c:minorTickMark val="none"/>
        <c:tickLblPos val="nextTo"/>
        <c:crossAx val="131800448"/>
        <c:crosses val="autoZero"/>
        <c:auto val="1"/>
        <c:lblAlgn val="ctr"/>
        <c:lblOffset val="100"/>
        <c:noMultiLvlLbl val="0"/>
      </c:catAx>
      <c:valAx>
        <c:axId val="131800448"/>
        <c:scaling>
          <c:orientation val="minMax"/>
          <c:max val="4"/>
          <c:min val="1"/>
        </c:scaling>
        <c:delete val="0"/>
        <c:axPos val="l"/>
        <c:title>
          <c:tx>
            <c:rich>
              <a:bodyPr/>
              <a:lstStyle/>
              <a:p>
                <a:pPr>
                  <a:defRPr/>
                </a:pPr>
                <a:r>
                  <a:rPr lang="en-GB"/>
                  <a:t>National</a:t>
                </a:r>
                <a:r>
                  <a:rPr lang="en-GB" baseline="0"/>
                  <a:t> Implementation Score (NIS)</a:t>
                </a:r>
                <a:endParaRPr lang="en-GB"/>
              </a:p>
            </c:rich>
          </c:tx>
          <c:overlay val="0"/>
        </c:title>
        <c:numFmt formatCode="0.0" sourceLinked="1"/>
        <c:majorTickMark val="none"/>
        <c:minorTickMark val="none"/>
        <c:tickLblPos val="nextTo"/>
        <c:crossAx val="131798144"/>
        <c:crosses val="autoZero"/>
        <c:crossBetween val="between"/>
      </c:valAx>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bg1">
                <a:lumMod val="75000"/>
              </a:schemeClr>
            </a:solidFill>
          </c:spPr>
          <c:invertIfNegative val="0"/>
          <c:errBars>
            <c:errBarType val="both"/>
            <c:errValType val="cust"/>
            <c:noEndCap val="0"/>
            <c:plus>
              <c:numRef>
                <c:f>Sheet7!$D$2:$D$16</c:f>
                <c:numCache>
                  <c:formatCode>General</c:formatCode>
                  <c:ptCount val="15"/>
                  <c:pt idx="0">
                    <c:v>4.9200000000000021E-2</c:v>
                  </c:pt>
                  <c:pt idx="1">
                    <c:v>3.9199999999999999E-2</c:v>
                  </c:pt>
                  <c:pt idx="2">
                    <c:v>2.1700000000000001E-2</c:v>
                  </c:pt>
                  <c:pt idx="3">
                    <c:v>4.2400000000000014E-2</c:v>
                  </c:pt>
                  <c:pt idx="4">
                    <c:v>1.6600000000000201E-2</c:v>
                  </c:pt>
                  <c:pt idx="5">
                    <c:v>2.2600000000000012E-2</c:v>
                  </c:pt>
                  <c:pt idx="6">
                    <c:v>8.5200000000000026E-2</c:v>
                  </c:pt>
                  <c:pt idx="7">
                    <c:v>2.0600000000000011E-2</c:v>
                  </c:pt>
                  <c:pt idx="8">
                    <c:v>5.8000000000000013E-3</c:v>
                  </c:pt>
                  <c:pt idx="9">
                    <c:v>9.4000000000000247E-3</c:v>
                  </c:pt>
                  <c:pt idx="10">
                    <c:v>3.8199999999999998E-2</c:v>
                  </c:pt>
                  <c:pt idx="11">
                    <c:v>2.7000000000000422E-3</c:v>
                  </c:pt>
                  <c:pt idx="12">
                    <c:v>6.1000000000000004E-3</c:v>
                  </c:pt>
                  <c:pt idx="13">
                    <c:v>2.5999999999999999E-3</c:v>
                  </c:pt>
                  <c:pt idx="14">
                    <c:v>2.3400000000000001E-2</c:v>
                  </c:pt>
                </c:numCache>
              </c:numRef>
            </c:plus>
            <c:minus>
              <c:numRef>
                <c:f>Sheet7!$D$2:$D$16</c:f>
                <c:numCache>
                  <c:formatCode>General</c:formatCode>
                  <c:ptCount val="15"/>
                  <c:pt idx="0">
                    <c:v>4.9200000000000021E-2</c:v>
                  </c:pt>
                  <c:pt idx="1">
                    <c:v>3.9199999999999999E-2</c:v>
                  </c:pt>
                  <c:pt idx="2">
                    <c:v>2.1700000000000001E-2</c:v>
                  </c:pt>
                  <c:pt idx="3">
                    <c:v>4.2400000000000014E-2</c:v>
                  </c:pt>
                  <c:pt idx="4">
                    <c:v>1.6600000000000201E-2</c:v>
                  </c:pt>
                  <c:pt idx="5">
                    <c:v>2.2600000000000012E-2</c:v>
                  </c:pt>
                  <c:pt idx="6">
                    <c:v>8.5200000000000026E-2</c:v>
                  </c:pt>
                  <c:pt idx="7">
                    <c:v>2.0600000000000011E-2</c:v>
                  </c:pt>
                  <c:pt idx="8">
                    <c:v>5.8000000000000013E-3</c:v>
                  </c:pt>
                  <c:pt idx="9">
                    <c:v>9.4000000000000247E-3</c:v>
                  </c:pt>
                  <c:pt idx="10">
                    <c:v>3.8199999999999998E-2</c:v>
                  </c:pt>
                  <c:pt idx="11">
                    <c:v>2.7000000000000422E-3</c:v>
                  </c:pt>
                  <c:pt idx="12">
                    <c:v>6.1000000000000004E-3</c:v>
                  </c:pt>
                  <c:pt idx="13">
                    <c:v>2.5999999999999999E-3</c:v>
                  </c:pt>
                  <c:pt idx="14">
                    <c:v>2.3400000000000001E-2</c:v>
                  </c:pt>
                </c:numCache>
              </c:numRef>
            </c:minus>
          </c:errBars>
          <c:cat>
            <c:strRef>
              <c:f>Sheet7!$B$2:$B$16</c:f>
              <c:strCache>
                <c:ptCount val="15"/>
                <c:pt idx="0">
                  <c:v>Cyprus</c:v>
                </c:pt>
                <c:pt idx="1">
                  <c:v>Romania</c:v>
                </c:pt>
                <c:pt idx="2">
                  <c:v>Bulgaria</c:v>
                </c:pt>
                <c:pt idx="3">
                  <c:v>Greece</c:v>
                </c:pt>
                <c:pt idx="4">
                  <c:v>Estonia</c:v>
                </c:pt>
                <c:pt idx="5">
                  <c:v>Latvia</c:v>
                </c:pt>
                <c:pt idx="6">
                  <c:v>Lithuania</c:v>
                </c:pt>
                <c:pt idx="7">
                  <c:v>Slovakia</c:v>
                </c:pt>
                <c:pt idx="8">
                  <c:v>Hungary</c:v>
                </c:pt>
                <c:pt idx="9">
                  <c:v>Poland</c:v>
                </c:pt>
                <c:pt idx="10">
                  <c:v>Slovenia</c:v>
                </c:pt>
                <c:pt idx="11">
                  <c:v>Czech Republic</c:v>
                </c:pt>
                <c:pt idx="12">
                  <c:v>Austria</c:v>
                </c:pt>
                <c:pt idx="13">
                  <c:v>Italy</c:v>
                </c:pt>
                <c:pt idx="14">
                  <c:v>Switzerland</c:v>
                </c:pt>
              </c:strCache>
            </c:strRef>
          </c:cat>
          <c:val>
            <c:numRef>
              <c:f>Sheet7!$C$2:$C$16</c:f>
              <c:numCache>
                <c:formatCode>General</c:formatCode>
                <c:ptCount val="15"/>
                <c:pt idx="0">
                  <c:v>0.95809999999999995</c:v>
                </c:pt>
                <c:pt idx="1">
                  <c:v>1.0243</c:v>
                </c:pt>
                <c:pt idx="2">
                  <c:v>0.99249999999999949</c:v>
                </c:pt>
                <c:pt idx="3">
                  <c:v>1.0242</c:v>
                </c:pt>
                <c:pt idx="4">
                  <c:v>0.95680000000000065</c:v>
                </c:pt>
                <c:pt idx="5">
                  <c:v>0.97560000000000824</c:v>
                </c:pt>
                <c:pt idx="6">
                  <c:v>0.94110000000000005</c:v>
                </c:pt>
                <c:pt idx="7">
                  <c:v>0.94780000000000064</c:v>
                </c:pt>
                <c:pt idx="8">
                  <c:v>0.9974999999999995</c:v>
                </c:pt>
                <c:pt idx="9">
                  <c:v>0.97319999999999995</c:v>
                </c:pt>
                <c:pt idx="10">
                  <c:v>0.90920000000000001</c:v>
                </c:pt>
                <c:pt idx="11">
                  <c:v>0.97260000000000801</c:v>
                </c:pt>
                <c:pt idx="12">
                  <c:v>0.95690000000000064</c:v>
                </c:pt>
                <c:pt idx="13">
                  <c:v>1.0024999999999857</c:v>
                </c:pt>
                <c:pt idx="14">
                  <c:v>0.94690000000000063</c:v>
                </c:pt>
              </c:numCache>
            </c:numRef>
          </c:val>
          <c:extLst>
            <c:ext xmlns:c16="http://schemas.microsoft.com/office/drawing/2014/chart" uri="{C3380CC4-5D6E-409C-BE32-E72D297353CC}">
              <c16:uniqueId val="{00000000-CFE9-4397-ABB1-79132C88D1F1}"/>
            </c:ext>
          </c:extLst>
        </c:ser>
        <c:dLbls>
          <c:showLegendKey val="0"/>
          <c:showVal val="0"/>
          <c:showCatName val="0"/>
          <c:showSerName val="0"/>
          <c:showPercent val="0"/>
          <c:showBubbleSize val="0"/>
        </c:dLbls>
        <c:gapWidth val="150"/>
        <c:axId val="127816448"/>
        <c:axId val="127817984"/>
      </c:barChart>
      <c:catAx>
        <c:axId val="127816448"/>
        <c:scaling>
          <c:orientation val="minMax"/>
        </c:scaling>
        <c:delete val="0"/>
        <c:axPos val="l"/>
        <c:numFmt formatCode="General" sourceLinked="0"/>
        <c:majorTickMark val="out"/>
        <c:minorTickMark val="none"/>
        <c:tickLblPos val="nextTo"/>
        <c:crossAx val="127817984"/>
        <c:crossesAt val="1"/>
        <c:auto val="1"/>
        <c:lblAlgn val="ctr"/>
        <c:lblOffset val="100"/>
        <c:noMultiLvlLbl val="0"/>
      </c:catAx>
      <c:valAx>
        <c:axId val="127817984"/>
        <c:scaling>
          <c:orientation val="minMax"/>
          <c:max val="1.1500000000000001"/>
          <c:min val="0.85000000000000064"/>
        </c:scaling>
        <c:delete val="0"/>
        <c:axPos val="b"/>
        <c:title>
          <c:tx>
            <c:rich>
              <a:bodyPr/>
              <a:lstStyle/>
              <a:p>
                <a:pPr>
                  <a:defRPr/>
                </a:pPr>
                <a:r>
                  <a:rPr lang="en-US"/>
                  <a:t>Multiplicative trend slope</a:t>
                </a:r>
              </a:p>
            </c:rich>
          </c:tx>
          <c:overlay val="0"/>
        </c:title>
        <c:numFmt formatCode="General" sourceLinked="1"/>
        <c:majorTickMark val="out"/>
        <c:minorTickMark val="none"/>
        <c:tickLblPos val="nextTo"/>
        <c:crossAx val="127816448"/>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Sheet3!$D$1</c:f>
              <c:strCache>
                <c:ptCount val="1"/>
                <c:pt idx="0">
                  <c:v>Slope Multiplicative</c:v>
                </c:pt>
              </c:strCache>
            </c:strRef>
          </c:tx>
          <c:spPr>
            <a:solidFill>
              <a:prstClr val="white">
                <a:lumMod val="85000"/>
              </a:prstClr>
            </a:solidFill>
          </c:spPr>
          <c:invertIfNegative val="0"/>
          <c:dPt>
            <c:idx val="2"/>
            <c:invertIfNegative val="0"/>
            <c:bubble3D val="0"/>
            <c:spPr>
              <a:solidFill>
                <a:schemeClr val="bg1">
                  <a:lumMod val="50000"/>
                </a:schemeClr>
              </a:solidFill>
            </c:spPr>
            <c:extLst>
              <c:ext xmlns:c16="http://schemas.microsoft.com/office/drawing/2014/chart" uri="{C3380CC4-5D6E-409C-BE32-E72D297353CC}">
                <c16:uniqueId val="{00000001-56FE-46DF-9C8E-B51830BD7BA1}"/>
              </c:ext>
            </c:extLst>
          </c:dPt>
          <c:dPt>
            <c:idx val="4"/>
            <c:invertIfNegative val="0"/>
            <c:bubble3D val="0"/>
            <c:spPr>
              <a:solidFill>
                <a:schemeClr val="bg1">
                  <a:lumMod val="50000"/>
                </a:schemeClr>
              </a:solidFill>
            </c:spPr>
            <c:extLst>
              <c:ext xmlns:c16="http://schemas.microsoft.com/office/drawing/2014/chart" uri="{C3380CC4-5D6E-409C-BE32-E72D297353CC}">
                <c16:uniqueId val="{00000003-56FE-46DF-9C8E-B51830BD7BA1}"/>
              </c:ext>
            </c:extLst>
          </c:dPt>
          <c:dPt>
            <c:idx val="5"/>
            <c:invertIfNegative val="0"/>
            <c:bubble3D val="0"/>
            <c:spPr>
              <a:solidFill>
                <a:schemeClr val="bg1">
                  <a:lumMod val="50000"/>
                </a:schemeClr>
              </a:solidFill>
            </c:spPr>
            <c:extLst>
              <c:ext xmlns:c16="http://schemas.microsoft.com/office/drawing/2014/chart" uri="{C3380CC4-5D6E-409C-BE32-E72D297353CC}">
                <c16:uniqueId val="{00000005-56FE-46DF-9C8E-B51830BD7BA1}"/>
              </c:ext>
            </c:extLst>
          </c:dPt>
          <c:dPt>
            <c:idx val="11"/>
            <c:invertIfNegative val="0"/>
            <c:bubble3D val="0"/>
            <c:spPr>
              <a:solidFill>
                <a:schemeClr val="bg1">
                  <a:lumMod val="50000"/>
                </a:schemeClr>
              </a:solidFill>
            </c:spPr>
            <c:extLst>
              <c:ext xmlns:c16="http://schemas.microsoft.com/office/drawing/2014/chart" uri="{C3380CC4-5D6E-409C-BE32-E72D297353CC}">
                <c16:uniqueId val="{00000007-56FE-46DF-9C8E-B51830BD7BA1}"/>
              </c:ext>
            </c:extLst>
          </c:dPt>
          <c:dPt>
            <c:idx val="13"/>
            <c:invertIfNegative val="0"/>
            <c:bubble3D val="0"/>
            <c:spPr>
              <a:solidFill>
                <a:schemeClr val="bg1">
                  <a:lumMod val="50000"/>
                </a:schemeClr>
              </a:solidFill>
            </c:spPr>
            <c:extLst>
              <c:ext xmlns:c16="http://schemas.microsoft.com/office/drawing/2014/chart" uri="{C3380CC4-5D6E-409C-BE32-E72D297353CC}">
                <c16:uniqueId val="{00000009-56FE-46DF-9C8E-B51830BD7BA1}"/>
              </c:ext>
            </c:extLst>
          </c:dPt>
          <c:dPt>
            <c:idx val="20"/>
            <c:invertIfNegative val="0"/>
            <c:bubble3D val="0"/>
            <c:spPr>
              <a:solidFill>
                <a:schemeClr val="bg1">
                  <a:lumMod val="50000"/>
                </a:schemeClr>
              </a:solidFill>
            </c:spPr>
            <c:extLst>
              <c:ext xmlns:c16="http://schemas.microsoft.com/office/drawing/2014/chart" uri="{C3380CC4-5D6E-409C-BE32-E72D297353CC}">
                <c16:uniqueId val="{0000000B-56FE-46DF-9C8E-B51830BD7BA1}"/>
              </c:ext>
            </c:extLst>
          </c:dPt>
          <c:dPt>
            <c:idx val="21"/>
            <c:invertIfNegative val="0"/>
            <c:bubble3D val="0"/>
            <c:spPr>
              <a:solidFill>
                <a:schemeClr val="bg1">
                  <a:lumMod val="50000"/>
                </a:schemeClr>
              </a:solidFill>
            </c:spPr>
            <c:extLst>
              <c:ext xmlns:c16="http://schemas.microsoft.com/office/drawing/2014/chart" uri="{C3380CC4-5D6E-409C-BE32-E72D297353CC}">
                <c16:uniqueId val="{0000000D-56FE-46DF-9C8E-B51830BD7BA1}"/>
              </c:ext>
            </c:extLst>
          </c:dPt>
          <c:errBars>
            <c:errBarType val="both"/>
            <c:errValType val="cust"/>
            <c:noEndCap val="0"/>
            <c:plus>
              <c:numRef>
                <c:f>Sheet3!$E$2:$E$24</c:f>
                <c:numCache>
                  <c:formatCode>General</c:formatCode>
                  <c:ptCount val="23"/>
                  <c:pt idx="0">
                    <c:v>2.3400000000000001E-2</c:v>
                  </c:pt>
                  <c:pt idx="1">
                    <c:v>1.6600000000000201E-2</c:v>
                  </c:pt>
                  <c:pt idx="2">
                    <c:v>8.1000000000000048E-3</c:v>
                  </c:pt>
                  <c:pt idx="3">
                    <c:v>3.8199999999999998E-2</c:v>
                  </c:pt>
                  <c:pt idx="4">
                    <c:v>2.8000000000000052E-3</c:v>
                  </c:pt>
                  <c:pt idx="5">
                    <c:v>4.1999999999999997E-3</c:v>
                  </c:pt>
                  <c:pt idx="6">
                    <c:v>8.5200000000000026E-2</c:v>
                  </c:pt>
                  <c:pt idx="7">
                    <c:v>4.9200000000000021E-2</c:v>
                  </c:pt>
                  <c:pt idx="8">
                    <c:v>6.1000000000000004E-3</c:v>
                  </c:pt>
                  <c:pt idx="9">
                    <c:v>2.0600000000000011E-2</c:v>
                  </c:pt>
                  <c:pt idx="10">
                    <c:v>2.2600000000000012E-2</c:v>
                  </c:pt>
                  <c:pt idx="11">
                    <c:v>5.0000000000000114E-3</c:v>
                  </c:pt>
                  <c:pt idx="12">
                    <c:v>9.4000000000000247E-3</c:v>
                  </c:pt>
                  <c:pt idx="13">
                    <c:v>1.4E-2</c:v>
                  </c:pt>
                  <c:pt idx="14">
                    <c:v>4.2400000000000014E-2</c:v>
                  </c:pt>
                  <c:pt idx="15">
                    <c:v>2.1700000000000001E-2</c:v>
                  </c:pt>
                  <c:pt idx="16">
                    <c:v>2.7000000000000496E-3</c:v>
                  </c:pt>
                  <c:pt idx="17">
                    <c:v>5.8000000000000013E-3</c:v>
                  </c:pt>
                  <c:pt idx="18">
                    <c:v>3.9199999999999999E-2</c:v>
                  </c:pt>
                  <c:pt idx="19">
                    <c:v>2.5999999999999999E-3</c:v>
                  </c:pt>
                  <c:pt idx="20">
                    <c:v>5.7000000000000123E-3</c:v>
                  </c:pt>
                  <c:pt idx="21">
                    <c:v>3.5000000000000491E-3</c:v>
                  </c:pt>
                </c:numCache>
              </c:numRef>
            </c:plus>
            <c:minus>
              <c:numRef>
                <c:f>Sheet3!$E$2:$E$24</c:f>
                <c:numCache>
                  <c:formatCode>General</c:formatCode>
                  <c:ptCount val="23"/>
                  <c:pt idx="0">
                    <c:v>2.3400000000000001E-2</c:v>
                  </c:pt>
                  <c:pt idx="1">
                    <c:v>1.6600000000000201E-2</c:v>
                  </c:pt>
                  <c:pt idx="2">
                    <c:v>8.1000000000000048E-3</c:v>
                  </c:pt>
                  <c:pt idx="3">
                    <c:v>3.8199999999999998E-2</c:v>
                  </c:pt>
                  <c:pt idx="4">
                    <c:v>2.8000000000000052E-3</c:v>
                  </c:pt>
                  <c:pt idx="5">
                    <c:v>4.1999999999999997E-3</c:v>
                  </c:pt>
                  <c:pt idx="6">
                    <c:v>8.5200000000000026E-2</c:v>
                  </c:pt>
                  <c:pt idx="7">
                    <c:v>4.9200000000000021E-2</c:v>
                  </c:pt>
                  <c:pt idx="8">
                    <c:v>6.1000000000000004E-3</c:v>
                  </c:pt>
                  <c:pt idx="9">
                    <c:v>2.0600000000000011E-2</c:v>
                  </c:pt>
                  <c:pt idx="10">
                    <c:v>2.2600000000000012E-2</c:v>
                  </c:pt>
                  <c:pt idx="11">
                    <c:v>5.0000000000000114E-3</c:v>
                  </c:pt>
                  <c:pt idx="12">
                    <c:v>9.4000000000000247E-3</c:v>
                  </c:pt>
                  <c:pt idx="13">
                    <c:v>1.4E-2</c:v>
                  </c:pt>
                  <c:pt idx="14">
                    <c:v>4.2400000000000014E-2</c:v>
                  </c:pt>
                  <c:pt idx="15">
                    <c:v>2.1700000000000001E-2</c:v>
                  </c:pt>
                  <c:pt idx="16">
                    <c:v>2.7000000000000496E-3</c:v>
                  </c:pt>
                  <c:pt idx="17">
                    <c:v>5.8000000000000013E-3</c:v>
                  </c:pt>
                  <c:pt idx="18">
                    <c:v>3.9199999999999999E-2</c:v>
                  </c:pt>
                  <c:pt idx="19">
                    <c:v>2.5999999999999999E-3</c:v>
                  </c:pt>
                  <c:pt idx="20">
                    <c:v>5.7000000000000123E-3</c:v>
                  </c:pt>
                  <c:pt idx="21">
                    <c:v>3.5000000000000491E-3</c:v>
                  </c:pt>
                </c:numCache>
              </c:numRef>
            </c:minus>
          </c:errBars>
          <c:cat>
            <c:strRef>
              <c:f>Sheet3!$C$2:$C$23</c:f>
              <c:strCache>
                <c:ptCount val="22"/>
                <c:pt idx="0">
                  <c:v>Switzerland</c:v>
                </c:pt>
                <c:pt idx="1">
                  <c:v>Estonia</c:v>
                </c:pt>
                <c:pt idx="2">
                  <c:v>Belgium-Wallonia</c:v>
                </c:pt>
                <c:pt idx="3">
                  <c:v>Slovenia</c:v>
                </c:pt>
                <c:pt idx="4">
                  <c:v>United Kingdom</c:v>
                </c:pt>
                <c:pt idx="5">
                  <c:v>Netherlands</c:v>
                </c:pt>
                <c:pt idx="6">
                  <c:v>Lithuania</c:v>
                </c:pt>
                <c:pt idx="7">
                  <c:v>Cyprus</c:v>
                </c:pt>
                <c:pt idx="8">
                  <c:v>Austria</c:v>
                </c:pt>
                <c:pt idx="9">
                  <c:v>Slovakia</c:v>
                </c:pt>
                <c:pt idx="10">
                  <c:v>Latvia</c:v>
                </c:pt>
                <c:pt idx="11">
                  <c:v>Germany</c:v>
                </c:pt>
                <c:pt idx="12">
                  <c:v>Poland</c:v>
                </c:pt>
                <c:pt idx="13">
                  <c:v>Portugal</c:v>
                </c:pt>
                <c:pt idx="14">
                  <c:v>Greece</c:v>
                </c:pt>
                <c:pt idx="15">
                  <c:v>Bulgaria</c:v>
                </c:pt>
                <c:pt idx="16">
                  <c:v>Czech Republic</c:v>
                </c:pt>
                <c:pt idx="17">
                  <c:v>Hungary</c:v>
                </c:pt>
                <c:pt idx="18">
                  <c:v>Romania</c:v>
                </c:pt>
                <c:pt idx="19">
                  <c:v>Italy</c:v>
                </c:pt>
                <c:pt idx="20">
                  <c:v>France</c:v>
                </c:pt>
                <c:pt idx="21">
                  <c:v>Spain</c:v>
                </c:pt>
              </c:strCache>
            </c:strRef>
          </c:cat>
          <c:val>
            <c:numRef>
              <c:f>Sheet3!$D$2:$D$23</c:f>
              <c:numCache>
                <c:formatCode>General</c:formatCode>
                <c:ptCount val="22"/>
                <c:pt idx="0">
                  <c:v>0.94690000000000063</c:v>
                </c:pt>
                <c:pt idx="1">
                  <c:v>0.95680000000000065</c:v>
                </c:pt>
                <c:pt idx="2">
                  <c:v>0.90910000000000002</c:v>
                </c:pt>
                <c:pt idx="3">
                  <c:v>0.90920000000000001</c:v>
                </c:pt>
                <c:pt idx="4">
                  <c:v>0.93730000000000002</c:v>
                </c:pt>
                <c:pt idx="5">
                  <c:v>0.92689999999999995</c:v>
                </c:pt>
                <c:pt idx="6">
                  <c:v>0.94110000000000005</c:v>
                </c:pt>
                <c:pt idx="7">
                  <c:v>0.95809999999999995</c:v>
                </c:pt>
                <c:pt idx="8">
                  <c:v>0.95690000000000064</c:v>
                </c:pt>
                <c:pt idx="9">
                  <c:v>0.94780000000000064</c:v>
                </c:pt>
                <c:pt idx="10">
                  <c:v>0.97560000000000979</c:v>
                </c:pt>
                <c:pt idx="11">
                  <c:v>0.95760000000000944</c:v>
                </c:pt>
                <c:pt idx="12">
                  <c:v>0.97319999999999995</c:v>
                </c:pt>
                <c:pt idx="13">
                  <c:v>0.90129999999999999</c:v>
                </c:pt>
                <c:pt idx="14">
                  <c:v>1.0242</c:v>
                </c:pt>
                <c:pt idx="15">
                  <c:v>0.99249999999999949</c:v>
                </c:pt>
                <c:pt idx="16">
                  <c:v>0.97260000000000946</c:v>
                </c:pt>
                <c:pt idx="17">
                  <c:v>0.9974999999999995</c:v>
                </c:pt>
                <c:pt idx="18">
                  <c:v>1.0243</c:v>
                </c:pt>
                <c:pt idx="19">
                  <c:v>1.0024999999999831</c:v>
                </c:pt>
                <c:pt idx="20">
                  <c:v>0.97980000000000911</c:v>
                </c:pt>
                <c:pt idx="21">
                  <c:v>0.98139999999999949</c:v>
                </c:pt>
              </c:numCache>
            </c:numRef>
          </c:val>
          <c:extLst>
            <c:ext xmlns:c16="http://schemas.microsoft.com/office/drawing/2014/chart" uri="{C3380CC4-5D6E-409C-BE32-E72D297353CC}">
              <c16:uniqueId val="{0000000E-56FE-46DF-9C8E-B51830BD7BA1}"/>
            </c:ext>
          </c:extLst>
        </c:ser>
        <c:dLbls>
          <c:showLegendKey val="0"/>
          <c:showVal val="0"/>
          <c:showCatName val="0"/>
          <c:showSerName val="0"/>
          <c:showPercent val="0"/>
          <c:showBubbleSize val="0"/>
        </c:dLbls>
        <c:gapWidth val="150"/>
        <c:axId val="131852160"/>
        <c:axId val="131853696"/>
      </c:barChart>
      <c:catAx>
        <c:axId val="131852160"/>
        <c:scaling>
          <c:orientation val="minMax"/>
        </c:scaling>
        <c:delete val="0"/>
        <c:axPos val="l"/>
        <c:numFmt formatCode="General" sourceLinked="0"/>
        <c:majorTickMark val="out"/>
        <c:minorTickMark val="none"/>
        <c:tickLblPos val="nextTo"/>
        <c:crossAx val="131853696"/>
        <c:crossesAt val="1"/>
        <c:auto val="1"/>
        <c:lblAlgn val="ctr"/>
        <c:lblOffset val="100"/>
        <c:noMultiLvlLbl val="0"/>
      </c:catAx>
      <c:valAx>
        <c:axId val="131853696"/>
        <c:scaling>
          <c:orientation val="minMax"/>
          <c:max val="1.1500000000000001"/>
          <c:min val="0.85000000000000064"/>
        </c:scaling>
        <c:delete val="0"/>
        <c:axPos val="b"/>
        <c:title>
          <c:tx>
            <c:rich>
              <a:bodyPr/>
              <a:lstStyle/>
              <a:p>
                <a:pPr>
                  <a:defRPr/>
                </a:pPr>
                <a:r>
                  <a:rPr lang="en-GB"/>
                  <a:t>Multiplicative trend slope</a:t>
                </a:r>
              </a:p>
            </c:rich>
          </c:tx>
          <c:overlay val="0"/>
        </c:title>
        <c:numFmt formatCode="General" sourceLinked="1"/>
        <c:majorTickMark val="out"/>
        <c:minorTickMark val="none"/>
        <c:tickLblPos val="nextTo"/>
        <c:crossAx val="131852160"/>
        <c:crosses val="autoZero"/>
        <c:crossBetween val="between"/>
      </c:valAx>
    </c:plotArea>
    <c:plotVisOnly val="1"/>
    <c:dispBlanksAs val="gap"/>
    <c:showDLblsOverMax val="0"/>
  </c:chart>
  <c:spPr>
    <a:noFill/>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'AIS graph'!$A$2</c:f>
              <c:strCache>
                <c:ptCount val="1"/>
                <c:pt idx="0">
                  <c:v>AIS</c:v>
                </c:pt>
              </c:strCache>
            </c:strRef>
          </c:tx>
          <c:invertIfNegative val="0"/>
          <c:dPt>
            <c:idx val="0"/>
            <c:invertIfNegative val="0"/>
            <c:bubble3D val="0"/>
            <c:spPr>
              <a:solidFill>
                <a:schemeClr val="bg1">
                  <a:lumMod val="75000"/>
                </a:schemeClr>
              </a:solidFill>
            </c:spPr>
            <c:extLst>
              <c:ext xmlns:c16="http://schemas.microsoft.com/office/drawing/2014/chart" uri="{C3380CC4-5D6E-409C-BE32-E72D297353CC}">
                <c16:uniqueId val="{00000001-4C93-485E-86E1-72A10B06D7D6}"/>
              </c:ext>
            </c:extLst>
          </c:dPt>
          <c:dPt>
            <c:idx val="1"/>
            <c:invertIfNegative val="0"/>
            <c:bubble3D val="0"/>
            <c:spPr>
              <a:solidFill>
                <a:schemeClr val="bg1">
                  <a:lumMod val="75000"/>
                </a:schemeClr>
              </a:solidFill>
            </c:spPr>
            <c:extLst>
              <c:ext xmlns:c16="http://schemas.microsoft.com/office/drawing/2014/chart" uri="{C3380CC4-5D6E-409C-BE32-E72D297353CC}">
                <c16:uniqueId val="{00000003-4C93-485E-86E1-72A10B06D7D6}"/>
              </c:ext>
            </c:extLst>
          </c:dPt>
          <c:dPt>
            <c:idx val="2"/>
            <c:invertIfNegative val="0"/>
            <c:bubble3D val="0"/>
            <c:spPr>
              <a:solidFill>
                <a:schemeClr val="bg1">
                  <a:lumMod val="50000"/>
                </a:schemeClr>
              </a:solidFill>
            </c:spPr>
            <c:extLst>
              <c:ext xmlns:c16="http://schemas.microsoft.com/office/drawing/2014/chart" uri="{C3380CC4-5D6E-409C-BE32-E72D297353CC}">
                <c16:uniqueId val="{00000005-4C93-485E-86E1-72A10B06D7D6}"/>
              </c:ext>
            </c:extLst>
          </c:dPt>
          <c:dPt>
            <c:idx val="3"/>
            <c:invertIfNegative val="0"/>
            <c:bubble3D val="0"/>
            <c:spPr>
              <a:solidFill>
                <a:schemeClr val="bg1">
                  <a:lumMod val="75000"/>
                </a:schemeClr>
              </a:solidFill>
            </c:spPr>
            <c:extLst>
              <c:ext xmlns:c16="http://schemas.microsoft.com/office/drawing/2014/chart" uri="{C3380CC4-5D6E-409C-BE32-E72D297353CC}">
                <c16:uniqueId val="{00000007-4C93-485E-86E1-72A10B06D7D6}"/>
              </c:ext>
            </c:extLst>
          </c:dPt>
          <c:dPt>
            <c:idx val="4"/>
            <c:invertIfNegative val="0"/>
            <c:bubble3D val="0"/>
            <c:spPr>
              <a:solidFill>
                <a:schemeClr val="bg1">
                  <a:lumMod val="50000"/>
                </a:schemeClr>
              </a:solidFill>
            </c:spPr>
            <c:extLst>
              <c:ext xmlns:c16="http://schemas.microsoft.com/office/drawing/2014/chart" uri="{C3380CC4-5D6E-409C-BE32-E72D297353CC}">
                <c16:uniqueId val="{00000009-4C93-485E-86E1-72A10B06D7D6}"/>
              </c:ext>
            </c:extLst>
          </c:dPt>
          <c:dPt>
            <c:idx val="5"/>
            <c:invertIfNegative val="0"/>
            <c:bubble3D val="0"/>
            <c:spPr>
              <a:solidFill>
                <a:schemeClr val="bg1">
                  <a:lumMod val="75000"/>
                </a:schemeClr>
              </a:solidFill>
            </c:spPr>
            <c:extLst>
              <c:ext xmlns:c16="http://schemas.microsoft.com/office/drawing/2014/chart" uri="{C3380CC4-5D6E-409C-BE32-E72D297353CC}">
                <c16:uniqueId val="{0000000B-4C93-485E-86E1-72A10B06D7D6}"/>
              </c:ext>
            </c:extLst>
          </c:dPt>
          <c:dPt>
            <c:idx val="6"/>
            <c:invertIfNegative val="0"/>
            <c:bubble3D val="0"/>
            <c:spPr>
              <a:solidFill>
                <a:schemeClr val="bg1">
                  <a:lumMod val="75000"/>
                </a:schemeClr>
              </a:solidFill>
            </c:spPr>
            <c:extLst>
              <c:ext xmlns:c16="http://schemas.microsoft.com/office/drawing/2014/chart" uri="{C3380CC4-5D6E-409C-BE32-E72D297353CC}">
                <c16:uniqueId val="{0000000D-4C93-485E-86E1-72A10B06D7D6}"/>
              </c:ext>
            </c:extLst>
          </c:dPt>
          <c:dPt>
            <c:idx val="7"/>
            <c:invertIfNegative val="0"/>
            <c:bubble3D val="0"/>
            <c:spPr>
              <a:solidFill>
                <a:schemeClr val="bg1">
                  <a:lumMod val="75000"/>
                </a:schemeClr>
              </a:solidFill>
            </c:spPr>
            <c:extLst>
              <c:ext xmlns:c16="http://schemas.microsoft.com/office/drawing/2014/chart" uri="{C3380CC4-5D6E-409C-BE32-E72D297353CC}">
                <c16:uniqueId val="{0000000F-4C93-485E-86E1-72A10B06D7D6}"/>
              </c:ext>
            </c:extLst>
          </c:dPt>
          <c:dPt>
            <c:idx val="8"/>
            <c:invertIfNegative val="0"/>
            <c:bubble3D val="0"/>
            <c:spPr>
              <a:solidFill>
                <a:schemeClr val="bg1">
                  <a:lumMod val="75000"/>
                </a:schemeClr>
              </a:solidFill>
            </c:spPr>
            <c:extLst>
              <c:ext xmlns:c16="http://schemas.microsoft.com/office/drawing/2014/chart" uri="{C3380CC4-5D6E-409C-BE32-E72D297353CC}">
                <c16:uniqueId val="{00000011-4C93-485E-86E1-72A10B06D7D6}"/>
              </c:ext>
            </c:extLst>
          </c:dPt>
          <c:dPt>
            <c:idx val="9"/>
            <c:invertIfNegative val="0"/>
            <c:bubble3D val="0"/>
            <c:spPr>
              <a:solidFill>
                <a:schemeClr val="bg1">
                  <a:lumMod val="75000"/>
                </a:schemeClr>
              </a:solidFill>
            </c:spPr>
            <c:extLst>
              <c:ext xmlns:c16="http://schemas.microsoft.com/office/drawing/2014/chart" uri="{C3380CC4-5D6E-409C-BE32-E72D297353CC}">
                <c16:uniqueId val="{00000013-4C93-485E-86E1-72A10B06D7D6}"/>
              </c:ext>
            </c:extLst>
          </c:dPt>
          <c:cat>
            <c:strRef>
              <c:f>'AIS graph'!$B$1:$K$1</c:f>
              <c:strCache>
                <c:ptCount val="10"/>
                <c:pt idx="0">
                  <c:v>1</c:v>
                </c:pt>
                <c:pt idx="1">
                  <c:v>2</c:v>
                </c:pt>
                <c:pt idx="2">
                  <c:v>3</c:v>
                </c:pt>
                <c:pt idx="3">
                  <c:v>4</c:v>
                </c:pt>
                <c:pt idx="4">
                  <c:v>5</c:v>
                </c:pt>
                <c:pt idx="5">
                  <c:v>6</c:v>
                </c:pt>
                <c:pt idx="6">
                  <c:v>7</c:v>
                </c:pt>
                <c:pt idx="7">
                  <c:v>8</c:v>
                </c:pt>
                <c:pt idx="8">
                  <c:v>9</c:v>
                </c:pt>
                <c:pt idx="9">
                  <c:v>10</c:v>
                </c:pt>
              </c:strCache>
            </c:strRef>
          </c:cat>
          <c:val>
            <c:numRef>
              <c:f>'AIS graph'!$B$2:$K$2</c:f>
              <c:numCache>
                <c:formatCode>0.0</c:formatCode>
                <c:ptCount val="10"/>
                <c:pt idx="0">
                  <c:v>1.5217391304347818</c:v>
                </c:pt>
                <c:pt idx="1">
                  <c:v>3.3636363636363642</c:v>
                </c:pt>
                <c:pt idx="2">
                  <c:v>2.9</c:v>
                </c:pt>
                <c:pt idx="3">
                  <c:v>1</c:v>
                </c:pt>
                <c:pt idx="4">
                  <c:v>1.3636363636363635</c:v>
                </c:pt>
                <c:pt idx="5">
                  <c:v>2.5833333333333401</c:v>
                </c:pt>
                <c:pt idx="6">
                  <c:v>1.6363636363636365</c:v>
                </c:pt>
                <c:pt idx="7">
                  <c:v>1.2857142857142709</c:v>
                </c:pt>
                <c:pt idx="8">
                  <c:v>1.4285714285714286</c:v>
                </c:pt>
                <c:pt idx="9">
                  <c:v>1.4782608695652275</c:v>
                </c:pt>
              </c:numCache>
            </c:numRef>
          </c:val>
          <c:extLst>
            <c:ext xmlns:c16="http://schemas.microsoft.com/office/drawing/2014/chart" uri="{C3380CC4-5D6E-409C-BE32-E72D297353CC}">
              <c16:uniqueId val="{00000014-4C93-485E-86E1-72A10B06D7D6}"/>
            </c:ext>
          </c:extLst>
        </c:ser>
        <c:dLbls>
          <c:showLegendKey val="0"/>
          <c:showVal val="0"/>
          <c:showCatName val="0"/>
          <c:showSerName val="0"/>
          <c:showPercent val="0"/>
          <c:showBubbleSize val="0"/>
        </c:dLbls>
        <c:gapWidth val="150"/>
        <c:axId val="38004992"/>
        <c:axId val="38007168"/>
      </c:barChart>
      <c:catAx>
        <c:axId val="38004992"/>
        <c:scaling>
          <c:orientation val="minMax"/>
        </c:scaling>
        <c:delete val="0"/>
        <c:axPos val="b"/>
        <c:title>
          <c:tx>
            <c:rich>
              <a:bodyPr/>
              <a:lstStyle/>
              <a:p>
                <a:pPr>
                  <a:defRPr/>
                </a:pPr>
                <a:r>
                  <a:rPr lang="en-GB"/>
                  <a:t>Action Code</a:t>
                </a:r>
              </a:p>
            </c:rich>
          </c:tx>
          <c:overlay val="0"/>
        </c:title>
        <c:numFmt formatCode="General" sourceLinked="0"/>
        <c:majorTickMark val="none"/>
        <c:minorTickMark val="none"/>
        <c:tickLblPos val="nextTo"/>
        <c:crossAx val="38007168"/>
        <c:crosses val="autoZero"/>
        <c:auto val="1"/>
        <c:lblAlgn val="ctr"/>
        <c:lblOffset val="100"/>
        <c:noMultiLvlLbl val="0"/>
      </c:catAx>
      <c:valAx>
        <c:axId val="38007168"/>
        <c:scaling>
          <c:orientation val="minMax"/>
        </c:scaling>
        <c:delete val="0"/>
        <c:axPos val="l"/>
        <c:title>
          <c:tx>
            <c:rich>
              <a:bodyPr/>
              <a:lstStyle/>
              <a:p>
                <a:pPr>
                  <a:defRPr/>
                </a:pPr>
                <a:r>
                  <a:rPr lang="en-US"/>
                  <a:t>Average Implementation Score (AIS)</a:t>
                </a:r>
              </a:p>
            </c:rich>
          </c:tx>
          <c:overlay val="0"/>
        </c:title>
        <c:numFmt formatCode="0.0" sourceLinked="1"/>
        <c:majorTickMark val="out"/>
        <c:minorTickMark val="none"/>
        <c:tickLblPos val="nextTo"/>
        <c:crossAx val="38004992"/>
        <c:crosses val="autoZero"/>
        <c:crossBetween val="between"/>
      </c:valAx>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211036203696948E-2"/>
          <c:y val="3.2773786488368664E-2"/>
          <c:w val="0.87444178173380505"/>
          <c:h val="0.74638670166229226"/>
        </c:manualLayout>
      </c:layout>
      <c:lineChart>
        <c:grouping val="standard"/>
        <c:varyColors val="0"/>
        <c:ser>
          <c:idx val="1"/>
          <c:order val="0"/>
          <c:tx>
            <c:strRef>
              <c:f>'Western population'!$A$2</c:f>
              <c:strCache>
                <c:ptCount val="1"/>
                <c:pt idx="0">
                  <c:v>Belgium-Wallonia</c:v>
                </c:pt>
              </c:strCache>
            </c:strRef>
          </c:tx>
          <c:spPr>
            <a:ln>
              <a:solidFill>
                <a:schemeClr val="bg1">
                  <a:lumMod val="75000"/>
                </a:schemeClr>
              </a:solidFill>
              <a:prstDash val="dash"/>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population'!$B$2:$AX$2</c:f>
              <c:numCache>
                <c:formatCode>General</c:formatCode>
                <c:ptCount val="49"/>
                <c:pt idx="24">
                  <c:v>100</c:v>
                </c:pt>
                <c:pt idx="25">
                  <c:v>72</c:v>
                </c:pt>
                <c:pt idx="26">
                  <c:v>65</c:v>
                </c:pt>
                <c:pt idx="27">
                  <c:v>64</c:v>
                </c:pt>
                <c:pt idx="28">
                  <c:v>52</c:v>
                </c:pt>
                <c:pt idx="29">
                  <c:v>54</c:v>
                </c:pt>
                <c:pt idx="30">
                  <c:v>45</c:v>
                </c:pt>
                <c:pt idx="31">
                  <c:v>36</c:v>
                </c:pt>
                <c:pt idx="32">
                  <c:v>45</c:v>
                </c:pt>
                <c:pt idx="33">
                  <c:v>41</c:v>
                </c:pt>
                <c:pt idx="34">
                  <c:v>31</c:v>
                </c:pt>
                <c:pt idx="35">
                  <c:v>35</c:v>
                </c:pt>
                <c:pt idx="36">
                  <c:v>29</c:v>
                </c:pt>
                <c:pt idx="37">
                  <c:v>18</c:v>
                </c:pt>
                <c:pt idx="38">
                  <c:v>37</c:v>
                </c:pt>
                <c:pt idx="39">
                  <c:v>21</c:v>
                </c:pt>
                <c:pt idx="40">
                  <c:v>21</c:v>
                </c:pt>
                <c:pt idx="41">
                  <c:v>30</c:v>
                </c:pt>
                <c:pt idx="42">
                  <c:v>17</c:v>
                </c:pt>
                <c:pt idx="43">
                  <c:v>13</c:v>
                </c:pt>
                <c:pt idx="44">
                  <c:v>10</c:v>
                </c:pt>
                <c:pt idx="45">
                  <c:v>9</c:v>
                </c:pt>
                <c:pt idx="46">
                  <c:v>5</c:v>
                </c:pt>
                <c:pt idx="47">
                  <c:v>10</c:v>
                </c:pt>
                <c:pt idx="48">
                  <c:v>12</c:v>
                </c:pt>
              </c:numCache>
            </c:numRef>
          </c:val>
          <c:smooth val="0"/>
          <c:extLst>
            <c:ext xmlns:c16="http://schemas.microsoft.com/office/drawing/2014/chart" uri="{C3380CC4-5D6E-409C-BE32-E72D297353CC}">
              <c16:uniqueId val="{00000000-A6FA-4428-8BEF-51505C0FD8A1}"/>
            </c:ext>
          </c:extLst>
        </c:ser>
        <c:ser>
          <c:idx val="2"/>
          <c:order val="1"/>
          <c:tx>
            <c:strRef>
              <c:f>'Western population'!$A$3</c:f>
              <c:strCache>
                <c:ptCount val="1"/>
                <c:pt idx="0">
                  <c:v>France</c:v>
                </c:pt>
              </c:strCache>
            </c:strRef>
          </c:tx>
          <c:spPr>
            <a:ln>
              <a:solidFill>
                <a:schemeClr val="bg1">
                  <a:lumMod val="75000"/>
                </a:schemeClr>
              </a:solidFill>
              <a:prstDash val="solid"/>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population'!$B$3:$AX$3</c:f>
              <c:numCache>
                <c:formatCode>General</c:formatCode>
                <c:ptCount val="49"/>
                <c:pt idx="23">
                  <c:v>100</c:v>
                </c:pt>
                <c:pt idx="24">
                  <c:v>111</c:v>
                </c:pt>
                <c:pt idx="25">
                  <c:v>89</c:v>
                </c:pt>
                <c:pt idx="26">
                  <c:v>108</c:v>
                </c:pt>
                <c:pt idx="27">
                  <c:v>111</c:v>
                </c:pt>
                <c:pt idx="28">
                  <c:v>106</c:v>
                </c:pt>
                <c:pt idx="29">
                  <c:v>88</c:v>
                </c:pt>
                <c:pt idx="30">
                  <c:v>89</c:v>
                </c:pt>
                <c:pt idx="31">
                  <c:v>98</c:v>
                </c:pt>
                <c:pt idx="32">
                  <c:v>106</c:v>
                </c:pt>
                <c:pt idx="33">
                  <c:v>112</c:v>
                </c:pt>
                <c:pt idx="34">
                  <c:v>115</c:v>
                </c:pt>
                <c:pt idx="35">
                  <c:v>110</c:v>
                </c:pt>
                <c:pt idx="36">
                  <c:v>90</c:v>
                </c:pt>
                <c:pt idx="37">
                  <c:v>93</c:v>
                </c:pt>
                <c:pt idx="38">
                  <c:v>95</c:v>
                </c:pt>
                <c:pt idx="39">
                  <c:v>97</c:v>
                </c:pt>
                <c:pt idx="40">
                  <c:v>85</c:v>
                </c:pt>
                <c:pt idx="41">
                  <c:v>86</c:v>
                </c:pt>
                <c:pt idx="42">
                  <c:v>83</c:v>
                </c:pt>
                <c:pt idx="43">
                  <c:v>75</c:v>
                </c:pt>
                <c:pt idx="44">
                  <c:v>77</c:v>
                </c:pt>
                <c:pt idx="45">
                  <c:v>74</c:v>
                </c:pt>
                <c:pt idx="46">
                  <c:v>63</c:v>
                </c:pt>
                <c:pt idx="47">
                  <c:v>57</c:v>
                </c:pt>
                <c:pt idx="48">
                  <c:v>57</c:v>
                </c:pt>
              </c:numCache>
            </c:numRef>
          </c:val>
          <c:smooth val="0"/>
          <c:extLst>
            <c:ext xmlns:c16="http://schemas.microsoft.com/office/drawing/2014/chart" uri="{C3380CC4-5D6E-409C-BE32-E72D297353CC}">
              <c16:uniqueId val="{00000001-A6FA-4428-8BEF-51505C0FD8A1}"/>
            </c:ext>
          </c:extLst>
        </c:ser>
        <c:ser>
          <c:idx val="3"/>
          <c:order val="2"/>
          <c:tx>
            <c:strRef>
              <c:f>'Western population'!$A$4</c:f>
              <c:strCache>
                <c:ptCount val="1"/>
                <c:pt idx="0">
                  <c:v>Germany</c:v>
                </c:pt>
              </c:strCache>
            </c:strRef>
          </c:tx>
          <c:spPr>
            <a:ln>
              <a:solidFill>
                <a:schemeClr val="tx1"/>
              </a:solidFill>
              <a:prstDash val="sysDot"/>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population'!$B$4:$AX$4</c:f>
              <c:numCache>
                <c:formatCode>General</c:formatCode>
                <c:ptCount val="49"/>
                <c:pt idx="23">
                  <c:v>100</c:v>
                </c:pt>
                <c:pt idx="24">
                  <c:v>97</c:v>
                </c:pt>
                <c:pt idx="25">
                  <c:v>90</c:v>
                </c:pt>
                <c:pt idx="26">
                  <c:v>115</c:v>
                </c:pt>
                <c:pt idx="27">
                  <c:v>124</c:v>
                </c:pt>
                <c:pt idx="28">
                  <c:v>115</c:v>
                </c:pt>
                <c:pt idx="29">
                  <c:v>134</c:v>
                </c:pt>
                <c:pt idx="30">
                  <c:v>116</c:v>
                </c:pt>
                <c:pt idx="31">
                  <c:v>111</c:v>
                </c:pt>
                <c:pt idx="32">
                  <c:v>106</c:v>
                </c:pt>
                <c:pt idx="33">
                  <c:v>113</c:v>
                </c:pt>
                <c:pt idx="34">
                  <c:v>97</c:v>
                </c:pt>
                <c:pt idx="35">
                  <c:v>96</c:v>
                </c:pt>
                <c:pt idx="36">
                  <c:v>83</c:v>
                </c:pt>
                <c:pt idx="37">
                  <c:v>74</c:v>
                </c:pt>
                <c:pt idx="38">
                  <c:v>95</c:v>
                </c:pt>
                <c:pt idx="39">
                  <c:v>71</c:v>
                </c:pt>
                <c:pt idx="40">
                  <c:v>63</c:v>
                </c:pt>
                <c:pt idx="41">
                  <c:v>73</c:v>
                </c:pt>
                <c:pt idx="42">
                  <c:v>64</c:v>
                </c:pt>
                <c:pt idx="43">
                  <c:v>56</c:v>
                </c:pt>
                <c:pt idx="44">
                  <c:v>50</c:v>
                </c:pt>
                <c:pt idx="45">
                  <c:v>40</c:v>
                </c:pt>
                <c:pt idx="46">
                  <c:v>41</c:v>
                </c:pt>
                <c:pt idx="47">
                  <c:v>45</c:v>
                </c:pt>
                <c:pt idx="48">
                  <c:v>41</c:v>
                </c:pt>
              </c:numCache>
            </c:numRef>
          </c:val>
          <c:smooth val="0"/>
          <c:extLst>
            <c:ext xmlns:c16="http://schemas.microsoft.com/office/drawing/2014/chart" uri="{C3380CC4-5D6E-409C-BE32-E72D297353CC}">
              <c16:uniqueId val="{00000002-A6FA-4428-8BEF-51505C0FD8A1}"/>
            </c:ext>
          </c:extLst>
        </c:ser>
        <c:ser>
          <c:idx val="4"/>
          <c:order val="3"/>
          <c:tx>
            <c:strRef>
              <c:f>'Western population'!$A$5</c:f>
              <c:strCache>
                <c:ptCount val="1"/>
                <c:pt idx="0">
                  <c:v>Netherlands</c:v>
                </c:pt>
              </c:strCache>
            </c:strRef>
          </c:tx>
          <c:spPr>
            <a:ln>
              <a:solidFill>
                <a:schemeClr val="tx1"/>
              </a:solidFill>
              <a:prstDash val="lgDash"/>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population'!$B$5:$AX$5</c:f>
              <c:numCache>
                <c:formatCode>General</c:formatCode>
                <c:ptCount val="49"/>
                <c:pt idx="18">
                  <c:v>150</c:v>
                </c:pt>
                <c:pt idx="19">
                  <c:v>141</c:v>
                </c:pt>
                <c:pt idx="20">
                  <c:v>128</c:v>
                </c:pt>
                <c:pt idx="21">
                  <c:v>119</c:v>
                </c:pt>
                <c:pt idx="22">
                  <c:v>101</c:v>
                </c:pt>
                <c:pt idx="23">
                  <c:v>97</c:v>
                </c:pt>
                <c:pt idx="24">
                  <c:v>100</c:v>
                </c:pt>
                <c:pt idx="25">
                  <c:v>78</c:v>
                </c:pt>
                <c:pt idx="26">
                  <c:v>76</c:v>
                </c:pt>
                <c:pt idx="27">
                  <c:v>77</c:v>
                </c:pt>
                <c:pt idx="28">
                  <c:v>63</c:v>
                </c:pt>
                <c:pt idx="29">
                  <c:v>74</c:v>
                </c:pt>
                <c:pt idx="30">
                  <c:v>72</c:v>
                </c:pt>
                <c:pt idx="31">
                  <c:v>65</c:v>
                </c:pt>
                <c:pt idx="32">
                  <c:v>55</c:v>
                </c:pt>
                <c:pt idx="33">
                  <c:v>44</c:v>
                </c:pt>
                <c:pt idx="34">
                  <c:v>42</c:v>
                </c:pt>
                <c:pt idx="35">
                  <c:v>36</c:v>
                </c:pt>
                <c:pt idx="36">
                  <c:v>33</c:v>
                </c:pt>
                <c:pt idx="37">
                  <c:v>32</c:v>
                </c:pt>
                <c:pt idx="38">
                  <c:v>32</c:v>
                </c:pt>
                <c:pt idx="39">
                  <c:v>33</c:v>
                </c:pt>
                <c:pt idx="40">
                  <c:v>34</c:v>
                </c:pt>
                <c:pt idx="41">
                  <c:v>36</c:v>
                </c:pt>
                <c:pt idx="42">
                  <c:v>27</c:v>
                </c:pt>
                <c:pt idx="43">
                  <c:v>22</c:v>
                </c:pt>
                <c:pt idx="44">
                  <c:v>21</c:v>
                </c:pt>
                <c:pt idx="45">
                  <c:v>20</c:v>
                </c:pt>
                <c:pt idx="46">
                  <c:v>18</c:v>
                </c:pt>
                <c:pt idx="47">
                  <c:v>13</c:v>
                </c:pt>
                <c:pt idx="48">
                  <c:v>13</c:v>
                </c:pt>
              </c:numCache>
            </c:numRef>
          </c:val>
          <c:smooth val="0"/>
          <c:extLst>
            <c:ext xmlns:c16="http://schemas.microsoft.com/office/drawing/2014/chart" uri="{C3380CC4-5D6E-409C-BE32-E72D297353CC}">
              <c16:uniqueId val="{00000003-A6FA-4428-8BEF-51505C0FD8A1}"/>
            </c:ext>
          </c:extLst>
        </c:ser>
        <c:ser>
          <c:idx val="5"/>
          <c:order val="4"/>
          <c:tx>
            <c:strRef>
              <c:f>'Western population'!$A$6</c:f>
              <c:strCache>
                <c:ptCount val="1"/>
                <c:pt idx="0">
                  <c:v>Portugal</c:v>
                </c:pt>
              </c:strCache>
            </c:strRef>
          </c:tx>
          <c:spPr>
            <a:ln>
              <a:solidFill>
                <a:prstClr val="black"/>
              </a:solidFill>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population'!$B$6:$AX$6</c:f>
              <c:numCache>
                <c:formatCode>General</c:formatCode>
                <c:ptCount val="49"/>
                <c:pt idx="38">
                  <c:v>100</c:v>
                </c:pt>
                <c:pt idx="39">
                  <c:v>91</c:v>
                </c:pt>
                <c:pt idx="40">
                  <c:v>79</c:v>
                </c:pt>
                <c:pt idx="41">
                  <c:v>70</c:v>
                </c:pt>
                <c:pt idx="42">
                  <c:v>56</c:v>
                </c:pt>
                <c:pt idx="43">
                  <c:v>48</c:v>
                </c:pt>
                <c:pt idx="44">
                  <c:v>59</c:v>
                </c:pt>
                <c:pt idx="45">
                  <c:v>48</c:v>
                </c:pt>
                <c:pt idx="46">
                  <c:v>36</c:v>
                </c:pt>
                <c:pt idx="47">
                  <c:v>30</c:v>
                </c:pt>
                <c:pt idx="48">
                  <c:v>46</c:v>
                </c:pt>
              </c:numCache>
            </c:numRef>
          </c:val>
          <c:smooth val="0"/>
          <c:extLst>
            <c:ext xmlns:c16="http://schemas.microsoft.com/office/drawing/2014/chart" uri="{C3380CC4-5D6E-409C-BE32-E72D297353CC}">
              <c16:uniqueId val="{00000004-A6FA-4428-8BEF-51505C0FD8A1}"/>
            </c:ext>
          </c:extLst>
        </c:ser>
        <c:ser>
          <c:idx val="6"/>
          <c:order val="5"/>
          <c:tx>
            <c:strRef>
              <c:f>'Western population'!$A$7</c:f>
              <c:strCache>
                <c:ptCount val="1"/>
                <c:pt idx="0">
                  <c:v>Spain</c:v>
                </c:pt>
              </c:strCache>
            </c:strRef>
          </c:tx>
          <c:spPr>
            <a:ln>
              <a:solidFill>
                <a:prstClr val="black"/>
              </a:solidFill>
              <a:prstDash val="sysDash"/>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population'!$B$7:$AX$7</c:f>
              <c:numCache>
                <c:formatCode>General</c:formatCode>
                <c:ptCount val="49"/>
                <c:pt idx="32">
                  <c:v>100</c:v>
                </c:pt>
                <c:pt idx="33">
                  <c:v>92</c:v>
                </c:pt>
                <c:pt idx="34">
                  <c:v>91</c:v>
                </c:pt>
                <c:pt idx="35">
                  <c:v>96</c:v>
                </c:pt>
                <c:pt idx="36">
                  <c:v>94</c:v>
                </c:pt>
                <c:pt idx="37">
                  <c:v>90</c:v>
                </c:pt>
                <c:pt idx="38">
                  <c:v>104</c:v>
                </c:pt>
                <c:pt idx="39">
                  <c:v>100</c:v>
                </c:pt>
                <c:pt idx="40">
                  <c:v>98</c:v>
                </c:pt>
                <c:pt idx="41">
                  <c:v>107</c:v>
                </c:pt>
                <c:pt idx="42">
                  <c:v>89</c:v>
                </c:pt>
                <c:pt idx="43">
                  <c:v>90</c:v>
                </c:pt>
                <c:pt idx="44">
                  <c:v>76</c:v>
                </c:pt>
                <c:pt idx="45">
                  <c:v>80</c:v>
                </c:pt>
                <c:pt idx="46">
                  <c:v>72</c:v>
                </c:pt>
                <c:pt idx="47">
                  <c:v>70</c:v>
                </c:pt>
                <c:pt idx="48">
                  <c:v>75</c:v>
                </c:pt>
              </c:numCache>
            </c:numRef>
          </c:val>
          <c:smooth val="0"/>
          <c:extLst>
            <c:ext xmlns:c16="http://schemas.microsoft.com/office/drawing/2014/chart" uri="{C3380CC4-5D6E-409C-BE32-E72D297353CC}">
              <c16:uniqueId val="{00000005-A6FA-4428-8BEF-51505C0FD8A1}"/>
            </c:ext>
          </c:extLst>
        </c:ser>
        <c:ser>
          <c:idx val="7"/>
          <c:order val="6"/>
          <c:tx>
            <c:strRef>
              <c:f>'Western population'!$A$8</c:f>
              <c:strCache>
                <c:ptCount val="1"/>
                <c:pt idx="0">
                  <c:v>United Kingdom</c:v>
                </c:pt>
              </c:strCache>
            </c:strRef>
          </c:tx>
          <c:spPr>
            <a:ln>
              <a:solidFill>
                <a:schemeClr val="bg1">
                  <a:lumMod val="75000"/>
                </a:schemeClr>
              </a:solidFill>
              <a:prstDash val="sysDot"/>
            </a:ln>
          </c:spPr>
          <c:marker>
            <c:symbol val="none"/>
          </c:marker>
          <c:cat>
            <c:numRef>
              <c:f>'Western population'!$B$1:$AX$1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'Western population'!$B$8:$AX$8</c:f>
              <c:numCache>
                <c:formatCode>General</c:formatCode>
                <c:ptCount val="49"/>
                <c:pt idx="0">
                  <c:v>100</c:v>
                </c:pt>
                <c:pt idx="1">
                  <c:v>96</c:v>
                </c:pt>
                <c:pt idx="2">
                  <c:v>104</c:v>
                </c:pt>
                <c:pt idx="3">
                  <c:v>110</c:v>
                </c:pt>
                <c:pt idx="4">
                  <c:v>114</c:v>
                </c:pt>
                <c:pt idx="5">
                  <c:v>110</c:v>
                </c:pt>
                <c:pt idx="6">
                  <c:v>104</c:v>
                </c:pt>
                <c:pt idx="7">
                  <c:v>106</c:v>
                </c:pt>
                <c:pt idx="8">
                  <c:v>108</c:v>
                </c:pt>
                <c:pt idx="9">
                  <c:v>95</c:v>
                </c:pt>
                <c:pt idx="10">
                  <c:v>119</c:v>
                </c:pt>
                <c:pt idx="11">
                  <c:v>101</c:v>
                </c:pt>
                <c:pt idx="12">
                  <c:v>97</c:v>
                </c:pt>
                <c:pt idx="13">
                  <c:v>103</c:v>
                </c:pt>
                <c:pt idx="14">
                  <c:v>91</c:v>
                </c:pt>
                <c:pt idx="15">
                  <c:v>86</c:v>
                </c:pt>
                <c:pt idx="16">
                  <c:v>78</c:v>
                </c:pt>
                <c:pt idx="17">
                  <c:v>79</c:v>
                </c:pt>
                <c:pt idx="18">
                  <c:v>67</c:v>
                </c:pt>
                <c:pt idx="19">
                  <c:v>60</c:v>
                </c:pt>
                <c:pt idx="20">
                  <c:v>64</c:v>
                </c:pt>
                <c:pt idx="21">
                  <c:v>65</c:v>
                </c:pt>
                <c:pt idx="22">
                  <c:v>50</c:v>
                </c:pt>
                <c:pt idx="23">
                  <c:v>51</c:v>
                </c:pt>
                <c:pt idx="24">
                  <c:v>51</c:v>
                </c:pt>
                <c:pt idx="25">
                  <c:v>42</c:v>
                </c:pt>
                <c:pt idx="26">
                  <c:v>52</c:v>
                </c:pt>
                <c:pt idx="27">
                  <c:v>39</c:v>
                </c:pt>
                <c:pt idx="28">
                  <c:v>36</c:v>
                </c:pt>
                <c:pt idx="29">
                  <c:v>40</c:v>
                </c:pt>
                <c:pt idx="30">
                  <c:v>38</c:v>
                </c:pt>
                <c:pt idx="31">
                  <c:v>33</c:v>
                </c:pt>
                <c:pt idx="32">
                  <c:v>35</c:v>
                </c:pt>
                <c:pt idx="33">
                  <c:v>30</c:v>
                </c:pt>
                <c:pt idx="34">
                  <c:v>30</c:v>
                </c:pt>
                <c:pt idx="35">
                  <c:v>30</c:v>
                </c:pt>
                <c:pt idx="36">
                  <c:v>25</c:v>
                </c:pt>
                <c:pt idx="37">
                  <c:v>23</c:v>
                </c:pt>
                <c:pt idx="38">
                  <c:v>21</c:v>
                </c:pt>
                <c:pt idx="39">
                  <c:v>21</c:v>
                </c:pt>
                <c:pt idx="40">
                  <c:v>15</c:v>
                </c:pt>
                <c:pt idx="41">
                  <c:v>13</c:v>
                </c:pt>
                <c:pt idx="42">
                  <c:v>10</c:v>
                </c:pt>
                <c:pt idx="43">
                  <c:v>10</c:v>
                </c:pt>
                <c:pt idx="44">
                  <c:v>8</c:v>
                </c:pt>
                <c:pt idx="45">
                  <c:v>6</c:v>
                </c:pt>
                <c:pt idx="46">
                  <c:v>4</c:v>
                </c:pt>
                <c:pt idx="47">
                  <c:v>4</c:v>
                </c:pt>
                <c:pt idx="48">
                  <c:v>3</c:v>
                </c:pt>
              </c:numCache>
            </c:numRef>
          </c:val>
          <c:smooth val="0"/>
          <c:extLst>
            <c:ext xmlns:c16="http://schemas.microsoft.com/office/drawing/2014/chart" uri="{C3380CC4-5D6E-409C-BE32-E72D297353CC}">
              <c16:uniqueId val="{00000006-A6FA-4428-8BEF-51505C0FD8A1}"/>
            </c:ext>
          </c:extLst>
        </c:ser>
        <c:dLbls>
          <c:showLegendKey val="0"/>
          <c:showVal val="0"/>
          <c:showCatName val="0"/>
          <c:showSerName val="0"/>
          <c:showPercent val="0"/>
          <c:showBubbleSize val="0"/>
        </c:dLbls>
        <c:smooth val="0"/>
        <c:axId val="38034816"/>
        <c:axId val="38049280"/>
      </c:lineChart>
      <c:catAx>
        <c:axId val="38034816"/>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38049280"/>
        <c:crosses val="autoZero"/>
        <c:auto val="1"/>
        <c:lblAlgn val="ctr"/>
        <c:lblOffset val="100"/>
        <c:noMultiLvlLbl val="0"/>
      </c:catAx>
      <c:valAx>
        <c:axId val="38049280"/>
        <c:scaling>
          <c:orientation val="minMax"/>
        </c:scaling>
        <c:delete val="0"/>
        <c:axPos val="l"/>
        <c:title>
          <c:tx>
            <c:rich>
              <a:bodyPr rot="-5400000" vert="horz"/>
              <a:lstStyle/>
              <a:p>
                <a:pPr>
                  <a:defRPr/>
                </a:pPr>
                <a:r>
                  <a:rPr lang="en-GB"/>
                  <a:t>Population index</a:t>
                </a:r>
              </a:p>
            </c:rich>
          </c:tx>
          <c:overlay val="0"/>
        </c:title>
        <c:numFmt formatCode="General" sourceLinked="1"/>
        <c:majorTickMark val="out"/>
        <c:minorTickMark val="none"/>
        <c:tickLblPos val="nextTo"/>
        <c:crossAx val="38034816"/>
        <c:crosses val="autoZero"/>
        <c:crossBetween val="between"/>
      </c:valAx>
    </c:plotArea>
    <c:legend>
      <c:legendPos val="b"/>
      <c:layout>
        <c:manualLayout>
          <c:xMode val="edge"/>
          <c:yMode val="edge"/>
          <c:x val="0"/>
          <c:y val="0.89904679597977444"/>
          <c:w val="1"/>
          <c:h val="7.3852933017520703E-2"/>
        </c:manualLayout>
      </c:layout>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2"/>
          <c:order val="0"/>
          <c:tx>
            <c:strRef>
              <c:f>'ET,LV,LT'!$A$2</c:f>
              <c:strCache>
                <c:ptCount val="1"/>
                <c:pt idx="0">
                  <c:v>Estonia</c:v>
                </c:pt>
              </c:strCache>
            </c:strRef>
          </c:tx>
          <c:spPr>
            <a:ln>
              <a:solidFill>
                <a:schemeClr val="tx1"/>
              </a:solidFill>
              <a:prstDash val="dash"/>
            </a:ln>
          </c:spPr>
          <c:marker>
            <c:symbol val="none"/>
          </c:marker>
          <c:cat>
            <c:numRef>
              <c:f>'ET,LV,LT'!$B$1:$AG$1</c:f>
              <c:numCache>
                <c:formatCode>General</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'ET,LV,LT'!$B$2:$AG$2</c:f>
              <c:numCache>
                <c:formatCode>General</c:formatCode>
                <c:ptCount val="32"/>
                <c:pt idx="0">
                  <c:v>71</c:v>
                </c:pt>
                <c:pt idx="1">
                  <c:v>100</c:v>
                </c:pt>
                <c:pt idx="2">
                  <c:v>92</c:v>
                </c:pt>
                <c:pt idx="3">
                  <c:v>107</c:v>
                </c:pt>
                <c:pt idx="4">
                  <c:v>99</c:v>
                </c:pt>
                <c:pt idx="5">
                  <c:v>114</c:v>
                </c:pt>
                <c:pt idx="6">
                  <c:v>124</c:v>
                </c:pt>
                <c:pt idx="7">
                  <c:v>124</c:v>
                </c:pt>
                <c:pt idx="8">
                  <c:v>84</c:v>
                </c:pt>
                <c:pt idx="9">
                  <c:v>86</c:v>
                </c:pt>
                <c:pt idx="10">
                  <c:v>106</c:v>
                </c:pt>
                <c:pt idx="11">
                  <c:v>68</c:v>
                </c:pt>
                <c:pt idx="12">
                  <c:v>90</c:v>
                </c:pt>
                <c:pt idx="13">
                  <c:v>127</c:v>
                </c:pt>
                <c:pt idx="14">
                  <c:v>87</c:v>
                </c:pt>
                <c:pt idx="15">
                  <c:v>39</c:v>
                </c:pt>
                <c:pt idx="16">
                  <c:v>69</c:v>
                </c:pt>
                <c:pt idx="17">
                  <c:v>47</c:v>
                </c:pt>
                <c:pt idx="18">
                  <c:v>69</c:v>
                </c:pt>
                <c:pt idx="19">
                  <c:v>69</c:v>
                </c:pt>
                <c:pt idx="20">
                  <c:v>44</c:v>
                </c:pt>
                <c:pt idx="21">
                  <c:v>66</c:v>
                </c:pt>
                <c:pt idx="22">
                  <c:v>62</c:v>
                </c:pt>
                <c:pt idx="23">
                  <c:v>30</c:v>
                </c:pt>
                <c:pt idx="24">
                  <c:v>91</c:v>
                </c:pt>
                <c:pt idx="25">
                  <c:v>38</c:v>
                </c:pt>
                <c:pt idx="26">
                  <c:v>35</c:v>
                </c:pt>
                <c:pt idx="27">
                  <c:v>37</c:v>
                </c:pt>
                <c:pt idx="28">
                  <c:v>42</c:v>
                </c:pt>
                <c:pt idx="29">
                  <c:v>28</c:v>
                </c:pt>
                <c:pt idx="30">
                  <c:v>48</c:v>
                </c:pt>
                <c:pt idx="31">
                  <c:v>20</c:v>
                </c:pt>
              </c:numCache>
            </c:numRef>
          </c:val>
          <c:smooth val="0"/>
          <c:extLst>
            <c:ext xmlns:c16="http://schemas.microsoft.com/office/drawing/2014/chart" uri="{C3380CC4-5D6E-409C-BE32-E72D297353CC}">
              <c16:uniqueId val="{00000000-7227-423F-9FEC-0A87F8032834}"/>
            </c:ext>
          </c:extLst>
        </c:ser>
        <c:ser>
          <c:idx val="3"/>
          <c:order val="1"/>
          <c:tx>
            <c:strRef>
              <c:f>'ET,LV,LT'!$A$3</c:f>
              <c:strCache>
                <c:ptCount val="1"/>
                <c:pt idx="0">
                  <c:v>Latvia</c:v>
                </c:pt>
              </c:strCache>
            </c:strRef>
          </c:tx>
          <c:spPr>
            <a:ln>
              <a:solidFill>
                <a:prstClr val="black"/>
              </a:solidFill>
            </a:ln>
          </c:spPr>
          <c:marker>
            <c:symbol val="none"/>
          </c:marker>
          <c:cat>
            <c:numRef>
              <c:f>'ET,LV,LT'!$B$1:$AG$1</c:f>
              <c:numCache>
                <c:formatCode>General</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'ET,LV,LT'!$B$3:$AG$3</c:f>
              <c:numCache>
                <c:formatCode>General</c:formatCode>
                <c:ptCount val="32"/>
                <c:pt idx="12">
                  <c:v>100</c:v>
                </c:pt>
                <c:pt idx="13">
                  <c:v>110</c:v>
                </c:pt>
                <c:pt idx="14">
                  <c:v>60</c:v>
                </c:pt>
                <c:pt idx="15">
                  <c:v>110</c:v>
                </c:pt>
                <c:pt idx="16">
                  <c:v>170</c:v>
                </c:pt>
                <c:pt idx="17">
                  <c:v>90</c:v>
                </c:pt>
                <c:pt idx="18">
                  <c:v>120</c:v>
                </c:pt>
                <c:pt idx="19">
                  <c:v>50</c:v>
                </c:pt>
                <c:pt idx="20">
                  <c:v>110</c:v>
                </c:pt>
                <c:pt idx="21">
                  <c:v>50</c:v>
                </c:pt>
                <c:pt idx="22">
                  <c:v>128</c:v>
                </c:pt>
                <c:pt idx="23">
                  <c:v>92</c:v>
                </c:pt>
                <c:pt idx="24">
                  <c:v>94</c:v>
                </c:pt>
                <c:pt idx="25">
                  <c:v>98</c:v>
                </c:pt>
                <c:pt idx="26">
                  <c:v>73</c:v>
                </c:pt>
                <c:pt idx="27">
                  <c:v>90</c:v>
                </c:pt>
                <c:pt idx="28">
                  <c:v>94</c:v>
                </c:pt>
                <c:pt idx="29">
                  <c:v>118</c:v>
                </c:pt>
                <c:pt idx="30">
                  <c:v>73</c:v>
                </c:pt>
                <c:pt idx="31">
                  <c:v>16</c:v>
                </c:pt>
              </c:numCache>
            </c:numRef>
          </c:val>
          <c:smooth val="0"/>
          <c:extLst>
            <c:ext xmlns:c16="http://schemas.microsoft.com/office/drawing/2014/chart" uri="{C3380CC4-5D6E-409C-BE32-E72D297353CC}">
              <c16:uniqueId val="{00000001-7227-423F-9FEC-0A87F8032834}"/>
            </c:ext>
          </c:extLst>
        </c:ser>
        <c:ser>
          <c:idx val="0"/>
          <c:order val="2"/>
          <c:tx>
            <c:strRef>
              <c:f>'ET,LV,LT'!$A$4</c:f>
              <c:strCache>
                <c:ptCount val="1"/>
                <c:pt idx="0">
                  <c:v>Lithuania</c:v>
                </c:pt>
              </c:strCache>
            </c:strRef>
          </c:tx>
          <c:spPr>
            <a:ln>
              <a:solidFill>
                <a:schemeClr val="bg1">
                  <a:lumMod val="75000"/>
                </a:schemeClr>
              </a:solidFill>
              <a:prstDash val="solid"/>
            </a:ln>
          </c:spPr>
          <c:marker>
            <c:symbol val="none"/>
          </c:marker>
          <c:cat>
            <c:numRef>
              <c:f>'ET,LV,LT'!$B$1:$AG$1</c:f>
              <c:numCache>
                <c:formatCode>General</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'ET,LV,LT'!$B$4:$AG$4</c:f>
              <c:numCache>
                <c:formatCode>General</c:formatCode>
                <c:ptCount val="32"/>
                <c:pt idx="28">
                  <c:v>100</c:v>
                </c:pt>
                <c:pt idx="29">
                  <c:v>99</c:v>
                </c:pt>
                <c:pt idx="30">
                  <c:v>128</c:v>
                </c:pt>
                <c:pt idx="31">
                  <c:v>75</c:v>
                </c:pt>
              </c:numCache>
            </c:numRef>
          </c:val>
          <c:smooth val="0"/>
          <c:extLst>
            <c:ext xmlns:c16="http://schemas.microsoft.com/office/drawing/2014/chart" uri="{C3380CC4-5D6E-409C-BE32-E72D297353CC}">
              <c16:uniqueId val="{00000002-7227-423F-9FEC-0A87F8032834}"/>
            </c:ext>
          </c:extLst>
        </c:ser>
        <c:ser>
          <c:idx val="4"/>
          <c:order val="3"/>
          <c:tx>
            <c:strRef>
              <c:f>'ET,LV,LT'!$A$5</c:f>
              <c:strCache>
                <c:ptCount val="1"/>
                <c:pt idx="0">
                  <c:v>Poland</c:v>
                </c:pt>
              </c:strCache>
            </c:strRef>
          </c:tx>
          <c:spPr>
            <a:ln>
              <a:solidFill>
                <a:schemeClr val="bg1">
                  <a:lumMod val="75000"/>
                </a:schemeClr>
              </a:solidFill>
              <a:prstDash val="dash"/>
            </a:ln>
          </c:spPr>
          <c:marker>
            <c:symbol val="none"/>
          </c:marker>
          <c:cat>
            <c:numRef>
              <c:f>'ET,LV,LT'!$B$1:$AG$1</c:f>
              <c:numCache>
                <c:formatCode>General</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'ET,LV,LT'!$B$5:$AG$5</c:f>
              <c:numCache>
                <c:formatCode>General</c:formatCode>
                <c:ptCount val="32"/>
                <c:pt idx="18">
                  <c:v>100</c:v>
                </c:pt>
                <c:pt idx="19">
                  <c:v>81</c:v>
                </c:pt>
                <c:pt idx="20">
                  <c:v>108</c:v>
                </c:pt>
                <c:pt idx="21">
                  <c:v>101</c:v>
                </c:pt>
                <c:pt idx="22">
                  <c:v>70</c:v>
                </c:pt>
                <c:pt idx="23">
                  <c:v>79</c:v>
                </c:pt>
                <c:pt idx="24">
                  <c:v>79</c:v>
                </c:pt>
                <c:pt idx="25">
                  <c:v>80</c:v>
                </c:pt>
                <c:pt idx="26">
                  <c:v>96</c:v>
                </c:pt>
                <c:pt idx="27">
                  <c:v>78</c:v>
                </c:pt>
                <c:pt idx="28">
                  <c:v>66</c:v>
                </c:pt>
                <c:pt idx="29">
                  <c:v>72</c:v>
                </c:pt>
                <c:pt idx="30">
                  <c:v>64</c:v>
                </c:pt>
                <c:pt idx="31">
                  <c:v>66</c:v>
                </c:pt>
              </c:numCache>
            </c:numRef>
          </c:val>
          <c:smooth val="0"/>
          <c:extLst>
            <c:ext xmlns:c16="http://schemas.microsoft.com/office/drawing/2014/chart" uri="{C3380CC4-5D6E-409C-BE32-E72D297353CC}">
              <c16:uniqueId val="{00000003-7227-423F-9FEC-0A87F8032834}"/>
            </c:ext>
          </c:extLst>
        </c:ser>
        <c:dLbls>
          <c:showLegendKey val="0"/>
          <c:showVal val="0"/>
          <c:showCatName val="0"/>
          <c:showSerName val="0"/>
          <c:showPercent val="0"/>
          <c:showBubbleSize val="0"/>
        </c:dLbls>
        <c:smooth val="0"/>
        <c:axId val="38098816"/>
        <c:axId val="38100992"/>
      </c:lineChart>
      <c:catAx>
        <c:axId val="38098816"/>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38100992"/>
        <c:crosses val="autoZero"/>
        <c:auto val="1"/>
        <c:lblAlgn val="ctr"/>
        <c:lblOffset val="100"/>
        <c:noMultiLvlLbl val="0"/>
      </c:catAx>
      <c:valAx>
        <c:axId val="38100992"/>
        <c:scaling>
          <c:orientation val="minMax"/>
        </c:scaling>
        <c:delete val="0"/>
        <c:axPos val="l"/>
        <c:title>
          <c:tx>
            <c:rich>
              <a:bodyPr rot="-5400000" vert="horz"/>
              <a:lstStyle/>
              <a:p>
                <a:pPr>
                  <a:defRPr/>
                </a:pPr>
                <a:r>
                  <a:rPr lang="en-GB"/>
                  <a:t>Population index</a:t>
                </a:r>
              </a:p>
            </c:rich>
          </c:tx>
          <c:overlay val="0"/>
        </c:title>
        <c:numFmt formatCode="General" sourceLinked="1"/>
        <c:majorTickMark val="out"/>
        <c:minorTickMark val="none"/>
        <c:tickLblPos val="nextTo"/>
        <c:crossAx val="38098816"/>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2"/>
          <c:order val="0"/>
          <c:tx>
            <c:strRef>
              <c:f>'AT,CZ,HU,IT,PL,SK,CH'!$A$2</c:f>
              <c:strCache>
                <c:ptCount val="1"/>
                <c:pt idx="0">
                  <c:v>Austria</c:v>
                </c:pt>
              </c:strCache>
            </c:strRef>
          </c:tx>
          <c:spPr>
            <a:ln>
              <a:solidFill>
                <a:schemeClr val="tx1"/>
              </a:solidFill>
              <a:prstDash val="sysDash"/>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'AT,CZ,HU,IT,PL,SK,CH'!$B$2:$AH$2</c:f>
              <c:numCache>
                <c:formatCode>General</c:formatCode>
                <c:ptCount val="33"/>
                <c:pt idx="16">
                  <c:v>100</c:v>
                </c:pt>
                <c:pt idx="17">
                  <c:v>108</c:v>
                </c:pt>
                <c:pt idx="18">
                  <c:v>99</c:v>
                </c:pt>
                <c:pt idx="19">
                  <c:v>109</c:v>
                </c:pt>
                <c:pt idx="20">
                  <c:v>103</c:v>
                </c:pt>
                <c:pt idx="21">
                  <c:v>93</c:v>
                </c:pt>
                <c:pt idx="22">
                  <c:v>77</c:v>
                </c:pt>
                <c:pt idx="23">
                  <c:v>83</c:v>
                </c:pt>
                <c:pt idx="24">
                  <c:v>66</c:v>
                </c:pt>
                <c:pt idx="25">
                  <c:v>75</c:v>
                </c:pt>
                <c:pt idx="26">
                  <c:v>75</c:v>
                </c:pt>
                <c:pt idx="27">
                  <c:v>75</c:v>
                </c:pt>
                <c:pt idx="28">
                  <c:v>72</c:v>
                </c:pt>
                <c:pt idx="29">
                  <c:v>63</c:v>
                </c:pt>
                <c:pt idx="30">
                  <c:v>57</c:v>
                </c:pt>
                <c:pt idx="31">
                  <c:v>68</c:v>
                </c:pt>
                <c:pt idx="32">
                  <c:v>44</c:v>
                </c:pt>
              </c:numCache>
            </c:numRef>
          </c:val>
          <c:smooth val="0"/>
          <c:extLst>
            <c:ext xmlns:c16="http://schemas.microsoft.com/office/drawing/2014/chart" uri="{C3380CC4-5D6E-409C-BE32-E72D297353CC}">
              <c16:uniqueId val="{00000000-330C-422F-A141-D92C79993112}"/>
            </c:ext>
          </c:extLst>
        </c:ser>
        <c:ser>
          <c:idx val="3"/>
          <c:order val="1"/>
          <c:tx>
            <c:strRef>
              <c:f>'AT,CZ,HU,IT,PL,SK,CH'!$A$3</c:f>
              <c:strCache>
                <c:ptCount val="1"/>
                <c:pt idx="0">
                  <c:v>Czech Republic</c:v>
                </c:pt>
              </c:strCache>
            </c:strRef>
          </c:tx>
          <c:spPr>
            <a:ln>
              <a:solidFill>
                <a:schemeClr val="tx1"/>
              </a:solidFill>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'AT,CZ,HU,IT,PL,SK,CH'!$B$3:$AH$3</c:f>
              <c:numCache>
                <c:formatCode>General</c:formatCode>
                <c:ptCount val="33"/>
                <c:pt idx="0">
                  <c:v>100</c:v>
                </c:pt>
                <c:pt idx="1">
                  <c:v>118</c:v>
                </c:pt>
                <c:pt idx="2">
                  <c:v>112</c:v>
                </c:pt>
                <c:pt idx="3">
                  <c:v>87</c:v>
                </c:pt>
                <c:pt idx="4">
                  <c:v>105</c:v>
                </c:pt>
                <c:pt idx="5">
                  <c:v>84</c:v>
                </c:pt>
                <c:pt idx="6">
                  <c:v>73</c:v>
                </c:pt>
                <c:pt idx="7">
                  <c:v>89</c:v>
                </c:pt>
                <c:pt idx="8">
                  <c:v>90</c:v>
                </c:pt>
                <c:pt idx="9">
                  <c:v>79</c:v>
                </c:pt>
                <c:pt idx="10">
                  <c:v>79</c:v>
                </c:pt>
                <c:pt idx="11">
                  <c:v>96</c:v>
                </c:pt>
                <c:pt idx="12">
                  <c:v>96</c:v>
                </c:pt>
                <c:pt idx="13">
                  <c:v>86</c:v>
                </c:pt>
                <c:pt idx="14">
                  <c:v>80</c:v>
                </c:pt>
                <c:pt idx="15">
                  <c:v>88</c:v>
                </c:pt>
                <c:pt idx="16">
                  <c:v>61</c:v>
                </c:pt>
                <c:pt idx="17">
                  <c:v>68</c:v>
                </c:pt>
                <c:pt idx="18">
                  <c:v>68</c:v>
                </c:pt>
                <c:pt idx="19">
                  <c:v>60</c:v>
                </c:pt>
                <c:pt idx="20">
                  <c:v>60</c:v>
                </c:pt>
                <c:pt idx="21">
                  <c:v>60</c:v>
                </c:pt>
                <c:pt idx="22">
                  <c:v>54</c:v>
                </c:pt>
                <c:pt idx="23">
                  <c:v>52</c:v>
                </c:pt>
                <c:pt idx="24">
                  <c:v>55</c:v>
                </c:pt>
                <c:pt idx="25">
                  <c:v>57</c:v>
                </c:pt>
                <c:pt idx="26">
                  <c:v>50</c:v>
                </c:pt>
                <c:pt idx="27">
                  <c:v>55</c:v>
                </c:pt>
                <c:pt idx="28">
                  <c:v>62</c:v>
                </c:pt>
                <c:pt idx="29">
                  <c:v>51</c:v>
                </c:pt>
                <c:pt idx="30">
                  <c:v>48</c:v>
                </c:pt>
                <c:pt idx="31">
                  <c:v>42</c:v>
                </c:pt>
                <c:pt idx="32">
                  <c:v>38</c:v>
                </c:pt>
              </c:numCache>
            </c:numRef>
          </c:val>
          <c:smooth val="0"/>
          <c:extLst>
            <c:ext xmlns:c16="http://schemas.microsoft.com/office/drawing/2014/chart" uri="{C3380CC4-5D6E-409C-BE32-E72D297353CC}">
              <c16:uniqueId val="{00000001-330C-422F-A141-D92C79993112}"/>
            </c:ext>
          </c:extLst>
        </c:ser>
        <c:ser>
          <c:idx val="4"/>
          <c:order val="2"/>
          <c:tx>
            <c:strRef>
              <c:f>'AT,CZ,HU,IT,PL,SK,CH'!$A$4</c:f>
              <c:strCache>
                <c:ptCount val="1"/>
                <c:pt idx="0">
                  <c:v>Hungary</c:v>
                </c:pt>
              </c:strCache>
            </c:strRef>
          </c:tx>
          <c:spPr>
            <a:ln>
              <a:solidFill>
                <a:schemeClr val="bg1">
                  <a:lumMod val="75000"/>
                </a:schemeClr>
              </a:solidFill>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'AT,CZ,HU,IT,PL,SK,CH'!$B$4:$AH$4</c:f>
              <c:numCache>
                <c:formatCode>General</c:formatCode>
                <c:ptCount val="33"/>
                <c:pt idx="17">
                  <c:v>100</c:v>
                </c:pt>
                <c:pt idx="18">
                  <c:v>100</c:v>
                </c:pt>
                <c:pt idx="19">
                  <c:v>106</c:v>
                </c:pt>
                <c:pt idx="20">
                  <c:v>106</c:v>
                </c:pt>
                <c:pt idx="21">
                  <c:v>127</c:v>
                </c:pt>
                <c:pt idx="22">
                  <c:v>101</c:v>
                </c:pt>
                <c:pt idx="23">
                  <c:v>113</c:v>
                </c:pt>
                <c:pt idx="24">
                  <c:v>91</c:v>
                </c:pt>
                <c:pt idx="25">
                  <c:v>101</c:v>
                </c:pt>
                <c:pt idx="26">
                  <c:v>106</c:v>
                </c:pt>
                <c:pt idx="27">
                  <c:v>120</c:v>
                </c:pt>
                <c:pt idx="28">
                  <c:v>97</c:v>
                </c:pt>
                <c:pt idx="29">
                  <c:v>91</c:v>
                </c:pt>
                <c:pt idx="30">
                  <c:v>106</c:v>
                </c:pt>
                <c:pt idx="31">
                  <c:v>106</c:v>
                </c:pt>
                <c:pt idx="32">
                  <c:v>100</c:v>
                </c:pt>
              </c:numCache>
            </c:numRef>
          </c:val>
          <c:smooth val="0"/>
          <c:extLst>
            <c:ext xmlns:c16="http://schemas.microsoft.com/office/drawing/2014/chart" uri="{C3380CC4-5D6E-409C-BE32-E72D297353CC}">
              <c16:uniqueId val="{00000002-330C-422F-A141-D92C79993112}"/>
            </c:ext>
          </c:extLst>
        </c:ser>
        <c:ser>
          <c:idx val="5"/>
          <c:order val="3"/>
          <c:tx>
            <c:strRef>
              <c:f>'AT,CZ,HU,IT,PL,SK,CH'!$A$5</c:f>
              <c:strCache>
                <c:ptCount val="1"/>
                <c:pt idx="0">
                  <c:v>Italy</c:v>
                </c:pt>
              </c:strCache>
            </c:strRef>
          </c:tx>
          <c:spPr>
            <a:ln>
              <a:solidFill>
                <a:schemeClr val="bg1">
                  <a:lumMod val="75000"/>
                </a:schemeClr>
              </a:solidFill>
              <a:prstDash val="dash"/>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'AT,CZ,HU,IT,PL,SK,CH'!$B$5:$AH$5</c:f>
              <c:numCache>
                <c:formatCode>General</c:formatCode>
                <c:ptCount val="33"/>
                <c:pt idx="18">
                  <c:v>100</c:v>
                </c:pt>
                <c:pt idx="19">
                  <c:v>105</c:v>
                </c:pt>
                <c:pt idx="20">
                  <c:v>96</c:v>
                </c:pt>
                <c:pt idx="21">
                  <c:v>107</c:v>
                </c:pt>
                <c:pt idx="22">
                  <c:v>117</c:v>
                </c:pt>
                <c:pt idx="23">
                  <c:v>110</c:v>
                </c:pt>
                <c:pt idx="24">
                  <c:v>103</c:v>
                </c:pt>
                <c:pt idx="25">
                  <c:v>104</c:v>
                </c:pt>
                <c:pt idx="26">
                  <c:v>108</c:v>
                </c:pt>
                <c:pt idx="27">
                  <c:v>115</c:v>
                </c:pt>
                <c:pt idx="28">
                  <c:v>113</c:v>
                </c:pt>
                <c:pt idx="29">
                  <c:v>110</c:v>
                </c:pt>
                <c:pt idx="30">
                  <c:v>111</c:v>
                </c:pt>
                <c:pt idx="31">
                  <c:v>109</c:v>
                </c:pt>
                <c:pt idx="32">
                  <c:v>95</c:v>
                </c:pt>
              </c:numCache>
            </c:numRef>
          </c:val>
          <c:smooth val="0"/>
          <c:extLst>
            <c:ext xmlns:c16="http://schemas.microsoft.com/office/drawing/2014/chart" uri="{C3380CC4-5D6E-409C-BE32-E72D297353CC}">
              <c16:uniqueId val="{00000003-330C-422F-A141-D92C79993112}"/>
            </c:ext>
          </c:extLst>
        </c:ser>
        <c:ser>
          <c:idx val="6"/>
          <c:order val="4"/>
          <c:tx>
            <c:strRef>
              <c:f>'AT,CZ,HU,IT,PL,SK,CH'!$A$6</c:f>
              <c:strCache>
                <c:ptCount val="1"/>
                <c:pt idx="0">
                  <c:v>Slovakia</c:v>
                </c:pt>
              </c:strCache>
            </c:strRef>
          </c:tx>
          <c:spPr>
            <a:ln>
              <a:solidFill>
                <a:schemeClr val="bg1">
                  <a:lumMod val="75000"/>
                </a:schemeClr>
              </a:solidFill>
              <a:prstDash val="sysDash"/>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'AT,CZ,HU,IT,PL,SK,CH'!$B$6:$AH$6</c:f>
              <c:numCache>
                <c:formatCode>General</c:formatCode>
                <c:ptCount val="33"/>
                <c:pt idx="23">
                  <c:v>100</c:v>
                </c:pt>
                <c:pt idx="24">
                  <c:v>91</c:v>
                </c:pt>
                <c:pt idx="25">
                  <c:v>80</c:v>
                </c:pt>
                <c:pt idx="26">
                  <c:v>78</c:v>
                </c:pt>
                <c:pt idx="27">
                  <c:v>95</c:v>
                </c:pt>
                <c:pt idx="28">
                  <c:v>80</c:v>
                </c:pt>
                <c:pt idx="29">
                  <c:v>58</c:v>
                </c:pt>
                <c:pt idx="30">
                  <c:v>72</c:v>
                </c:pt>
                <c:pt idx="31">
                  <c:v>68</c:v>
                </c:pt>
                <c:pt idx="32">
                  <c:v>55</c:v>
                </c:pt>
              </c:numCache>
            </c:numRef>
          </c:val>
          <c:smooth val="0"/>
          <c:extLst>
            <c:ext xmlns:c16="http://schemas.microsoft.com/office/drawing/2014/chart" uri="{C3380CC4-5D6E-409C-BE32-E72D297353CC}">
              <c16:uniqueId val="{00000004-330C-422F-A141-D92C79993112}"/>
            </c:ext>
          </c:extLst>
        </c:ser>
        <c:ser>
          <c:idx val="7"/>
          <c:order val="5"/>
          <c:tx>
            <c:strRef>
              <c:f>'AT,CZ,HU,IT,PL,SK,CH'!$A$7</c:f>
              <c:strCache>
                <c:ptCount val="1"/>
                <c:pt idx="0">
                  <c:v>Slovenia</c:v>
                </c:pt>
              </c:strCache>
            </c:strRef>
          </c:tx>
          <c:spPr>
            <a:ln>
              <a:solidFill>
                <a:schemeClr val="tx1"/>
              </a:solidFill>
              <a:prstDash val="sysDot"/>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'AT,CZ,HU,IT,PL,SK,CH'!$B$7:$AH$7</c:f>
              <c:numCache>
                <c:formatCode>General</c:formatCode>
                <c:ptCount val="33"/>
                <c:pt idx="25">
                  <c:v>100</c:v>
                </c:pt>
                <c:pt idx="26">
                  <c:v>161</c:v>
                </c:pt>
                <c:pt idx="27">
                  <c:v>143</c:v>
                </c:pt>
                <c:pt idx="28">
                  <c:v>109</c:v>
                </c:pt>
                <c:pt idx="29">
                  <c:v>59</c:v>
                </c:pt>
                <c:pt idx="30">
                  <c:v>89</c:v>
                </c:pt>
                <c:pt idx="31">
                  <c:v>76</c:v>
                </c:pt>
                <c:pt idx="32">
                  <c:v>73</c:v>
                </c:pt>
              </c:numCache>
            </c:numRef>
          </c:val>
          <c:smooth val="0"/>
          <c:extLst>
            <c:ext xmlns:c16="http://schemas.microsoft.com/office/drawing/2014/chart" uri="{C3380CC4-5D6E-409C-BE32-E72D297353CC}">
              <c16:uniqueId val="{00000005-330C-422F-A141-D92C79993112}"/>
            </c:ext>
          </c:extLst>
        </c:ser>
        <c:ser>
          <c:idx val="0"/>
          <c:order val="6"/>
          <c:tx>
            <c:strRef>
              <c:f>'AT,CZ,HU,IT,PL,SK,CH'!$A$8</c:f>
              <c:strCache>
                <c:ptCount val="1"/>
                <c:pt idx="0">
                  <c:v>Switzerland</c:v>
                </c:pt>
              </c:strCache>
            </c:strRef>
          </c:tx>
          <c:spPr>
            <a:ln>
              <a:solidFill>
                <a:prstClr val="black"/>
              </a:solidFill>
              <a:prstDash val="dash"/>
            </a:ln>
          </c:spPr>
          <c:marker>
            <c:symbol val="none"/>
          </c:marker>
          <c:cat>
            <c:numRef>
              <c:f>'AT,CZ,HU,IT,PL,SK,CH'!$B$1:$AH$1</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'AT,CZ,HU,IT,PL,SK,CH'!$B$8:$AH$8</c:f>
              <c:numCache>
                <c:formatCode>General</c:formatCode>
                <c:ptCount val="33"/>
                <c:pt idx="17">
                  <c:v>100</c:v>
                </c:pt>
                <c:pt idx="18">
                  <c:v>99</c:v>
                </c:pt>
                <c:pt idx="19">
                  <c:v>36</c:v>
                </c:pt>
                <c:pt idx="20">
                  <c:v>90</c:v>
                </c:pt>
                <c:pt idx="21">
                  <c:v>41</c:v>
                </c:pt>
                <c:pt idx="22">
                  <c:v>63</c:v>
                </c:pt>
                <c:pt idx="23">
                  <c:v>77</c:v>
                </c:pt>
                <c:pt idx="24">
                  <c:v>27</c:v>
                </c:pt>
                <c:pt idx="25">
                  <c:v>68</c:v>
                </c:pt>
                <c:pt idx="26">
                  <c:v>77</c:v>
                </c:pt>
                <c:pt idx="27">
                  <c:v>59</c:v>
                </c:pt>
                <c:pt idx="28">
                  <c:v>77</c:v>
                </c:pt>
                <c:pt idx="29">
                  <c:v>77</c:v>
                </c:pt>
                <c:pt idx="30">
                  <c:v>14</c:v>
                </c:pt>
                <c:pt idx="31">
                  <c:v>45</c:v>
                </c:pt>
                <c:pt idx="32">
                  <c:v>27</c:v>
                </c:pt>
              </c:numCache>
            </c:numRef>
          </c:val>
          <c:smooth val="0"/>
          <c:extLst>
            <c:ext xmlns:c16="http://schemas.microsoft.com/office/drawing/2014/chart" uri="{C3380CC4-5D6E-409C-BE32-E72D297353CC}">
              <c16:uniqueId val="{00000006-330C-422F-A141-D92C79993112}"/>
            </c:ext>
          </c:extLst>
        </c:ser>
        <c:dLbls>
          <c:showLegendKey val="0"/>
          <c:showVal val="0"/>
          <c:showCatName val="0"/>
          <c:showSerName val="0"/>
          <c:showPercent val="0"/>
          <c:showBubbleSize val="0"/>
        </c:dLbls>
        <c:smooth val="0"/>
        <c:axId val="66952576"/>
        <c:axId val="66962944"/>
      </c:lineChart>
      <c:catAx>
        <c:axId val="66952576"/>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66962944"/>
        <c:crosses val="autoZero"/>
        <c:auto val="1"/>
        <c:lblAlgn val="ctr"/>
        <c:lblOffset val="100"/>
        <c:noMultiLvlLbl val="0"/>
      </c:catAx>
      <c:valAx>
        <c:axId val="66962944"/>
        <c:scaling>
          <c:orientation val="minMax"/>
        </c:scaling>
        <c:delete val="0"/>
        <c:axPos val="l"/>
        <c:title>
          <c:tx>
            <c:rich>
              <a:bodyPr rot="-5400000" vert="horz"/>
              <a:lstStyle/>
              <a:p>
                <a:pPr>
                  <a:defRPr/>
                </a:pPr>
                <a:r>
                  <a:rPr lang="en-GB"/>
                  <a:t>Population index</a:t>
                </a:r>
              </a:p>
            </c:rich>
          </c:tx>
          <c:overlay val="0"/>
        </c:title>
        <c:numFmt formatCode="General" sourceLinked="1"/>
        <c:majorTickMark val="out"/>
        <c:minorTickMark val="none"/>
        <c:tickLblPos val="nextTo"/>
        <c:crossAx val="66952576"/>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2"/>
          <c:order val="0"/>
          <c:tx>
            <c:strRef>
              <c:f>'BG,CY,RO'!$A$2</c:f>
              <c:strCache>
                <c:ptCount val="1"/>
                <c:pt idx="0">
                  <c:v>Bulgaria</c:v>
                </c:pt>
              </c:strCache>
            </c:strRef>
          </c:tx>
          <c:spPr>
            <a:ln>
              <a:solidFill>
                <a:schemeClr val="bg1">
                  <a:lumMod val="75000"/>
                </a:schemeClr>
              </a:solidFill>
            </a:ln>
          </c:spPr>
          <c:marker>
            <c:symbol val="none"/>
          </c:marker>
          <c:cat>
            <c:numRef>
              <c:f>'BG,CY,RO'!$B$1:$K$1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'BG,CY,RO'!$B$2:$K$2</c:f>
              <c:numCache>
                <c:formatCode>General</c:formatCode>
                <c:ptCount val="10"/>
                <c:pt idx="0">
                  <c:v>100</c:v>
                </c:pt>
                <c:pt idx="1">
                  <c:v>108</c:v>
                </c:pt>
                <c:pt idx="2">
                  <c:v>79</c:v>
                </c:pt>
                <c:pt idx="3">
                  <c:v>93</c:v>
                </c:pt>
                <c:pt idx="4">
                  <c:v>114</c:v>
                </c:pt>
                <c:pt idx="5">
                  <c:v>84</c:v>
                </c:pt>
                <c:pt idx="6">
                  <c:v>82</c:v>
                </c:pt>
                <c:pt idx="7">
                  <c:v>99</c:v>
                </c:pt>
                <c:pt idx="8">
                  <c:v>108</c:v>
                </c:pt>
                <c:pt idx="9">
                  <c:v>83</c:v>
                </c:pt>
              </c:numCache>
            </c:numRef>
          </c:val>
          <c:smooth val="0"/>
          <c:extLst>
            <c:ext xmlns:c16="http://schemas.microsoft.com/office/drawing/2014/chart" uri="{C3380CC4-5D6E-409C-BE32-E72D297353CC}">
              <c16:uniqueId val="{00000000-A55C-4296-96DC-698B259FAFF0}"/>
            </c:ext>
          </c:extLst>
        </c:ser>
        <c:ser>
          <c:idx val="3"/>
          <c:order val="1"/>
          <c:tx>
            <c:strRef>
              <c:f>'BG,CY,RO'!$A$3</c:f>
              <c:strCache>
                <c:ptCount val="1"/>
                <c:pt idx="0">
                  <c:v>Cyprus</c:v>
                </c:pt>
              </c:strCache>
            </c:strRef>
          </c:tx>
          <c:spPr>
            <a:ln>
              <a:solidFill>
                <a:prstClr val="black"/>
              </a:solidFill>
            </a:ln>
          </c:spPr>
          <c:marker>
            <c:symbol val="none"/>
          </c:marker>
          <c:cat>
            <c:numRef>
              <c:f>'BG,CY,RO'!$B$1:$K$1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'BG,CY,RO'!$B$3:$K$3</c:f>
              <c:numCache>
                <c:formatCode>General</c:formatCode>
                <c:ptCount val="10"/>
                <c:pt idx="1">
                  <c:v>100</c:v>
                </c:pt>
                <c:pt idx="2">
                  <c:v>80</c:v>
                </c:pt>
                <c:pt idx="3">
                  <c:v>72</c:v>
                </c:pt>
                <c:pt idx="4">
                  <c:v>73</c:v>
                </c:pt>
                <c:pt idx="5">
                  <c:v>112</c:v>
                </c:pt>
                <c:pt idx="6">
                  <c:v>113</c:v>
                </c:pt>
                <c:pt idx="7">
                  <c:v>161</c:v>
                </c:pt>
                <c:pt idx="8">
                  <c:v>66</c:v>
                </c:pt>
                <c:pt idx="9">
                  <c:v>36</c:v>
                </c:pt>
              </c:numCache>
            </c:numRef>
          </c:val>
          <c:smooth val="0"/>
          <c:extLst>
            <c:ext xmlns:c16="http://schemas.microsoft.com/office/drawing/2014/chart" uri="{C3380CC4-5D6E-409C-BE32-E72D297353CC}">
              <c16:uniqueId val="{00000001-A55C-4296-96DC-698B259FAFF0}"/>
            </c:ext>
          </c:extLst>
        </c:ser>
        <c:ser>
          <c:idx val="0"/>
          <c:order val="2"/>
          <c:tx>
            <c:strRef>
              <c:f>'BG,CY,RO'!$A$4</c:f>
              <c:strCache>
                <c:ptCount val="1"/>
                <c:pt idx="0">
                  <c:v>Greece</c:v>
                </c:pt>
              </c:strCache>
            </c:strRef>
          </c:tx>
          <c:spPr>
            <a:ln>
              <a:solidFill>
                <a:schemeClr val="bg1">
                  <a:lumMod val="75000"/>
                </a:schemeClr>
              </a:solidFill>
              <a:prstDash val="sysDash"/>
            </a:ln>
          </c:spPr>
          <c:marker>
            <c:symbol val="none"/>
          </c:marker>
          <c:cat>
            <c:numRef>
              <c:f>'BG,CY,RO'!$B$1:$K$1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'BG,CY,RO'!$B$4:$K$4</c:f>
              <c:numCache>
                <c:formatCode>General</c:formatCode>
                <c:ptCount val="10"/>
                <c:pt idx="2">
                  <c:v>100</c:v>
                </c:pt>
                <c:pt idx="3">
                  <c:v>85</c:v>
                </c:pt>
                <c:pt idx="4">
                  <c:v>100</c:v>
                </c:pt>
                <c:pt idx="5">
                  <c:v>101</c:v>
                </c:pt>
                <c:pt idx="6">
                  <c:v>151</c:v>
                </c:pt>
                <c:pt idx="7">
                  <c:v>104</c:v>
                </c:pt>
                <c:pt idx="8">
                  <c:v>90</c:v>
                </c:pt>
                <c:pt idx="9">
                  <c:v>119</c:v>
                </c:pt>
              </c:numCache>
            </c:numRef>
          </c:val>
          <c:smooth val="0"/>
          <c:extLst>
            <c:ext xmlns:c16="http://schemas.microsoft.com/office/drawing/2014/chart" uri="{C3380CC4-5D6E-409C-BE32-E72D297353CC}">
              <c16:uniqueId val="{00000002-A55C-4296-96DC-698B259FAFF0}"/>
            </c:ext>
          </c:extLst>
        </c:ser>
        <c:ser>
          <c:idx val="4"/>
          <c:order val="3"/>
          <c:tx>
            <c:strRef>
              <c:f>'BG,CY,RO'!$A$5</c:f>
              <c:strCache>
                <c:ptCount val="1"/>
                <c:pt idx="0">
                  <c:v>Romania</c:v>
                </c:pt>
              </c:strCache>
            </c:strRef>
          </c:tx>
          <c:spPr>
            <a:ln>
              <a:solidFill>
                <a:schemeClr val="tx1"/>
              </a:solidFill>
              <a:prstDash val="sysDash"/>
            </a:ln>
          </c:spPr>
          <c:marker>
            <c:symbol val="none"/>
          </c:marker>
          <c:cat>
            <c:numRef>
              <c:f>'BG,CY,RO'!$B$1:$K$1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'BG,CY,RO'!$B$5:$K$5</c:f>
              <c:numCache>
                <c:formatCode>General</c:formatCode>
                <c:ptCount val="10"/>
                <c:pt idx="2">
                  <c:v>100</c:v>
                </c:pt>
                <c:pt idx="3">
                  <c:v>78</c:v>
                </c:pt>
                <c:pt idx="4">
                  <c:v>72</c:v>
                </c:pt>
                <c:pt idx="5">
                  <c:v>72</c:v>
                </c:pt>
                <c:pt idx="6">
                  <c:v>124</c:v>
                </c:pt>
                <c:pt idx="7">
                  <c:v>112</c:v>
                </c:pt>
                <c:pt idx="8">
                  <c:v>88</c:v>
                </c:pt>
                <c:pt idx="9">
                  <c:v>94</c:v>
                </c:pt>
              </c:numCache>
            </c:numRef>
          </c:val>
          <c:smooth val="0"/>
          <c:extLst>
            <c:ext xmlns:c16="http://schemas.microsoft.com/office/drawing/2014/chart" uri="{C3380CC4-5D6E-409C-BE32-E72D297353CC}">
              <c16:uniqueId val="{00000003-A55C-4296-96DC-698B259FAFF0}"/>
            </c:ext>
          </c:extLst>
        </c:ser>
        <c:dLbls>
          <c:showLegendKey val="0"/>
          <c:showVal val="0"/>
          <c:showCatName val="0"/>
          <c:showSerName val="0"/>
          <c:showPercent val="0"/>
          <c:showBubbleSize val="0"/>
        </c:dLbls>
        <c:smooth val="0"/>
        <c:axId val="75482624"/>
        <c:axId val="75484544"/>
      </c:lineChart>
      <c:catAx>
        <c:axId val="7548262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75484544"/>
        <c:crosses val="autoZero"/>
        <c:auto val="1"/>
        <c:lblAlgn val="ctr"/>
        <c:lblOffset val="100"/>
        <c:noMultiLvlLbl val="0"/>
      </c:catAx>
      <c:valAx>
        <c:axId val="75484544"/>
        <c:scaling>
          <c:orientation val="minMax"/>
        </c:scaling>
        <c:delete val="0"/>
        <c:axPos val="l"/>
        <c:title>
          <c:tx>
            <c:rich>
              <a:bodyPr rot="-5400000" vert="horz"/>
              <a:lstStyle/>
              <a:p>
                <a:pPr>
                  <a:defRPr/>
                </a:pPr>
                <a:r>
                  <a:rPr lang="en-US"/>
                  <a:t>Population index</a:t>
                </a:r>
              </a:p>
            </c:rich>
          </c:tx>
          <c:overlay val="0"/>
        </c:title>
        <c:numFmt formatCode="General" sourceLinked="1"/>
        <c:majorTickMark val="out"/>
        <c:minorTickMark val="none"/>
        <c:tickLblPos val="nextTo"/>
        <c:crossAx val="75482624"/>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1"/>
          <c:order val="0"/>
          <c:tx>
            <c:strRef>
              <c:f>'Top 5 only'!$C$2</c:f>
              <c:strCache>
                <c:ptCount val="1"/>
                <c:pt idx="0">
                  <c:v>France</c:v>
                </c:pt>
              </c:strCache>
            </c:strRef>
          </c:tx>
          <c:spPr>
            <a:ln>
              <a:solidFill>
                <a:schemeClr val="bg1">
                  <a:lumMod val="75000"/>
                </a:schemeClr>
              </a:solidFill>
            </a:ln>
          </c:spPr>
          <c:marker>
            <c:symbol val="none"/>
          </c:marker>
          <c:cat>
            <c:numRef>
              <c:f>'Top 5 only'!$D$1:$AC$1</c:f>
              <c:numCache>
                <c:formatCode>General</c:formatCode>
                <c:ptCount val="26"/>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numCache>
            </c:numRef>
          </c:cat>
          <c:val>
            <c:numRef>
              <c:f>'Top 5 only'!$D$2:$AC$2</c:f>
              <c:numCache>
                <c:formatCode>General</c:formatCode>
                <c:ptCount val="26"/>
                <c:pt idx="0">
                  <c:v>100</c:v>
                </c:pt>
                <c:pt idx="1">
                  <c:v>111</c:v>
                </c:pt>
                <c:pt idx="2">
                  <c:v>89</c:v>
                </c:pt>
                <c:pt idx="3">
                  <c:v>108</c:v>
                </c:pt>
                <c:pt idx="4">
                  <c:v>111</c:v>
                </c:pt>
                <c:pt idx="5">
                  <c:v>106</c:v>
                </c:pt>
                <c:pt idx="6">
                  <c:v>88</c:v>
                </c:pt>
                <c:pt idx="7">
                  <c:v>89</c:v>
                </c:pt>
                <c:pt idx="8">
                  <c:v>98</c:v>
                </c:pt>
                <c:pt idx="9">
                  <c:v>106</c:v>
                </c:pt>
                <c:pt idx="10">
                  <c:v>112</c:v>
                </c:pt>
                <c:pt idx="11">
                  <c:v>115</c:v>
                </c:pt>
                <c:pt idx="12">
                  <c:v>110</c:v>
                </c:pt>
                <c:pt idx="13">
                  <c:v>90</c:v>
                </c:pt>
                <c:pt idx="14">
                  <c:v>93</c:v>
                </c:pt>
                <c:pt idx="15">
                  <c:v>95</c:v>
                </c:pt>
                <c:pt idx="16">
                  <c:v>97</c:v>
                </c:pt>
                <c:pt idx="17">
                  <c:v>85</c:v>
                </c:pt>
                <c:pt idx="18">
                  <c:v>86</c:v>
                </c:pt>
                <c:pt idx="19">
                  <c:v>83</c:v>
                </c:pt>
                <c:pt idx="20">
                  <c:v>75</c:v>
                </c:pt>
                <c:pt idx="21">
                  <c:v>77</c:v>
                </c:pt>
                <c:pt idx="22">
                  <c:v>74</c:v>
                </c:pt>
                <c:pt idx="23">
                  <c:v>63</c:v>
                </c:pt>
                <c:pt idx="24">
                  <c:v>57</c:v>
                </c:pt>
                <c:pt idx="25">
                  <c:v>57</c:v>
                </c:pt>
              </c:numCache>
            </c:numRef>
          </c:val>
          <c:smooth val="0"/>
          <c:extLst>
            <c:ext xmlns:c16="http://schemas.microsoft.com/office/drawing/2014/chart" uri="{C3380CC4-5D6E-409C-BE32-E72D297353CC}">
              <c16:uniqueId val="{00000000-F06B-478C-AA52-BC6EB1C2B821}"/>
            </c:ext>
          </c:extLst>
        </c:ser>
        <c:ser>
          <c:idx val="2"/>
          <c:order val="1"/>
          <c:tx>
            <c:strRef>
              <c:f>'Top 5 only'!$C$3</c:f>
              <c:strCache>
                <c:ptCount val="1"/>
                <c:pt idx="0">
                  <c:v>Hungary</c:v>
                </c:pt>
              </c:strCache>
            </c:strRef>
          </c:tx>
          <c:spPr>
            <a:ln>
              <a:solidFill>
                <a:schemeClr val="bg1">
                  <a:lumMod val="75000"/>
                </a:schemeClr>
              </a:solidFill>
              <a:prstDash val="sysDash"/>
            </a:ln>
          </c:spPr>
          <c:marker>
            <c:symbol val="none"/>
          </c:marker>
          <c:cat>
            <c:numRef>
              <c:f>'Top 5 only'!$D$1:$AC$1</c:f>
              <c:numCache>
                <c:formatCode>General</c:formatCode>
                <c:ptCount val="26"/>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numCache>
            </c:numRef>
          </c:cat>
          <c:val>
            <c:numRef>
              <c:f>'Top 5 only'!$D$3:$AC$3</c:f>
              <c:numCache>
                <c:formatCode>General</c:formatCode>
                <c:ptCount val="26"/>
                <c:pt idx="10">
                  <c:v>100</c:v>
                </c:pt>
                <c:pt idx="11">
                  <c:v>100</c:v>
                </c:pt>
                <c:pt idx="12">
                  <c:v>106</c:v>
                </c:pt>
                <c:pt idx="13">
                  <c:v>106</c:v>
                </c:pt>
                <c:pt idx="14">
                  <c:v>127</c:v>
                </c:pt>
                <c:pt idx="15">
                  <c:v>101</c:v>
                </c:pt>
                <c:pt idx="16">
                  <c:v>113</c:v>
                </c:pt>
                <c:pt idx="17">
                  <c:v>91</c:v>
                </c:pt>
                <c:pt idx="18">
                  <c:v>101</c:v>
                </c:pt>
                <c:pt idx="19">
                  <c:v>106</c:v>
                </c:pt>
                <c:pt idx="20">
                  <c:v>120</c:v>
                </c:pt>
                <c:pt idx="21">
                  <c:v>97</c:v>
                </c:pt>
                <c:pt idx="22">
                  <c:v>91</c:v>
                </c:pt>
                <c:pt idx="23">
                  <c:v>106</c:v>
                </c:pt>
                <c:pt idx="24">
                  <c:v>106</c:v>
                </c:pt>
                <c:pt idx="25">
                  <c:v>100</c:v>
                </c:pt>
              </c:numCache>
            </c:numRef>
          </c:val>
          <c:smooth val="0"/>
          <c:extLst>
            <c:ext xmlns:c16="http://schemas.microsoft.com/office/drawing/2014/chart" uri="{C3380CC4-5D6E-409C-BE32-E72D297353CC}">
              <c16:uniqueId val="{00000001-F06B-478C-AA52-BC6EB1C2B821}"/>
            </c:ext>
          </c:extLst>
        </c:ser>
        <c:ser>
          <c:idx val="3"/>
          <c:order val="2"/>
          <c:tx>
            <c:strRef>
              <c:f>'Top 5 only'!$C$4</c:f>
              <c:strCache>
                <c:ptCount val="1"/>
                <c:pt idx="0">
                  <c:v>Italy</c:v>
                </c:pt>
              </c:strCache>
            </c:strRef>
          </c:tx>
          <c:spPr>
            <a:ln>
              <a:solidFill>
                <a:schemeClr val="tx1"/>
              </a:solidFill>
            </a:ln>
          </c:spPr>
          <c:marker>
            <c:symbol val="none"/>
          </c:marker>
          <c:cat>
            <c:numRef>
              <c:f>'Top 5 only'!$D$1:$AC$1</c:f>
              <c:numCache>
                <c:formatCode>General</c:formatCode>
                <c:ptCount val="26"/>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numCache>
            </c:numRef>
          </c:cat>
          <c:val>
            <c:numRef>
              <c:f>'Top 5 only'!$D$4:$AC$4</c:f>
              <c:numCache>
                <c:formatCode>General</c:formatCode>
                <c:ptCount val="26"/>
                <c:pt idx="11">
                  <c:v>100</c:v>
                </c:pt>
                <c:pt idx="12">
                  <c:v>105</c:v>
                </c:pt>
                <c:pt idx="13">
                  <c:v>96</c:v>
                </c:pt>
                <c:pt idx="14">
                  <c:v>107</c:v>
                </c:pt>
                <c:pt idx="15">
                  <c:v>117</c:v>
                </c:pt>
                <c:pt idx="16">
                  <c:v>110</c:v>
                </c:pt>
                <c:pt idx="17">
                  <c:v>103</c:v>
                </c:pt>
                <c:pt idx="18">
                  <c:v>104</c:v>
                </c:pt>
                <c:pt idx="19">
                  <c:v>108</c:v>
                </c:pt>
                <c:pt idx="20">
                  <c:v>115</c:v>
                </c:pt>
                <c:pt idx="21">
                  <c:v>113</c:v>
                </c:pt>
                <c:pt idx="22">
                  <c:v>110</c:v>
                </c:pt>
                <c:pt idx="23">
                  <c:v>111</c:v>
                </c:pt>
                <c:pt idx="24">
                  <c:v>109</c:v>
                </c:pt>
                <c:pt idx="25">
                  <c:v>95</c:v>
                </c:pt>
              </c:numCache>
            </c:numRef>
          </c:val>
          <c:smooth val="0"/>
          <c:extLst>
            <c:ext xmlns:c16="http://schemas.microsoft.com/office/drawing/2014/chart" uri="{C3380CC4-5D6E-409C-BE32-E72D297353CC}">
              <c16:uniqueId val="{00000002-F06B-478C-AA52-BC6EB1C2B821}"/>
            </c:ext>
          </c:extLst>
        </c:ser>
        <c:ser>
          <c:idx val="4"/>
          <c:order val="3"/>
          <c:tx>
            <c:strRef>
              <c:f>'Top 5 only'!$C$5</c:f>
              <c:strCache>
                <c:ptCount val="1"/>
                <c:pt idx="0">
                  <c:v>Romania</c:v>
                </c:pt>
              </c:strCache>
            </c:strRef>
          </c:tx>
          <c:spPr>
            <a:ln>
              <a:solidFill>
                <a:schemeClr val="tx1"/>
              </a:solidFill>
              <a:prstDash val="sysDot"/>
            </a:ln>
          </c:spPr>
          <c:marker>
            <c:symbol val="none"/>
          </c:marker>
          <c:cat>
            <c:numRef>
              <c:f>'Top 5 only'!$D$1:$AC$1</c:f>
              <c:numCache>
                <c:formatCode>General</c:formatCode>
                <c:ptCount val="26"/>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numCache>
            </c:numRef>
          </c:cat>
          <c:val>
            <c:numRef>
              <c:f>'Top 5 only'!$D$5:$AC$5</c:f>
              <c:numCache>
                <c:formatCode>General</c:formatCode>
                <c:ptCount val="26"/>
                <c:pt idx="18">
                  <c:v>100</c:v>
                </c:pt>
                <c:pt idx="19">
                  <c:v>78</c:v>
                </c:pt>
                <c:pt idx="20">
                  <c:v>72</c:v>
                </c:pt>
                <c:pt idx="21">
                  <c:v>72</c:v>
                </c:pt>
                <c:pt idx="22">
                  <c:v>124</c:v>
                </c:pt>
                <c:pt idx="23">
                  <c:v>112</c:v>
                </c:pt>
                <c:pt idx="24">
                  <c:v>88</c:v>
                </c:pt>
                <c:pt idx="25">
                  <c:v>94</c:v>
                </c:pt>
              </c:numCache>
            </c:numRef>
          </c:val>
          <c:smooth val="0"/>
          <c:extLst>
            <c:ext xmlns:c16="http://schemas.microsoft.com/office/drawing/2014/chart" uri="{C3380CC4-5D6E-409C-BE32-E72D297353CC}">
              <c16:uniqueId val="{00000003-F06B-478C-AA52-BC6EB1C2B821}"/>
            </c:ext>
          </c:extLst>
        </c:ser>
        <c:ser>
          <c:idx val="5"/>
          <c:order val="4"/>
          <c:tx>
            <c:strRef>
              <c:f>'Top 5 only'!$C$6</c:f>
              <c:strCache>
                <c:ptCount val="1"/>
                <c:pt idx="0">
                  <c:v>Spain</c:v>
                </c:pt>
              </c:strCache>
            </c:strRef>
          </c:tx>
          <c:spPr>
            <a:ln>
              <a:solidFill>
                <a:schemeClr val="tx1"/>
              </a:solidFill>
              <a:prstDash val="sysDash"/>
            </a:ln>
          </c:spPr>
          <c:marker>
            <c:symbol val="none"/>
          </c:marker>
          <c:cat>
            <c:numRef>
              <c:f>'Top 5 only'!$D$1:$AC$1</c:f>
              <c:numCache>
                <c:formatCode>General</c:formatCode>
                <c:ptCount val="26"/>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numCache>
            </c:numRef>
          </c:cat>
          <c:val>
            <c:numRef>
              <c:f>'Top 5 only'!$D$6:$AC$6</c:f>
              <c:numCache>
                <c:formatCode>General</c:formatCode>
                <c:ptCount val="26"/>
                <c:pt idx="9">
                  <c:v>100</c:v>
                </c:pt>
                <c:pt idx="10">
                  <c:v>92</c:v>
                </c:pt>
                <c:pt idx="11">
                  <c:v>91</c:v>
                </c:pt>
                <c:pt idx="12">
                  <c:v>96</c:v>
                </c:pt>
                <c:pt idx="13">
                  <c:v>94</c:v>
                </c:pt>
                <c:pt idx="14">
                  <c:v>90</c:v>
                </c:pt>
                <c:pt idx="15">
                  <c:v>104</c:v>
                </c:pt>
                <c:pt idx="16">
                  <c:v>100</c:v>
                </c:pt>
                <c:pt idx="17">
                  <c:v>98</c:v>
                </c:pt>
                <c:pt idx="18">
                  <c:v>107</c:v>
                </c:pt>
                <c:pt idx="19">
                  <c:v>89</c:v>
                </c:pt>
                <c:pt idx="20">
                  <c:v>90</c:v>
                </c:pt>
                <c:pt idx="21">
                  <c:v>76</c:v>
                </c:pt>
                <c:pt idx="22">
                  <c:v>80</c:v>
                </c:pt>
                <c:pt idx="23">
                  <c:v>72</c:v>
                </c:pt>
                <c:pt idx="24">
                  <c:v>70</c:v>
                </c:pt>
                <c:pt idx="25">
                  <c:v>75</c:v>
                </c:pt>
              </c:numCache>
            </c:numRef>
          </c:val>
          <c:smooth val="0"/>
          <c:extLst>
            <c:ext xmlns:c16="http://schemas.microsoft.com/office/drawing/2014/chart" uri="{C3380CC4-5D6E-409C-BE32-E72D297353CC}">
              <c16:uniqueId val="{00000004-F06B-478C-AA52-BC6EB1C2B821}"/>
            </c:ext>
          </c:extLst>
        </c:ser>
        <c:dLbls>
          <c:showLegendKey val="0"/>
          <c:showVal val="0"/>
          <c:showCatName val="0"/>
          <c:showSerName val="0"/>
          <c:showPercent val="0"/>
          <c:showBubbleSize val="0"/>
        </c:dLbls>
        <c:smooth val="0"/>
        <c:axId val="78250752"/>
        <c:axId val="78252672"/>
      </c:lineChart>
      <c:catAx>
        <c:axId val="78250752"/>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78252672"/>
        <c:crosses val="autoZero"/>
        <c:auto val="1"/>
        <c:lblAlgn val="ctr"/>
        <c:lblOffset val="100"/>
        <c:noMultiLvlLbl val="0"/>
      </c:catAx>
      <c:valAx>
        <c:axId val="78252672"/>
        <c:scaling>
          <c:orientation val="minMax"/>
        </c:scaling>
        <c:delete val="0"/>
        <c:axPos val="l"/>
        <c:title>
          <c:tx>
            <c:rich>
              <a:bodyPr rot="-5400000" vert="horz"/>
              <a:lstStyle/>
              <a:p>
                <a:pPr>
                  <a:defRPr/>
                </a:pPr>
                <a:r>
                  <a:rPr lang="en-US"/>
                  <a:t>Population index</a:t>
                </a:r>
              </a:p>
            </c:rich>
          </c:tx>
          <c:overlay val="0"/>
        </c:title>
        <c:numFmt formatCode="General" sourceLinked="1"/>
        <c:majorTickMark val="out"/>
        <c:minorTickMark val="none"/>
        <c:tickLblPos val="nextTo"/>
        <c:crossAx val="78250752"/>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1"/>
          <c:order val="0"/>
          <c:tx>
            <c:strRef>
              <c:f>Sheet5!$C$2</c:f>
              <c:strCache>
                <c:ptCount val="1"/>
                <c:pt idx="0">
                  <c:v>Belgium-Wallonia</c:v>
                </c:pt>
              </c:strCache>
            </c:strRef>
          </c:tx>
          <c:spPr>
            <a:ln>
              <a:solidFill>
                <a:schemeClr val="bg1">
                  <a:lumMod val="75000"/>
                </a:schemeClr>
              </a:solidFill>
              <a:prstDash val="sysDash"/>
            </a:ln>
          </c:spPr>
          <c:marker>
            <c:symbol val="none"/>
          </c:marker>
          <c:cat>
            <c:numRef>
              <c:f>Sheet5!$D$1:$AZ$1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Sheet5!$D$2:$AZ$2</c:f>
              <c:numCache>
                <c:formatCode>General</c:formatCode>
                <c:ptCount val="49"/>
                <c:pt idx="24">
                  <c:v>100</c:v>
                </c:pt>
                <c:pt idx="25">
                  <c:v>72</c:v>
                </c:pt>
                <c:pt idx="26">
                  <c:v>65</c:v>
                </c:pt>
                <c:pt idx="27">
                  <c:v>64</c:v>
                </c:pt>
                <c:pt idx="28">
                  <c:v>52</c:v>
                </c:pt>
                <c:pt idx="29">
                  <c:v>54</c:v>
                </c:pt>
                <c:pt idx="30">
                  <c:v>45</c:v>
                </c:pt>
                <c:pt idx="31">
                  <c:v>36</c:v>
                </c:pt>
                <c:pt idx="32">
                  <c:v>45</c:v>
                </c:pt>
                <c:pt idx="33">
                  <c:v>41</c:v>
                </c:pt>
                <c:pt idx="34">
                  <c:v>31</c:v>
                </c:pt>
                <c:pt idx="35">
                  <c:v>35</c:v>
                </c:pt>
                <c:pt idx="36">
                  <c:v>29</c:v>
                </c:pt>
                <c:pt idx="37">
                  <c:v>18</c:v>
                </c:pt>
                <c:pt idx="38">
                  <c:v>37</c:v>
                </c:pt>
                <c:pt idx="39">
                  <c:v>21</c:v>
                </c:pt>
                <c:pt idx="40">
                  <c:v>21</c:v>
                </c:pt>
                <c:pt idx="41">
                  <c:v>30</c:v>
                </c:pt>
                <c:pt idx="42">
                  <c:v>17</c:v>
                </c:pt>
                <c:pt idx="43">
                  <c:v>13</c:v>
                </c:pt>
                <c:pt idx="44">
                  <c:v>10</c:v>
                </c:pt>
                <c:pt idx="45">
                  <c:v>9</c:v>
                </c:pt>
                <c:pt idx="46">
                  <c:v>5</c:v>
                </c:pt>
                <c:pt idx="47">
                  <c:v>10</c:v>
                </c:pt>
                <c:pt idx="48">
                  <c:v>12</c:v>
                </c:pt>
              </c:numCache>
            </c:numRef>
          </c:val>
          <c:smooth val="0"/>
          <c:extLst>
            <c:ext xmlns:c16="http://schemas.microsoft.com/office/drawing/2014/chart" uri="{C3380CC4-5D6E-409C-BE32-E72D297353CC}">
              <c16:uniqueId val="{00000000-E135-4159-9593-FC5B91106ED6}"/>
            </c:ext>
          </c:extLst>
        </c:ser>
        <c:ser>
          <c:idx val="2"/>
          <c:order val="1"/>
          <c:tx>
            <c:strRef>
              <c:f>Sheet5!$C$3</c:f>
              <c:strCache>
                <c:ptCount val="1"/>
                <c:pt idx="0">
                  <c:v>Netherlands</c:v>
                </c:pt>
              </c:strCache>
            </c:strRef>
          </c:tx>
          <c:spPr>
            <a:ln>
              <a:solidFill>
                <a:schemeClr val="tx1"/>
              </a:solidFill>
              <a:prstDash val="sysDot"/>
            </a:ln>
          </c:spPr>
          <c:marker>
            <c:symbol val="none"/>
          </c:marker>
          <c:cat>
            <c:numRef>
              <c:f>Sheet5!$D$1:$AZ$1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Sheet5!$D$3:$AZ$3</c:f>
              <c:numCache>
                <c:formatCode>General</c:formatCode>
                <c:ptCount val="49"/>
                <c:pt idx="18">
                  <c:v>150</c:v>
                </c:pt>
                <c:pt idx="19">
                  <c:v>141</c:v>
                </c:pt>
                <c:pt idx="20">
                  <c:v>128</c:v>
                </c:pt>
                <c:pt idx="21">
                  <c:v>119</c:v>
                </c:pt>
                <c:pt idx="22">
                  <c:v>101</c:v>
                </c:pt>
                <c:pt idx="23">
                  <c:v>97</c:v>
                </c:pt>
                <c:pt idx="24">
                  <c:v>100</c:v>
                </c:pt>
                <c:pt idx="25">
                  <c:v>78</c:v>
                </c:pt>
                <c:pt idx="26">
                  <c:v>76</c:v>
                </c:pt>
                <c:pt idx="27">
                  <c:v>77</c:v>
                </c:pt>
                <c:pt idx="28">
                  <c:v>63</c:v>
                </c:pt>
                <c:pt idx="29">
                  <c:v>74</c:v>
                </c:pt>
                <c:pt idx="30">
                  <c:v>72</c:v>
                </c:pt>
                <c:pt idx="31">
                  <c:v>65</c:v>
                </c:pt>
                <c:pt idx="32">
                  <c:v>55</c:v>
                </c:pt>
                <c:pt idx="33">
                  <c:v>44</c:v>
                </c:pt>
                <c:pt idx="34">
                  <c:v>42</c:v>
                </c:pt>
                <c:pt idx="35">
                  <c:v>36</c:v>
                </c:pt>
                <c:pt idx="36">
                  <c:v>33</c:v>
                </c:pt>
                <c:pt idx="37">
                  <c:v>32</c:v>
                </c:pt>
                <c:pt idx="38">
                  <c:v>32</c:v>
                </c:pt>
                <c:pt idx="39">
                  <c:v>33</c:v>
                </c:pt>
                <c:pt idx="40">
                  <c:v>34</c:v>
                </c:pt>
                <c:pt idx="41">
                  <c:v>36</c:v>
                </c:pt>
                <c:pt idx="42">
                  <c:v>27</c:v>
                </c:pt>
                <c:pt idx="43">
                  <c:v>22</c:v>
                </c:pt>
                <c:pt idx="44">
                  <c:v>21</c:v>
                </c:pt>
                <c:pt idx="45">
                  <c:v>20</c:v>
                </c:pt>
                <c:pt idx="46">
                  <c:v>18</c:v>
                </c:pt>
                <c:pt idx="47">
                  <c:v>13</c:v>
                </c:pt>
                <c:pt idx="48">
                  <c:v>13</c:v>
                </c:pt>
              </c:numCache>
            </c:numRef>
          </c:val>
          <c:smooth val="0"/>
          <c:extLst>
            <c:ext xmlns:c16="http://schemas.microsoft.com/office/drawing/2014/chart" uri="{C3380CC4-5D6E-409C-BE32-E72D297353CC}">
              <c16:uniqueId val="{00000001-E135-4159-9593-FC5B91106ED6}"/>
            </c:ext>
          </c:extLst>
        </c:ser>
        <c:ser>
          <c:idx val="3"/>
          <c:order val="2"/>
          <c:tx>
            <c:strRef>
              <c:f>Sheet5!$C$4</c:f>
              <c:strCache>
                <c:ptCount val="1"/>
                <c:pt idx="0">
                  <c:v>Portugal</c:v>
                </c:pt>
              </c:strCache>
            </c:strRef>
          </c:tx>
          <c:spPr>
            <a:ln>
              <a:solidFill>
                <a:schemeClr val="tx1"/>
              </a:solidFill>
              <a:prstDash val="sysDash"/>
            </a:ln>
          </c:spPr>
          <c:marker>
            <c:symbol val="none"/>
          </c:marker>
          <c:cat>
            <c:numRef>
              <c:f>Sheet5!$D$1:$AZ$1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Sheet5!$D$4:$AZ$4</c:f>
              <c:numCache>
                <c:formatCode>General</c:formatCode>
                <c:ptCount val="49"/>
                <c:pt idx="38">
                  <c:v>100</c:v>
                </c:pt>
                <c:pt idx="39">
                  <c:v>91</c:v>
                </c:pt>
                <c:pt idx="40">
                  <c:v>79</c:v>
                </c:pt>
                <c:pt idx="41">
                  <c:v>70</c:v>
                </c:pt>
                <c:pt idx="42">
                  <c:v>56</c:v>
                </c:pt>
                <c:pt idx="43">
                  <c:v>48</c:v>
                </c:pt>
                <c:pt idx="44">
                  <c:v>59</c:v>
                </c:pt>
                <c:pt idx="45">
                  <c:v>48</c:v>
                </c:pt>
                <c:pt idx="46">
                  <c:v>36</c:v>
                </c:pt>
                <c:pt idx="47">
                  <c:v>30</c:v>
                </c:pt>
                <c:pt idx="48">
                  <c:v>46</c:v>
                </c:pt>
              </c:numCache>
            </c:numRef>
          </c:val>
          <c:smooth val="0"/>
          <c:extLst>
            <c:ext xmlns:c16="http://schemas.microsoft.com/office/drawing/2014/chart" uri="{C3380CC4-5D6E-409C-BE32-E72D297353CC}">
              <c16:uniqueId val="{00000002-E135-4159-9593-FC5B91106ED6}"/>
            </c:ext>
          </c:extLst>
        </c:ser>
        <c:ser>
          <c:idx val="4"/>
          <c:order val="3"/>
          <c:tx>
            <c:strRef>
              <c:f>Sheet5!$C$5</c:f>
              <c:strCache>
                <c:ptCount val="1"/>
                <c:pt idx="0">
                  <c:v>Slovenia</c:v>
                </c:pt>
              </c:strCache>
            </c:strRef>
          </c:tx>
          <c:spPr>
            <a:ln>
              <a:solidFill>
                <a:schemeClr val="bg1">
                  <a:lumMod val="75000"/>
                </a:schemeClr>
              </a:solidFill>
            </a:ln>
          </c:spPr>
          <c:marker>
            <c:symbol val="none"/>
          </c:marker>
          <c:cat>
            <c:numRef>
              <c:f>Sheet5!$D$1:$AZ$1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Sheet5!$D$5:$AZ$5</c:f>
              <c:numCache>
                <c:formatCode>General</c:formatCode>
                <c:ptCount val="49"/>
                <c:pt idx="41">
                  <c:v>100</c:v>
                </c:pt>
                <c:pt idx="42">
                  <c:v>161</c:v>
                </c:pt>
                <c:pt idx="43">
                  <c:v>143</c:v>
                </c:pt>
                <c:pt idx="44">
                  <c:v>109</c:v>
                </c:pt>
                <c:pt idx="45">
                  <c:v>59</c:v>
                </c:pt>
                <c:pt idx="46">
                  <c:v>89</c:v>
                </c:pt>
                <c:pt idx="47">
                  <c:v>76</c:v>
                </c:pt>
                <c:pt idx="48">
                  <c:v>73</c:v>
                </c:pt>
              </c:numCache>
            </c:numRef>
          </c:val>
          <c:smooth val="0"/>
          <c:extLst>
            <c:ext xmlns:c16="http://schemas.microsoft.com/office/drawing/2014/chart" uri="{C3380CC4-5D6E-409C-BE32-E72D297353CC}">
              <c16:uniqueId val="{00000003-E135-4159-9593-FC5B91106ED6}"/>
            </c:ext>
          </c:extLst>
        </c:ser>
        <c:ser>
          <c:idx val="5"/>
          <c:order val="4"/>
          <c:tx>
            <c:strRef>
              <c:f>Sheet5!$C$6</c:f>
              <c:strCache>
                <c:ptCount val="1"/>
                <c:pt idx="0">
                  <c:v>United Kingdom</c:v>
                </c:pt>
              </c:strCache>
            </c:strRef>
          </c:tx>
          <c:spPr>
            <a:ln>
              <a:solidFill>
                <a:prstClr val="black"/>
              </a:solidFill>
            </a:ln>
          </c:spPr>
          <c:marker>
            <c:symbol val="none"/>
          </c:marker>
          <c:cat>
            <c:numRef>
              <c:f>Sheet5!$D$1:$AZ$1</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Sheet5!$D$6:$AZ$6</c:f>
              <c:numCache>
                <c:formatCode>General</c:formatCode>
                <c:ptCount val="49"/>
                <c:pt idx="0">
                  <c:v>100</c:v>
                </c:pt>
                <c:pt idx="1">
                  <c:v>96</c:v>
                </c:pt>
                <c:pt idx="2">
                  <c:v>104</c:v>
                </c:pt>
                <c:pt idx="3">
                  <c:v>110</c:v>
                </c:pt>
                <c:pt idx="4">
                  <c:v>114</c:v>
                </c:pt>
                <c:pt idx="5">
                  <c:v>110</c:v>
                </c:pt>
                <c:pt idx="6">
                  <c:v>104</c:v>
                </c:pt>
                <c:pt idx="7">
                  <c:v>106</c:v>
                </c:pt>
                <c:pt idx="8">
                  <c:v>108</c:v>
                </c:pt>
                <c:pt idx="9">
                  <c:v>95</c:v>
                </c:pt>
                <c:pt idx="10">
                  <c:v>119</c:v>
                </c:pt>
                <c:pt idx="11">
                  <c:v>101</c:v>
                </c:pt>
                <c:pt idx="12">
                  <c:v>97</c:v>
                </c:pt>
                <c:pt idx="13">
                  <c:v>103</c:v>
                </c:pt>
                <c:pt idx="14">
                  <c:v>91</c:v>
                </c:pt>
                <c:pt idx="15">
                  <c:v>86</c:v>
                </c:pt>
                <c:pt idx="16">
                  <c:v>78</c:v>
                </c:pt>
                <c:pt idx="17">
                  <c:v>79</c:v>
                </c:pt>
                <c:pt idx="18">
                  <c:v>67</c:v>
                </c:pt>
                <c:pt idx="19">
                  <c:v>60</c:v>
                </c:pt>
                <c:pt idx="20">
                  <c:v>64</c:v>
                </c:pt>
                <c:pt idx="21">
                  <c:v>65</c:v>
                </c:pt>
                <c:pt idx="22">
                  <c:v>50</c:v>
                </c:pt>
                <c:pt idx="23">
                  <c:v>51</c:v>
                </c:pt>
                <c:pt idx="24">
                  <c:v>51</c:v>
                </c:pt>
                <c:pt idx="25">
                  <c:v>42</c:v>
                </c:pt>
                <c:pt idx="26">
                  <c:v>52</c:v>
                </c:pt>
                <c:pt idx="27">
                  <c:v>39</c:v>
                </c:pt>
                <c:pt idx="28">
                  <c:v>36</c:v>
                </c:pt>
                <c:pt idx="29">
                  <c:v>40</c:v>
                </c:pt>
                <c:pt idx="30">
                  <c:v>38</c:v>
                </c:pt>
                <c:pt idx="31">
                  <c:v>33</c:v>
                </c:pt>
                <c:pt idx="32">
                  <c:v>35</c:v>
                </c:pt>
                <c:pt idx="33">
                  <c:v>30</c:v>
                </c:pt>
                <c:pt idx="34">
                  <c:v>30</c:v>
                </c:pt>
                <c:pt idx="35">
                  <c:v>30</c:v>
                </c:pt>
                <c:pt idx="36">
                  <c:v>25</c:v>
                </c:pt>
                <c:pt idx="37">
                  <c:v>23</c:v>
                </c:pt>
                <c:pt idx="38">
                  <c:v>21</c:v>
                </c:pt>
                <c:pt idx="39">
                  <c:v>21</c:v>
                </c:pt>
                <c:pt idx="40">
                  <c:v>15</c:v>
                </c:pt>
                <c:pt idx="41">
                  <c:v>13</c:v>
                </c:pt>
                <c:pt idx="42">
                  <c:v>10</c:v>
                </c:pt>
                <c:pt idx="43">
                  <c:v>10</c:v>
                </c:pt>
                <c:pt idx="44">
                  <c:v>8</c:v>
                </c:pt>
                <c:pt idx="45">
                  <c:v>6</c:v>
                </c:pt>
                <c:pt idx="46">
                  <c:v>4</c:v>
                </c:pt>
                <c:pt idx="47">
                  <c:v>4</c:v>
                </c:pt>
                <c:pt idx="48">
                  <c:v>3</c:v>
                </c:pt>
              </c:numCache>
            </c:numRef>
          </c:val>
          <c:smooth val="0"/>
          <c:extLst>
            <c:ext xmlns:c16="http://schemas.microsoft.com/office/drawing/2014/chart" uri="{C3380CC4-5D6E-409C-BE32-E72D297353CC}">
              <c16:uniqueId val="{00000004-E135-4159-9593-FC5B91106ED6}"/>
            </c:ext>
          </c:extLst>
        </c:ser>
        <c:dLbls>
          <c:showLegendKey val="0"/>
          <c:showVal val="0"/>
          <c:showCatName val="0"/>
          <c:showSerName val="0"/>
          <c:showPercent val="0"/>
          <c:showBubbleSize val="0"/>
        </c:dLbls>
        <c:smooth val="0"/>
        <c:axId val="78311424"/>
        <c:axId val="78313344"/>
      </c:lineChart>
      <c:catAx>
        <c:axId val="7831142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78313344"/>
        <c:crosses val="autoZero"/>
        <c:auto val="1"/>
        <c:lblAlgn val="ctr"/>
        <c:lblOffset val="100"/>
        <c:noMultiLvlLbl val="0"/>
      </c:catAx>
      <c:valAx>
        <c:axId val="78313344"/>
        <c:scaling>
          <c:orientation val="minMax"/>
        </c:scaling>
        <c:delete val="0"/>
        <c:axPos val="l"/>
        <c:title>
          <c:tx>
            <c:rich>
              <a:bodyPr rot="-5400000" vert="horz"/>
              <a:lstStyle/>
              <a:p>
                <a:pPr>
                  <a:defRPr/>
                </a:pPr>
                <a:r>
                  <a:rPr lang="en-US"/>
                  <a:t>Population index</a:t>
                </a:r>
              </a:p>
            </c:rich>
          </c:tx>
          <c:overlay val="0"/>
        </c:title>
        <c:numFmt formatCode="General" sourceLinked="1"/>
        <c:majorTickMark val="out"/>
        <c:minorTickMark val="none"/>
        <c:tickLblPos val="nextTo"/>
        <c:crossAx val="78311424"/>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Sheet6!$D$1</c:f>
              <c:strCache>
                <c:ptCount val="1"/>
                <c:pt idx="0">
                  <c:v>Slope Multiplicative</c:v>
                </c:pt>
              </c:strCache>
            </c:strRef>
          </c:tx>
          <c:spPr>
            <a:solidFill>
              <a:schemeClr val="bg1">
                <a:lumMod val="75000"/>
              </a:schemeClr>
            </a:solidFill>
          </c:spPr>
          <c:invertIfNegative val="0"/>
          <c:errBars>
            <c:errBarType val="both"/>
            <c:errValType val="cust"/>
            <c:noEndCap val="0"/>
            <c:plus>
              <c:numRef>
                <c:f>Sheet6!$E$2:$E$8</c:f>
                <c:numCache>
                  <c:formatCode>General</c:formatCode>
                  <c:ptCount val="7"/>
                  <c:pt idx="0">
                    <c:v>3.5000000000000413E-3</c:v>
                  </c:pt>
                  <c:pt idx="1">
                    <c:v>1.4E-2</c:v>
                  </c:pt>
                  <c:pt idx="2">
                    <c:v>5.7000000000000123E-3</c:v>
                  </c:pt>
                  <c:pt idx="3">
                    <c:v>5.0000000000000114E-3</c:v>
                  </c:pt>
                  <c:pt idx="4">
                    <c:v>8.1000000000000048E-3</c:v>
                  </c:pt>
                  <c:pt idx="5">
                    <c:v>2.8000000000000052E-3</c:v>
                  </c:pt>
                  <c:pt idx="6">
                    <c:v>4.1999999999999997E-3</c:v>
                  </c:pt>
                </c:numCache>
              </c:numRef>
            </c:plus>
            <c:minus>
              <c:numRef>
                <c:f>Sheet6!$E$2:$E$8</c:f>
                <c:numCache>
                  <c:formatCode>General</c:formatCode>
                  <c:ptCount val="7"/>
                  <c:pt idx="0">
                    <c:v>3.5000000000000413E-3</c:v>
                  </c:pt>
                  <c:pt idx="1">
                    <c:v>1.4E-2</c:v>
                  </c:pt>
                  <c:pt idx="2">
                    <c:v>5.7000000000000123E-3</c:v>
                  </c:pt>
                  <c:pt idx="3">
                    <c:v>5.0000000000000114E-3</c:v>
                  </c:pt>
                  <c:pt idx="4">
                    <c:v>8.1000000000000048E-3</c:v>
                  </c:pt>
                  <c:pt idx="5">
                    <c:v>2.8000000000000052E-3</c:v>
                  </c:pt>
                  <c:pt idx="6">
                    <c:v>4.1999999999999997E-3</c:v>
                  </c:pt>
                </c:numCache>
              </c:numRef>
            </c:minus>
          </c:errBars>
          <c:cat>
            <c:strRef>
              <c:f>Sheet6!$C$2:$C$8</c:f>
              <c:strCache>
                <c:ptCount val="7"/>
                <c:pt idx="0">
                  <c:v>Spain</c:v>
                </c:pt>
                <c:pt idx="1">
                  <c:v>Portugal</c:v>
                </c:pt>
                <c:pt idx="2">
                  <c:v>France</c:v>
                </c:pt>
                <c:pt idx="3">
                  <c:v>Germany</c:v>
                </c:pt>
                <c:pt idx="4">
                  <c:v>Belgium-Wallonia</c:v>
                </c:pt>
                <c:pt idx="5">
                  <c:v>United Kingdom</c:v>
                </c:pt>
                <c:pt idx="6">
                  <c:v>Netherlands</c:v>
                </c:pt>
              </c:strCache>
            </c:strRef>
          </c:cat>
          <c:val>
            <c:numRef>
              <c:f>Sheet6!$D$2:$D$8</c:f>
              <c:numCache>
                <c:formatCode>General</c:formatCode>
                <c:ptCount val="7"/>
                <c:pt idx="0">
                  <c:v>0.98139999999999949</c:v>
                </c:pt>
                <c:pt idx="1">
                  <c:v>0.90129999999999999</c:v>
                </c:pt>
                <c:pt idx="2">
                  <c:v>0.97980000000000778</c:v>
                </c:pt>
                <c:pt idx="3">
                  <c:v>0.957600000000008</c:v>
                </c:pt>
                <c:pt idx="4">
                  <c:v>0.90910000000000002</c:v>
                </c:pt>
                <c:pt idx="5">
                  <c:v>0.93730000000000002</c:v>
                </c:pt>
                <c:pt idx="6">
                  <c:v>0.92689999999999995</c:v>
                </c:pt>
              </c:numCache>
            </c:numRef>
          </c:val>
          <c:extLst>
            <c:ext xmlns:c16="http://schemas.microsoft.com/office/drawing/2014/chart" uri="{C3380CC4-5D6E-409C-BE32-E72D297353CC}">
              <c16:uniqueId val="{00000000-88AB-4FA9-8089-A5AF34641D22}"/>
            </c:ext>
          </c:extLst>
        </c:ser>
        <c:dLbls>
          <c:showLegendKey val="0"/>
          <c:showVal val="0"/>
          <c:showCatName val="0"/>
          <c:showSerName val="0"/>
          <c:showPercent val="0"/>
          <c:showBubbleSize val="0"/>
        </c:dLbls>
        <c:gapWidth val="150"/>
        <c:axId val="110135936"/>
        <c:axId val="110162304"/>
      </c:barChart>
      <c:catAx>
        <c:axId val="110135936"/>
        <c:scaling>
          <c:orientation val="minMax"/>
        </c:scaling>
        <c:delete val="0"/>
        <c:axPos val="l"/>
        <c:numFmt formatCode="General" sourceLinked="0"/>
        <c:majorTickMark val="out"/>
        <c:minorTickMark val="none"/>
        <c:tickLblPos val="nextTo"/>
        <c:crossAx val="110162304"/>
        <c:crossesAt val="1"/>
        <c:auto val="1"/>
        <c:lblAlgn val="ctr"/>
        <c:lblOffset val="100"/>
        <c:noMultiLvlLbl val="0"/>
      </c:catAx>
      <c:valAx>
        <c:axId val="110162304"/>
        <c:scaling>
          <c:orientation val="minMax"/>
          <c:max val="1.1500000000000001"/>
          <c:min val="0.85000000000000064"/>
        </c:scaling>
        <c:delete val="0"/>
        <c:axPos val="b"/>
        <c:title>
          <c:tx>
            <c:rich>
              <a:bodyPr/>
              <a:lstStyle/>
              <a:p>
                <a:pPr>
                  <a:defRPr/>
                </a:pPr>
                <a:r>
                  <a:rPr lang="en-US"/>
                  <a:t>Multiplicative trend slope</a:t>
                </a:r>
              </a:p>
            </c:rich>
          </c:tx>
          <c:overlay val="0"/>
        </c:title>
        <c:numFmt formatCode="General" sourceLinked="1"/>
        <c:majorTickMark val="out"/>
        <c:minorTickMark val="none"/>
        <c:tickLblPos val="nextTo"/>
        <c:crossAx val="110135936"/>
        <c:crosses val="autoZero"/>
        <c:crossBetween val="between"/>
      </c:valAx>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B74A2-7F9D-4311-BC4A-9E98EBDD5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COP11_Template_English_new</Template>
  <TotalTime>1</TotalTime>
  <Pages>115</Pages>
  <Words>48326</Words>
  <Characters>283001</Characters>
  <Application>Microsoft Office Word</Application>
  <DocSecurity>0</DocSecurity>
  <Lines>2358</Lines>
  <Paragraphs>661</Paragraphs>
  <ScaleCrop>false</ScaleCrop>
  <HeadingPairs>
    <vt:vector size="2" baseType="variant">
      <vt:variant>
        <vt:lpstr>Title</vt:lpstr>
      </vt:variant>
      <vt:variant>
        <vt:i4>1</vt:i4>
      </vt:variant>
    </vt:vector>
  </HeadingPairs>
  <TitlesOfParts>
    <vt:vector size="1" baseType="lpstr">
      <vt:lpstr>17TH MEETING OF THE</vt:lpstr>
    </vt:vector>
  </TitlesOfParts>
  <Company>United Nations Volunteers (UNV) programme</Company>
  <LinksUpToDate>false</LinksUpToDate>
  <CharactersWithSpaces>330666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CMS Secretariat</cp:lastModifiedBy>
  <cp:revision>3</cp:revision>
  <cp:lastPrinted>2017-05-31T11:29:00Z</cp:lastPrinted>
  <dcterms:created xsi:type="dcterms:W3CDTF">2017-05-31T11:28:00Z</dcterms:created>
  <dcterms:modified xsi:type="dcterms:W3CDTF">2017-05-31T11:30:00Z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