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945CF8"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593325">
              <w:rPr>
                <w:rFonts w:ascii="Arial" w:hAnsi="Arial" w:cs="Arial"/>
                <w:sz w:val="22"/>
                <w:szCs w:val="22"/>
                <w:lang w:val="es-ES"/>
              </w:rPr>
              <w:t>38</w:t>
            </w:r>
          </w:p>
          <w:p w:rsidR="00992727" w:rsidRPr="00BA7075" w:rsidRDefault="00593325"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27</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CE5F90">
      <w:pPr>
        <w:tabs>
          <w:tab w:val="left" w:pos="7020"/>
        </w:tabs>
        <w:rPr>
          <w:rFonts w:ascii="Arial" w:hAnsi="Arial" w:cs="Arial"/>
          <w:sz w:val="22"/>
          <w:szCs w:val="22"/>
          <w:lang w:val="es-ES"/>
        </w:rPr>
      </w:pPr>
    </w:p>
    <w:p w:rsidR="00593325" w:rsidRPr="00593325" w:rsidRDefault="00593325" w:rsidP="00593325">
      <w:pPr>
        <w:widowControl/>
        <w:autoSpaceDE/>
        <w:autoSpaceDN/>
        <w:adjustRightInd/>
        <w:jc w:val="center"/>
        <w:rPr>
          <w:rFonts w:ascii="Arial" w:hAnsi="Arial"/>
          <w:b/>
          <w:i/>
          <w:sz w:val="22"/>
          <w:lang w:val="es-ES" w:eastAsia="es-ES"/>
        </w:rPr>
      </w:pPr>
      <w:r w:rsidRPr="00593325">
        <w:rPr>
          <w:rFonts w:ascii="Arial" w:hAnsi="Arial"/>
          <w:b/>
          <w:sz w:val="22"/>
          <w:lang w:val="es-ES" w:eastAsia="es-ES"/>
        </w:rPr>
        <w:t xml:space="preserve">CONSERVACIÓN Y GESTIÓN DEL LEÓN AFRICANO, </w:t>
      </w:r>
      <w:r w:rsidRPr="00593325">
        <w:rPr>
          <w:rFonts w:ascii="Arial" w:hAnsi="Arial"/>
          <w:b/>
          <w:i/>
          <w:sz w:val="22"/>
          <w:lang w:val="es-ES" w:eastAsia="es-ES"/>
        </w:rPr>
        <w:t>Panthera leo</w:t>
      </w:r>
    </w:p>
    <w:p w:rsidR="00593325" w:rsidRDefault="00593325" w:rsidP="00593325">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r w:rsidRPr="00293257">
        <w:rPr>
          <w:rFonts w:ascii="Arial" w:hAnsi="Arial" w:cs="Arial"/>
          <w:caps/>
          <w:sz w:val="22"/>
          <w:szCs w:val="22"/>
          <w:lang w:val="fr-FR"/>
        </w:rPr>
        <w:t xml:space="preserve"> </w:t>
      </w:r>
    </w:p>
    <w:p w:rsidR="006A709B" w:rsidRPr="00293257" w:rsidRDefault="006A709B" w:rsidP="00593325">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w:t>
      </w:r>
      <w:r w:rsidR="00593325">
        <w:rPr>
          <w:rFonts w:ascii="Arial" w:hAnsi="Arial" w:cs="Arial"/>
          <w:caps/>
          <w:sz w:val="22"/>
          <w:szCs w:val="22"/>
          <w:lang w:val="fr-FR"/>
        </w:rPr>
        <w:t>24.3.1.3</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593325" w:rsidRPr="00945CF8" w:rsidRDefault="00593325" w:rsidP="00593325">
      <w:pPr>
        <w:jc w:val="center"/>
        <w:rPr>
          <w:rFonts w:ascii="Arial" w:hAnsi="Arial" w:cs="Arial"/>
          <w:bCs/>
          <w:i/>
          <w:iCs/>
          <w:sz w:val="22"/>
          <w:szCs w:val="22"/>
          <w:lang w:val="es-ES"/>
        </w:rPr>
      </w:pPr>
      <w:r w:rsidRPr="00945CF8">
        <w:rPr>
          <w:rFonts w:ascii="Arial" w:hAnsi="Arial" w:cs="Arial"/>
          <w:bCs/>
          <w:i/>
          <w:iCs/>
          <w:sz w:val="22"/>
          <w:szCs w:val="22"/>
          <w:lang w:val="es-ES"/>
        </w:rPr>
        <w:t>(Prepar</w:t>
      </w:r>
      <w:r w:rsidR="00945CF8" w:rsidRPr="00945CF8">
        <w:rPr>
          <w:rFonts w:ascii="Arial" w:hAnsi="Arial" w:cs="Arial"/>
          <w:bCs/>
          <w:i/>
          <w:iCs/>
          <w:sz w:val="22"/>
          <w:szCs w:val="22"/>
          <w:lang w:val="es-ES"/>
        </w:rPr>
        <w:t>ado por el Grupo de Trabajo terrestre</w:t>
      </w:r>
      <w:r w:rsidRPr="00945CF8">
        <w:rPr>
          <w:rFonts w:ascii="Arial" w:hAnsi="Arial" w:cs="Arial"/>
          <w:bCs/>
          <w:i/>
          <w:iCs/>
          <w:sz w:val="22"/>
          <w:szCs w:val="22"/>
          <w:lang w:val="es-ES"/>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593325" w:rsidRPr="00593325" w:rsidRDefault="00593325" w:rsidP="00593325">
      <w:pPr>
        <w:jc w:val="center"/>
        <w:rPr>
          <w:rFonts w:ascii="Arial" w:hAnsi="Arial" w:cs="Arial"/>
          <w:sz w:val="22"/>
          <w:szCs w:val="22"/>
          <w:lang w:val="es-ES" w:eastAsia="es-ES"/>
        </w:rPr>
      </w:pPr>
      <w:r w:rsidRPr="00593325">
        <w:rPr>
          <w:rFonts w:ascii="Arial" w:hAnsi="Arial"/>
          <w:sz w:val="22"/>
          <w:lang w:val="es-ES" w:eastAsia="es-ES"/>
        </w:rPr>
        <w:t>P</w:t>
      </w:r>
      <w:r w:rsidR="00945CF8">
        <w:rPr>
          <w:rFonts w:ascii="Arial" w:hAnsi="Arial"/>
          <w:sz w:val="22"/>
          <w:lang w:val="es-ES" w:eastAsia="es-ES"/>
        </w:rPr>
        <w:t>ROPUESTAS</w:t>
      </w:r>
      <w:r w:rsidRPr="00593325">
        <w:rPr>
          <w:rFonts w:ascii="Arial" w:hAnsi="Arial"/>
          <w:sz w:val="22"/>
          <w:lang w:val="es-ES" w:eastAsia="es-ES"/>
        </w:rPr>
        <w:t xml:space="preserve"> DE DECISIONES</w:t>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jc w:val="both"/>
        <w:rPr>
          <w:rFonts w:ascii="Arial" w:hAnsi="Arial" w:cs="Arial"/>
          <w:b/>
          <w:i/>
          <w:sz w:val="22"/>
          <w:szCs w:val="22"/>
          <w:lang w:val="es-ES" w:eastAsia="es-ES"/>
        </w:rPr>
      </w:pPr>
      <w:r w:rsidRPr="00593325">
        <w:rPr>
          <w:rFonts w:ascii="Arial" w:hAnsi="Arial"/>
          <w:b/>
          <w:i/>
          <w:sz w:val="22"/>
          <w:lang w:val="es-ES" w:eastAsia="es-ES"/>
        </w:rPr>
        <w:t>Dirigida a la Secretaría</w:t>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ind w:left="720" w:hanging="720"/>
        <w:jc w:val="both"/>
        <w:rPr>
          <w:rFonts w:ascii="Arial" w:hAnsi="Arial"/>
          <w:sz w:val="22"/>
          <w:lang w:val="es-ES" w:eastAsia="es-ES"/>
        </w:rPr>
      </w:pPr>
      <w:r w:rsidRPr="00593325">
        <w:rPr>
          <w:rFonts w:ascii="Arial" w:hAnsi="Arial"/>
          <w:sz w:val="22"/>
          <w:lang w:val="es-ES" w:eastAsia="es-ES"/>
        </w:rPr>
        <w:t>12.AA</w:t>
      </w:r>
      <w:r w:rsidRPr="00593325">
        <w:rPr>
          <w:rFonts w:ascii="Arial" w:hAnsi="Arial"/>
          <w:sz w:val="18"/>
          <w:lang w:val="es-ES" w:eastAsia="es-ES"/>
        </w:rPr>
        <w:tab/>
      </w:r>
      <w:r w:rsidRPr="00593325">
        <w:rPr>
          <w:rFonts w:ascii="Arial" w:hAnsi="Arial"/>
          <w:sz w:val="22"/>
          <w:lang w:val="es-ES" w:eastAsia="es-ES"/>
        </w:rPr>
        <w:t xml:space="preserve">La Secretaría deberá: </w:t>
      </w:r>
    </w:p>
    <w:p w:rsidR="00593325" w:rsidRPr="00593325" w:rsidRDefault="00593325" w:rsidP="00593325">
      <w:pPr>
        <w:ind w:left="720" w:hanging="720"/>
        <w:jc w:val="both"/>
        <w:rPr>
          <w:rFonts w:ascii="Arial" w:hAnsi="Arial"/>
          <w:sz w:val="22"/>
          <w:lang w:val="es-ES" w:eastAsia="es-ES"/>
        </w:rPr>
      </w:pPr>
    </w:p>
    <w:p w:rsidR="00593325" w:rsidRPr="00593325" w:rsidRDefault="00593325" w:rsidP="00593325">
      <w:pPr>
        <w:numPr>
          <w:ilvl w:val="0"/>
          <w:numId w:val="49"/>
        </w:numPr>
        <w:contextualSpacing/>
        <w:jc w:val="both"/>
        <w:rPr>
          <w:rFonts w:ascii="Arial" w:hAnsi="Arial" w:cs="Arial"/>
          <w:sz w:val="22"/>
          <w:szCs w:val="22"/>
          <w:lang w:val="es-ES" w:eastAsia="es-ES"/>
        </w:rPr>
      </w:pPr>
      <w:r w:rsidRPr="00593325">
        <w:rPr>
          <w:rFonts w:ascii="Arial" w:hAnsi="Arial"/>
          <w:sz w:val="22"/>
          <w:lang w:val="es-ES" w:eastAsia="es-ES"/>
        </w:rPr>
        <w:t xml:space="preserve">A reserva de la disponibilidad de financiación externa y en colaboración con los Estados del área de distribución del león africano, </w:t>
      </w:r>
      <w:r w:rsidR="00945CF8">
        <w:rPr>
          <w:rFonts w:ascii="Arial" w:hAnsi="Arial"/>
          <w:sz w:val="22"/>
          <w:lang w:val="es-ES" w:eastAsia="es-ES"/>
        </w:rPr>
        <w:t xml:space="preserve">y CON la Unión Internacional para la Conservación de la Naturaleza (UICN) y en los ámbitos que sean competencia de la </w:t>
      </w:r>
      <w:proofErr w:type="gramStart"/>
      <w:r w:rsidR="00945CF8">
        <w:rPr>
          <w:rFonts w:ascii="Arial" w:hAnsi="Arial"/>
          <w:sz w:val="22"/>
          <w:lang w:val="es-ES" w:eastAsia="es-ES"/>
        </w:rPr>
        <w:t>CMS,  colaborar</w:t>
      </w:r>
      <w:proofErr w:type="gramEnd"/>
      <w:r w:rsidR="00945CF8">
        <w:rPr>
          <w:rFonts w:ascii="Arial" w:hAnsi="Arial"/>
          <w:sz w:val="22"/>
          <w:lang w:val="es-ES" w:eastAsia="es-ES"/>
        </w:rPr>
        <w:t xml:space="preserve"> con la Secretaría de </w:t>
      </w:r>
      <w:r w:rsidRPr="00593325">
        <w:rPr>
          <w:rFonts w:ascii="Arial" w:hAnsi="Arial"/>
          <w:sz w:val="22"/>
          <w:lang w:val="es-ES" w:eastAsia="es-ES"/>
        </w:rPr>
        <w:t xml:space="preserve">la Convención sobre el comercio internacional de especies amenazadas de fauna y flora silvestres (CITES) </w:t>
      </w:r>
      <w:r w:rsidR="00945CF8">
        <w:rPr>
          <w:rFonts w:ascii="Arial" w:hAnsi="Arial"/>
          <w:sz w:val="22"/>
          <w:lang w:val="es-ES" w:eastAsia="es-ES"/>
        </w:rPr>
        <w:t>para</w:t>
      </w:r>
      <w:r w:rsidRPr="00593325">
        <w:rPr>
          <w:rFonts w:ascii="Arial" w:hAnsi="Arial"/>
          <w:sz w:val="22"/>
          <w:lang w:val="es-ES" w:eastAsia="es-ES"/>
        </w:rPr>
        <w:t>:</w:t>
      </w:r>
    </w:p>
    <w:p w:rsidR="00593325" w:rsidRPr="00593325" w:rsidRDefault="00593325" w:rsidP="00593325">
      <w:pPr>
        <w:ind w:left="720" w:hanging="720"/>
        <w:jc w:val="both"/>
        <w:rPr>
          <w:rFonts w:ascii="Arial" w:hAnsi="Arial" w:cs="Arial"/>
          <w:iCs/>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Investigar posibles mecanismos para elaborar y apoyar la aplicación conjunta de planes y estrategias de conservación del león, teniendo en cuenta los actuales planes y estrategias de conservación del león;</w:t>
      </w:r>
    </w:p>
    <w:p w:rsidR="00593325" w:rsidRPr="00593325" w:rsidRDefault="00593325" w:rsidP="00593325">
      <w:pPr>
        <w:ind w:left="1080"/>
        <w:jc w:val="both"/>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Prepara un inventario de las poblaciones del león africano en toda su área de distribución, teniendo debidamente en cuenta los inventarios existentes elaborados por los Estados del área de distribución del león africano;</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Apoyar la creación de bases de datos pertinentes por los Estados del área de distribución del león africano;</w:t>
      </w:r>
    </w:p>
    <w:p w:rsidR="00593325" w:rsidRPr="00593325" w:rsidRDefault="00593325" w:rsidP="00593325">
      <w:pPr>
        <w:ind w:left="1080"/>
        <w:jc w:val="both"/>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 xml:space="preserve">Elaborar estrategias para fortalecer la cooperación internacional en la gestión de los leones; </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Realizar un estudio comparativo de las tendencias de las poblaciones de leones y de las prácticas de conservación y gestión, tales como la caza del león, dentro de los países y entre ellos, incluida la función que desempeña, en su caso, el comercio internacional.</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Apoyar la creación de capacidad en la conservación y gestión del león, en particular, cuando proceda, la elaboración de dictámenes de extracción no perjudicial cuando un Estado del área de distribución lo solicite;</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Fomentar la sensibilización de la opinión pública, y elaborar programas educativos sobre el león en los Estados del área de distribución del león africano, a fin de favorecer la coexistencia entre seres humanos y leones y promover medidas para la conservación y recuperación de las poblaciones de leones africanos.</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 xml:space="preserve">Promover la recaudación de fondos, como parte de sus iniciativas generales de </w:t>
      </w:r>
      <w:r w:rsidRPr="00593325">
        <w:rPr>
          <w:rFonts w:ascii="Arial" w:hAnsi="Arial"/>
          <w:sz w:val="22"/>
          <w:lang w:val="es-ES" w:eastAsia="es-ES"/>
        </w:rPr>
        <w:lastRenderedPageBreak/>
        <w:t>recaudación de fondos, para apoyar la aplicación efectiva de planes y estrategias de conservación y gestión del león africano;</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8"/>
        </w:numPr>
        <w:jc w:val="both"/>
        <w:rPr>
          <w:rFonts w:ascii="Arial" w:hAnsi="Arial" w:cs="Arial"/>
          <w:sz w:val="22"/>
          <w:szCs w:val="22"/>
          <w:lang w:val="es-ES" w:eastAsia="es-ES"/>
        </w:rPr>
      </w:pPr>
      <w:r w:rsidRPr="00593325">
        <w:rPr>
          <w:rFonts w:ascii="Arial" w:hAnsi="Arial"/>
          <w:sz w:val="22"/>
          <w:lang w:val="es-ES" w:eastAsia="es-ES"/>
        </w:rPr>
        <w:t>C</w:t>
      </w:r>
      <w:r w:rsidR="00945CF8">
        <w:rPr>
          <w:rFonts w:ascii="Arial" w:hAnsi="Arial"/>
          <w:sz w:val="22"/>
          <w:lang w:val="es-ES" w:eastAsia="es-ES"/>
        </w:rPr>
        <w:t>onsultar con la Secretaría del CITES sobre el desarrollo de</w:t>
      </w:r>
      <w:r w:rsidRPr="00593325">
        <w:rPr>
          <w:rFonts w:ascii="Arial" w:hAnsi="Arial"/>
          <w:sz w:val="22"/>
          <w:lang w:val="es-ES" w:eastAsia="es-ES"/>
        </w:rPr>
        <w:t xml:space="preserve"> un portal conjunto de Internet para permitir, entre otras cosas, la publicación y el intercambio de información</w:t>
      </w:r>
      <w:r w:rsidR="00945CF8">
        <w:rPr>
          <w:rFonts w:ascii="Arial" w:hAnsi="Arial"/>
          <w:sz w:val="22"/>
          <w:lang w:val="es-ES" w:eastAsia="es-ES"/>
        </w:rPr>
        <w:t xml:space="preserve"> sobre la conservación y la</w:t>
      </w:r>
      <w:bookmarkStart w:id="0" w:name="_GoBack"/>
      <w:bookmarkEnd w:id="0"/>
      <w:r w:rsidR="00945CF8">
        <w:rPr>
          <w:rFonts w:ascii="Arial" w:hAnsi="Arial"/>
          <w:sz w:val="22"/>
          <w:lang w:val="es-ES" w:eastAsia="es-ES"/>
        </w:rPr>
        <w:t xml:space="preserve"> gestión del león africano</w:t>
      </w:r>
      <w:r w:rsidRPr="00593325">
        <w:rPr>
          <w:rFonts w:ascii="Arial" w:hAnsi="Arial"/>
          <w:sz w:val="22"/>
          <w:lang w:val="es-ES" w:eastAsia="es-ES"/>
        </w:rPr>
        <w:t>; y</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9"/>
        </w:numPr>
        <w:contextualSpacing/>
        <w:jc w:val="both"/>
        <w:rPr>
          <w:rFonts w:ascii="Arial" w:hAnsi="Arial" w:cs="Arial"/>
          <w:sz w:val="22"/>
          <w:szCs w:val="22"/>
          <w:lang w:val="es-ES" w:eastAsia="es-ES"/>
        </w:rPr>
      </w:pPr>
      <w:r w:rsidRPr="00593325">
        <w:rPr>
          <w:rFonts w:ascii="Arial" w:hAnsi="Arial"/>
          <w:sz w:val="22"/>
          <w:lang w:val="es-ES" w:eastAsia="es-ES"/>
        </w:rPr>
        <w:t>Presentar informe al Comité Permanente en su 48ª y 49ª reuniones sobre la aplicación de las decisiones anteriores.</w:t>
      </w:r>
      <w:r w:rsidRPr="00593325">
        <w:rPr>
          <w:rFonts w:ascii="Arial" w:hAnsi="Arial"/>
          <w:sz w:val="18"/>
          <w:lang w:val="es-ES" w:eastAsia="es-ES"/>
        </w:rPr>
        <w:tab/>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jc w:val="both"/>
        <w:rPr>
          <w:rFonts w:ascii="Arial" w:hAnsi="Arial" w:cs="Arial"/>
          <w:b/>
          <w:i/>
          <w:sz w:val="22"/>
          <w:szCs w:val="22"/>
          <w:lang w:val="es-ES" w:eastAsia="es-ES"/>
        </w:rPr>
      </w:pPr>
      <w:r w:rsidRPr="00593325">
        <w:rPr>
          <w:rFonts w:ascii="Arial" w:hAnsi="Arial"/>
          <w:b/>
          <w:i/>
          <w:sz w:val="22"/>
          <w:lang w:val="es-ES" w:eastAsia="es-ES"/>
        </w:rPr>
        <w:t xml:space="preserve">Dirigida a las Partes </w:t>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ind w:left="720" w:hanging="720"/>
        <w:jc w:val="both"/>
        <w:rPr>
          <w:rFonts w:ascii="Arial" w:hAnsi="Arial" w:cs="Arial"/>
          <w:iCs/>
          <w:sz w:val="22"/>
          <w:szCs w:val="22"/>
          <w:lang w:val="es-ES" w:eastAsia="es-ES"/>
        </w:rPr>
      </w:pPr>
      <w:r w:rsidRPr="00593325">
        <w:rPr>
          <w:rFonts w:ascii="Arial" w:hAnsi="Arial"/>
          <w:sz w:val="22"/>
          <w:lang w:val="es-ES" w:eastAsia="es-ES"/>
        </w:rPr>
        <w:t>12.BB</w:t>
      </w:r>
      <w:r w:rsidRPr="00593325">
        <w:rPr>
          <w:rFonts w:ascii="Arial" w:hAnsi="Arial"/>
          <w:sz w:val="18"/>
          <w:lang w:val="es-ES" w:eastAsia="es-ES"/>
        </w:rPr>
        <w:tab/>
      </w:r>
      <w:r w:rsidRPr="00593325">
        <w:rPr>
          <w:rFonts w:ascii="Arial" w:hAnsi="Arial"/>
          <w:sz w:val="22"/>
          <w:lang w:val="es-ES" w:eastAsia="es-ES"/>
        </w:rPr>
        <w:t xml:space="preserve"> Se pide a las Partes que:</w:t>
      </w:r>
    </w:p>
    <w:p w:rsidR="00593325" w:rsidRPr="00593325" w:rsidRDefault="00593325" w:rsidP="00593325">
      <w:pPr>
        <w:ind w:left="720" w:hanging="720"/>
        <w:jc w:val="both"/>
        <w:rPr>
          <w:rFonts w:ascii="Arial" w:hAnsi="Arial" w:cs="Arial"/>
          <w:iCs/>
          <w:sz w:val="22"/>
          <w:szCs w:val="22"/>
          <w:lang w:val="es-ES" w:eastAsia="es-ES"/>
        </w:rPr>
      </w:pPr>
    </w:p>
    <w:p w:rsidR="00593325" w:rsidRPr="00593325" w:rsidRDefault="00593325" w:rsidP="00593325">
      <w:pPr>
        <w:numPr>
          <w:ilvl w:val="0"/>
          <w:numId w:val="46"/>
        </w:numPr>
        <w:jc w:val="both"/>
        <w:rPr>
          <w:rFonts w:ascii="Arial" w:hAnsi="Arial" w:cs="Arial"/>
          <w:iCs/>
          <w:sz w:val="22"/>
          <w:szCs w:val="22"/>
          <w:lang w:val="es-ES" w:eastAsia="es-ES"/>
        </w:rPr>
      </w:pPr>
      <w:r w:rsidRPr="00593325">
        <w:rPr>
          <w:rFonts w:ascii="Arial" w:hAnsi="Arial"/>
          <w:sz w:val="22"/>
          <w:lang w:val="es-ES" w:eastAsia="es-ES"/>
        </w:rPr>
        <w:t>Colaboren en la aplicación de las decisiones contenidas en los párrafos i. – ix;</w:t>
      </w:r>
    </w:p>
    <w:p w:rsidR="00593325" w:rsidRPr="00593325" w:rsidRDefault="00593325" w:rsidP="00593325">
      <w:pPr>
        <w:ind w:left="720"/>
        <w:jc w:val="both"/>
        <w:rPr>
          <w:rFonts w:ascii="Arial" w:hAnsi="Arial" w:cs="Arial"/>
          <w:iCs/>
          <w:sz w:val="22"/>
          <w:szCs w:val="22"/>
          <w:lang w:val="es-ES" w:eastAsia="es-ES"/>
        </w:rPr>
      </w:pPr>
    </w:p>
    <w:p w:rsidR="00593325" w:rsidRPr="00593325" w:rsidRDefault="00593325" w:rsidP="00593325">
      <w:pPr>
        <w:numPr>
          <w:ilvl w:val="0"/>
          <w:numId w:val="46"/>
        </w:numPr>
        <w:jc w:val="both"/>
        <w:rPr>
          <w:rFonts w:ascii="Arial" w:hAnsi="Arial" w:cs="Arial"/>
          <w:iCs/>
          <w:sz w:val="22"/>
          <w:szCs w:val="22"/>
          <w:lang w:val="es-ES" w:eastAsia="es-ES"/>
        </w:rPr>
      </w:pPr>
      <w:r w:rsidRPr="00593325">
        <w:rPr>
          <w:rFonts w:ascii="Arial" w:hAnsi="Arial"/>
          <w:sz w:val="22"/>
          <w:lang w:val="es-ES" w:eastAsia="es-ES"/>
        </w:rPr>
        <w:t xml:space="preserve">Presenten informe al Comité Permanente en su 48ª y 49ª reuniones sobre </w:t>
      </w:r>
      <w:r w:rsidR="00945CF8">
        <w:rPr>
          <w:rFonts w:ascii="Arial" w:hAnsi="Arial"/>
          <w:sz w:val="22"/>
          <w:lang w:val="es-ES" w:eastAsia="es-ES"/>
        </w:rPr>
        <w:t>las acciones de colaboración emprendidas para</w:t>
      </w:r>
      <w:r w:rsidRPr="00593325">
        <w:rPr>
          <w:rFonts w:ascii="Arial" w:hAnsi="Arial"/>
          <w:sz w:val="22"/>
          <w:lang w:val="es-ES" w:eastAsia="es-ES"/>
        </w:rPr>
        <w:t xml:space="preserve"> la aplicación de las decisiones. </w:t>
      </w:r>
    </w:p>
    <w:p w:rsidR="00593325" w:rsidRPr="00593325" w:rsidRDefault="00593325" w:rsidP="00593325">
      <w:pPr>
        <w:jc w:val="both"/>
        <w:rPr>
          <w:rFonts w:ascii="Arial" w:hAnsi="Arial" w:cs="Arial"/>
          <w:b/>
          <w:i/>
          <w:sz w:val="22"/>
          <w:szCs w:val="22"/>
          <w:lang w:val="es-ES" w:eastAsia="es-ES"/>
        </w:rPr>
      </w:pPr>
    </w:p>
    <w:p w:rsidR="00593325" w:rsidRPr="00593325" w:rsidRDefault="00593325" w:rsidP="00593325">
      <w:pPr>
        <w:jc w:val="both"/>
        <w:rPr>
          <w:rFonts w:ascii="Arial" w:hAnsi="Arial" w:cs="Arial"/>
          <w:b/>
          <w:i/>
          <w:sz w:val="22"/>
          <w:szCs w:val="22"/>
          <w:lang w:val="es-ES" w:eastAsia="es-ES"/>
        </w:rPr>
      </w:pPr>
    </w:p>
    <w:p w:rsidR="00593325" w:rsidRPr="00593325" w:rsidRDefault="00593325" w:rsidP="00593325">
      <w:pPr>
        <w:jc w:val="both"/>
        <w:rPr>
          <w:rFonts w:ascii="Arial" w:hAnsi="Arial" w:cs="Arial"/>
          <w:b/>
          <w:i/>
          <w:sz w:val="22"/>
          <w:szCs w:val="22"/>
          <w:lang w:val="es-ES" w:eastAsia="es-ES"/>
        </w:rPr>
      </w:pPr>
      <w:r w:rsidRPr="00593325">
        <w:rPr>
          <w:rFonts w:ascii="Arial" w:hAnsi="Arial"/>
          <w:b/>
          <w:i/>
          <w:sz w:val="22"/>
          <w:lang w:val="es-ES" w:eastAsia="es-ES"/>
        </w:rPr>
        <w:t>Dirigida al Comité Permanente</w:t>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jc w:val="both"/>
        <w:rPr>
          <w:rFonts w:ascii="Arial" w:hAnsi="Arial" w:cs="Arial"/>
          <w:sz w:val="22"/>
          <w:szCs w:val="22"/>
          <w:lang w:val="es-ES" w:eastAsia="es-ES"/>
        </w:rPr>
      </w:pPr>
      <w:r w:rsidRPr="00593325">
        <w:rPr>
          <w:rFonts w:ascii="Arial" w:hAnsi="Arial"/>
          <w:sz w:val="22"/>
          <w:lang w:val="es-ES" w:eastAsia="es-ES"/>
        </w:rPr>
        <w:t>12.CC</w:t>
      </w:r>
      <w:r w:rsidRPr="00593325">
        <w:rPr>
          <w:rFonts w:ascii="Arial" w:hAnsi="Arial"/>
          <w:sz w:val="18"/>
          <w:lang w:val="es-ES" w:eastAsia="es-ES"/>
        </w:rPr>
        <w:tab/>
      </w:r>
      <w:r w:rsidRPr="00593325">
        <w:rPr>
          <w:rFonts w:ascii="Arial" w:hAnsi="Arial"/>
          <w:sz w:val="22"/>
          <w:lang w:val="es-ES" w:eastAsia="es-ES"/>
        </w:rPr>
        <w:t xml:space="preserve">El Comité Permanente deberá: </w:t>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numPr>
          <w:ilvl w:val="0"/>
          <w:numId w:val="47"/>
        </w:numPr>
        <w:contextualSpacing/>
        <w:rPr>
          <w:rFonts w:ascii="Arial" w:hAnsi="Arial" w:cs="Arial"/>
          <w:sz w:val="22"/>
          <w:szCs w:val="22"/>
          <w:lang w:val="es-ES" w:eastAsia="es-ES"/>
        </w:rPr>
      </w:pPr>
      <w:r w:rsidRPr="00593325">
        <w:rPr>
          <w:rFonts w:ascii="Arial" w:hAnsi="Arial"/>
          <w:sz w:val="22"/>
          <w:lang w:val="es-ES" w:eastAsia="es-ES"/>
        </w:rPr>
        <w:t>Examinar en su 48ª y 49ª reuniones los informes que presenten la Secretaría y las Partes y, según proceda, recomendar posibles nuevas medidas que han de adoptarse.</w:t>
      </w:r>
    </w:p>
    <w:p w:rsidR="00593325" w:rsidRPr="00593325" w:rsidRDefault="00593325" w:rsidP="00593325">
      <w:pPr>
        <w:ind w:left="720"/>
        <w:contextualSpacing/>
        <w:rPr>
          <w:rFonts w:ascii="Arial" w:hAnsi="Arial" w:cs="Arial"/>
          <w:sz w:val="22"/>
          <w:szCs w:val="22"/>
          <w:lang w:val="es-ES" w:eastAsia="es-ES"/>
        </w:rPr>
      </w:pPr>
    </w:p>
    <w:p w:rsidR="00593325" w:rsidRPr="00593325" w:rsidRDefault="00593325" w:rsidP="00593325">
      <w:pPr>
        <w:numPr>
          <w:ilvl w:val="0"/>
          <w:numId w:val="47"/>
        </w:numPr>
        <w:jc w:val="both"/>
        <w:rPr>
          <w:rFonts w:ascii="Arial" w:hAnsi="Arial" w:cs="Arial"/>
          <w:sz w:val="22"/>
          <w:szCs w:val="22"/>
          <w:lang w:val="es-ES" w:eastAsia="es-ES"/>
        </w:rPr>
      </w:pPr>
      <w:r w:rsidRPr="00593325">
        <w:rPr>
          <w:rFonts w:ascii="Arial" w:hAnsi="Arial"/>
          <w:sz w:val="22"/>
          <w:lang w:val="es-ES" w:eastAsia="es-ES"/>
        </w:rPr>
        <w:t>Presentar informe a la Conferencia de las Partes en su 13ª reunión sobre los progresos realizados en la aplicación de esta decisión.</w:t>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jc w:val="both"/>
        <w:rPr>
          <w:rFonts w:ascii="Arial" w:hAnsi="Arial" w:cs="Arial"/>
          <w:b/>
          <w:i/>
          <w:sz w:val="22"/>
          <w:szCs w:val="22"/>
          <w:lang w:val="es-ES" w:eastAsia="es-ES"/>
        </w:rPr>
      </w:pPr>
      <w:r w:rsidRPr="00593325">
        <w:rPr>
          <w:rFonts w:ascii="Arial" w:hAnsi="Arial"/>
          <w:b/>
          <w:i/>
          <w:sz w:val="22"/>
          <w:lang w:val="es-ES" w:eastAsia="es-ES"/>
        </w:rPr>
        <w:t xml:space="preserve">Dirigida a las Partes, las organizaciones gubernamentales, intergubernamentales y no gubernamentales, los donantes y otras entidades </w:t>
      </w:r>
    </w:p>
    <w:p w:rsidR="00593325" w:rsidRPr="00593325" w:rsidRDefault="00593325" w:rsidP="00593325">
      <w:pPr>
        <w:jc w:val="both"/>
        <w:rPr>
          <w:rFonts w:ascii="Arial" w:hAnsi="Arial" w:cs="Arial"/>
          <w:sz w:val="22"/>
          <w:szCs w:val="22"/>
          <w:lang w:val="es-ES" w:eastAsia="es-ES"/>
        </w:rPr>
      </w:pPr>
    </w:p>
    <w:p w:rsidR="00593325" w:rsidRPr="00593325" w:rsidRDefault="00593325" w:rsidP="00593325">
      <w:pPr>
        <w:numPr>
          <w:ilvl w:val="0"/>
          <w:numId w:val="47"/>
        </w:numPr>
        <w:jc w:val="both"/>
        <w:rPr>
          <w:rFonts w:ascii="Arial" w:hAnsi="Arial"/>
          <w:sz w:val="22"/>
          <w:lang w:val="es-ES" w:eastAsia="es-ES"/>
        </w:rPr>
      </w:pPr>
      <w:r w:rsidRPr="00593325">
        <w:rPr>
          <w:rFonts w:ascii="Arial" w:hAnsi="Arial"/>
          <w:sz w:val="22"/>
          <w:lang w:val="es-ES" w:eastAsia="es-ES"/>
        </w:rPr>
        <w:t>12.DD</w:t>
      </w:r>
      <w:r w:rsidRPr="00593325">
        <w:rPr>
          <w:rFonts w:ascii="Arial" w:hAnsi="Arial"/>
          <w:sz w:val="18"/>
          <w:lang w:val="es-ES" w:eastAsia="es-ES"/>
        </w:rPr>
        <w:tab/>
      </w:r>
      <w:r w:rsidRPr="00593325">
        <w:rPr>
          <w:rFonts w:ascii="Arial" w:hAnsi="Arial"/>
          <w:sz w:val="22"/>
          <w:lang w:val="es-ES" w:eastAsia="es-ES"/>
        </w:rPr>
        <w:t xml:space="preserve">Se alienta a las Partes, las organizaciones intergubernamentales y no gubernamentales a prestar apoyo a los Estados del área de distribución del león africano y a la Secretaría, tanto en sus esfuerzos de conservación y restablecimiento de esta especie en todo el continente, teniendo en cuenta las prácticas vigentes respecto de la utilización de las tierras, como en la aplicación de las decisiones contenidas en la Decisión </w:t>
      </w:r>
      <w:proofErr w:type="gramStart"/>
      <w:r w:rsidRPr="00593325">
        <w:rPr>
          <w:rFonts w:ascii="Arial" w:hAnsi="Arial"/>
          <w:sz w:val="22"/>
          <w:lang w:val="es-ES" w:eastAsia="es-ES"/>
        </w:rPr>
        <w:t>12.AA</w:t>
      </w:r>
      <w:proofErr w:type="gramEnd"/>
      <w:r w:rsidRPr="00593325">
        <w:rPr>
          <w:rFonts w:ascii="Arial" w:hAnsi="Arial"/>
          <w:sz w:val="22"/>
          <w:lang w:val="es-ES" w:eastAsia="es-ES"/>
        </w:rPr>
        <w:t>, párrafo a) i. - ix.</w:t>
      </w:r>
    </w:p>
    <w:p w:rsidR="00593325" w:rsidRPr="00593325" w:rsidRDefault="00593325" w:rsidP="00593325">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eastAsia="es-ES"/>
        </w:rPr>
      </w:pPr>
    </w:p>
    <w:p w:rsidR="00F50CF5" w:rsidRPr="00F50CF5" w:rsidRDefault="00F50CF5" w:rsidP="00593325">
      <w:pPr>
        <w:tabs>
          <w:tab w:val="left" w:pos="7020"/>
        </w:tabs>
        <w:jc w:val="center"/>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w:t>
    </w:r>
    <w:r w:rsidR="00593325">
      <w:rPr>
        <w:rFonts w:ascii="Arial" w:hAnsi="Arial" w:cs="Arial"/>
        <w:noProof/>
        <w:sz w:val="18"/>
        <w:szCs w:val="18"/>
      </w:rPr>
      <w:t>CMS/COP12/CRP38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E97339"/>
    <w:multiLevelType w:val="hybridMultilevel"/>
    <w:tmpl w:val="46848E0A"/>
    <w:lvl w:ilvl="0" w:tplc="1590950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1D7466E"/>
    <w:multiLevelType w:val="hybridMultilevel"/>
    <w:tmpl w:val="CC5EDB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3"/>
  </w:num>
  <w:num w:numId="4">
    <w:abstractNumId w:val="26"/>
  </w:num>
  <w:num w:numId="5">
    <w:abstractNumId w:val="14"/>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9"/>
  </w:num>
  <w:num w:numId="10">
    <w:abstractNumId w:val="25"/>
  </w:num>
  <w:num w:numId="11">
    <w:abstractNumId w:val="42"/>
  </w:num>
  <w:num w:numId="12">
    <w:abstractNumId w:val="4"/>
  </w:num>
  <w:num w:numId="13">
    <w:abstractNumId w:val="22"/>
  </w:num>
  <w:num w:numId="14">
    <w:abstractNumId w:val="39"/>
  </w:num>
  <w:num w:numId="15">
    <w:abstractNumId w:val="2"/>
  </w:num>
  <w:num w:numId="16">
    <w:abstractNumId w:val="12"/>
  </w:num>
  <w:num w:numId="17">
    <w:abstractNumId w:val="43"/>
  </w:num>
  <w:num w:numId="18">
    <w:abstractNumId w:val="24"/>
  </w:num>
  <w:num w:numId="19">
    <w:abstractNumId w:val="40"/>
  </w:num>
  <w:num w:numId="20">
    <w:abstractNumId w:val="47"/>
  </w:num>
  <w:num w:numId="21">
    <w:abstractNumId w:val="5"/>
  </w:num>
  <w:num w:numId="22">
    <w:abstractNumId w:val="20"/>
  </w:num>
  <w:num w:numId="23">
    <w:abstractNumId w:val="29"/>
  </w:num>
  <w:num w:numId="24">
    <w:abstractNumId w:val="18"/>
  </w:num>
  <w:num w:numId="25">
    <w:abstractNumId w:val="33"/>
  </w:num>
  <w:num w:numId="26">
    <w:abstractNumId w:val="0"/>
  </w:num>
  <w:num w:numId="27">
    <w:abstractNumId w:val="44"/>
  </w:num>
  <w:num w:numId="28">
    <w:abstractNumId w:val="8"/>
  </w:num>
  <w:num w:numId="29">
    <w:abstractNumId w:val="23"/>
  </w:num>
  <w:num w:numId="30">
    <w:abstractNumId w:val="16"/>
  </w:num>
  <w:num w:numId="31">
    <w:abstractNumId w:val="31"/>
  </w:num>
  <w:num w:numId="32">
    <w:abstractNumId w:val="30"/>
  </w:num>
  <w:num w:numId="33">
    <w:abstractNumId w:val="7"/>
  </w:num>
  <w:num w:numId="34">
    <w:abstractNumId w:val="21"/>
  </w:num>
  <w:num w:numId="35">
    <w:abstractNumId w:val="17"/>
  </w:num>
  <w:num w:numId="36">
    <w:abstractNumId w:val="34"/>
  </w:num>
  <w:num w:numId="37">
    <w:abstractNumId w:val="38"/>
  </w:num>
  <w:num w:numId="38">
    <w:abstractNumId w:val="11"/>
  </w:num>
  <w:num w:numId="39">
    <w:abstractNumId w:val="32"/>
  </w:num>
  <w:num w:numId="40">
    <w:abstractNumId w:val="45"/>
  </w:num>
  <w:num w:numId="41">
    <w:abstractNumId w:val="28"/>
  </w:num>
  <w:num w:numId="42">
    <w:abstractNumId w:val="19"/>
  </w:num>
  <w:num w:numId="43">
    <w:abstractNumId w:val="10"/>
  </w:num>
  <w:num w:numId="44">
    <w:abstractNumId w:val="3"/>
  </w:num>
  <w:num w:numId="45">
    <w:abstractNumId w:val="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325"/>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CF8"/>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E5F90"/>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B07037"/>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619</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2017-10-27T11:33:00Z</dcterms:created>
  <dcterms:modified xsi:type="dcterms:W3CDTF">2017-10-27T11:33:00Z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