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894A29"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4F59C4">
              <w:rPr>
                <w:rFonts w:ascii="Arial" w:hAnsi="Arial" w:cs="Arial"/>
                <w:sz w:val="22"/>
                <w:szCs w:val="22"/>
                <w:lang w:val="fr-FR"/>
              </w:rPr>
              <w:t>103</w:t>
            </w:r>
          </w:p>
          <w:p w:rsidR="00260772" w:rsidRPr="005B42D9" w:rsidRDefault="004F59C4"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 xml:space="preserve">25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354A9C" w:rsidRPr="005B42D9" w:rsidRDefault="00354A9C" w:rsidP="00922791">
      <w:pPr>
        <w:tabs>
          <w:tab w:val="left" w:pos="7020"/>
        </w:tabs>
        <w:rPr>
          <w:rFonts w:ascii="Arial" w:hAnsi="Arial" w:cs="Arial"/>
          <w:sz w:val="22"/>
          <w:szCs w:val="22"/>
          <w:lang w:val="fr-FR"/>
        </w:rPr>
      </w:pPr>
    </w:p>
    <w:p w:rsidR="00F03CE2" w:rsidRDefault="00F03CE2" w:rsidP="00F03CE2">
      <w:pPr>
        <w:pStyle w:val="p1"/>
        <w:jc w:val="center"/>
        <w:rPr>
          <w:rFonts w:ascii="Arial" w:hAnsi="Arial" w:cs="Arial"/>
          <w:caps/>
          <w:sz w:val="22"/>
          <w:szCs w:val="22"/>
          <w:lang w:val="fr-FR"/>
        </w:rPr>
      </w:pPr>
      <w:r>
        <w:rPr>
          <w:rFonts w:ascii="Arial" w:hAnsi="Arial" w:cs="Arial"/>
          <w:b/>
          <w:bCs/>
          <w:caps/>
          <w:sz w:val="22"/>
          <w:szCs w:val="22"/>
          <w:lang w:val="fr-FR"/>
        </w:rPr>
        <w:t>RÉsolutions à ABROGER EN PARTIE</w:t>
      </w:r>
    </w:p>
    <w:p w:rsidR="00F03CE2" w:rsidRDefault="00F03CE2" w:rsidP="00F03CE2">
      <w:pPr>
        <w:pStyle w:val="Heading2"/>
        <w:keepNext w:val="0"/>
        <w:ind w:left="-90" w:right="-367"/>
        <w:jc w:val="center"/>
        <w:rPr>
          <w:rFonts w:ascii="Arial" w:hAnsi="Arial" w:cs="Arial"/>
          <w:caps/>
          <w:sz w:val="22"/>
          <w:szCs w:val="22"/>
          <w:lang w:val="fr-FR"/>
        </w:rPr>
      </w:pPr>
    </w:p>
    <w:p w:rsidR="008F5794" w:rsidRDefault="00F03CE2" w:rsidP="008F5794">
      <w:pPr>
        <w:jc w:val="center"/>
        <w:rPr>
          <w:rFonts w:ascii="Arial" w:hAnsi="Arial" w:cs="Arial"/>
          <w:b/>
          <w:sz w:val="22"/>
          <w:szCs w:val="22"/>
          <w:lang w:val="fr-FR"/>
        </w:rPr>
      </w:pPr>
      <w:r>
        <w:rPr>
          <w:rFonts w:ascii="Arial" w:hAnsi="Arial" w:cs="Arial"/>
          <w:b/>
          <w:caps/>
          <w:sz w:val="22"/>
          <w:szCs w:val="22"/>
          <w:lang w:val="fr-FR"/>
        </w:rPr>
        <w:t>r</w:t>
      </w:r>
      <w:r>
        <w:rPr>
          <w:rFonts w:ascii="Arial" w:hAnsi="Arial" w:cs="Arial"/>
          <w:b/>
          <w:caps/>
          <w:color w:val="000000" w:themeColor="text1"/>
          <w:sz w:val="22"/>
          <w:szCs w:val="22"/>
          <w:lang w:val="fr-FR"/>
        </w:rPr>
        <w:t>É</w:t>
      </w:r>
      <w:r>
        <w:rPr>
          <w:rFonts w:ascii="Arial" w:hAnsi="Arial" w:cs="Arial"/>
          <w:b/>
          <w:caps/>
          <w:sz w:val="22"/>
          <w:szCs w:val="22"/>
          <w:lang w:val="fr-FR"/>
        </w:rPr>
        <w:t>solution 3.1,</w:t>
      </w:r>
      <w:r>
        <w:rPr>
          <w:rFonts w:ascii="Arial" w:hAnsi="Arial" w:cs="Arial"/>
          <w:caps/>
          <w:sz w:val="22"/>
          <w:szCs w:val="22"/>
          <w:lang w:val="fr-FR"/>
        </w:rPr>
        <w:t xml:space="preserve"> </w:t>
      </w:r>
      <w:r>
        <w:rPr>
          <w:rFonts w:ascii="Arial" w:hAnsi="Arial" w:cs="Arial"/>
          <w:b/>
          <w:sz w:val="22"/>
          <w:szCs w:val="22"/>
          <w:lang w:val="fr-FR"/>
        </w:rPr>
        <w:t xml:space="preserve">LISTE DES ESPÈCES ÉNUMÉRÉES AUX ANNEXES </w:t>
      </w:r>
    </w:p>
    <w:p w:rsidR="00F03CE2" w:rsidRPr="008F5794" w:rsidRDefault="00F03CE2" w:rsidP="008F5794">
      <w:pPr>
        <w:jc w:val="center"/>
        <w:rPr>
          <w:rFonts w:ascii="Arial" w:hAnsi="Arial" w:cs="Arial"/>
          <w:b/>
          <w:sz w:val="22"/>
          <w:szCs w:val="22"/>
          <w:lang w:val="fr-FR"/>
        </w:rPr>
      </w:pPr>
      <w:r>
        <w:rPr>
          <w:rFonts w:ascii="Arial" w:hAnsi="Arial" w:cs="Arial"/>
          <w:b/>
          <w:sz w:val="22"/>
          <w:szCs w:val="22"/>
          <w:lang w:val="fr-FR"/>
        </w:rPr>
        <w:t>À LA CONVENTION</w:t>
      </w:r>
      <w:r w:rsidRPr="00BC6025">
        <w:rPr>
          <w:rFonts w:ascii="Arial" w:hAnsi="Arial" w:cs="Arial"/>
          <w:bCs/>
          <w:caps/>
          <w:sz w:val="22"/>
          <w:szCs w:val="22"/>
          <w:lang w:val="fr-FR"/>
        </w:rPr>
        <w:t xml:space="preserve"> </w:t>
      </w:r>
    </w:p>
    <w:p w:rsidR="00F03CE2" w:rsidRDefault="00F03CE2" w:rsidP="00F03CE2">
      <w:pPr>
        <w:jc w:val="center"/>
        <w:rPr>
          <w:rFonts w:ascii="Arial" w:hAnsi="Arial" w:cs="Arial"/>
          <w:bCs/>
          <w:caps/>
          <w:sz w:val="22"/>
          <w:szCs w:val="22"/>
          <w:lang w:val="fr-FR"/>
        </w:rPr>
      </w:pPr>
    </w:p>
    <w:p w:rsidR="00BC6025" w:rsidRPr="00BC6025" w:rsidRDefault="00BC6025" w:rsidP="00F03CE2">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00F03CE2">
        <w:rPr>
          <w:rFonts w:ascii="Arial" w:hAnsi="Arial" w:cs="Arial"/>
          <w:bCs/>
          <w:caps/>
          <w:sz w:val="22"/>
          <w:szCs w:val="22"/>
          <w:lang w:val="fr-FR"/>
        </w:rPr>
        <w:t>.21.1.1)</w:t>
      </w:r>
    </w:p>
    <w:p w:rsidR="00BC6025" w:rsidRPr="00BC6025" w:rsidRDefault="00BC6025" w:rsidP="00BC6025">
      <w:pPr>
        <w:jc w:val="center"/>
        <w:rPr>
          <w:rFonts w:ascii="Arial" w:hAnsi="Arial" w:cs="Arial"/>
          <w:b/>
          <w:caps/>
          <w:sz w:val="22"/>
          <w:szCs w:val="22"/>
          <w:lang w:val="fr-FR"/>
        </w:rPr>
      </w:pPr>
    </w:p>
    <w:p w:rsidR="00BC6025" w:rsidRPr="001F1DA4" w:rsidRDefault="00BC6025" w:rsidP="00796FCE">
      <w:pPr>
        <w:jc w:val="center"/>
        <w:rPr>
          <w:rFonts w:ascii="Arial" w:hAnsi="Arial" w:cs="Arial"/>
          <w:bCs/>
          <w:i/>
          <w:iCs/>
          <w:sz w:val="22"/>
          <w:szCs w:val="22"/>
          <w:lang w:val="fr-FR"/>
        </w:rPr>
      </w:pPr>
      <w:r w:rsidRPr="001F1DA4">
        <w:rPr>
          <w:rFonts w:ascii="Arial" w:hAnsi="Arial" w:cs="Arial"/>
          <w:bCs/>
          <w:i/>
          <w:iCs/>
          <w:sz w:val="22"/>
          <w:szCs w:val="22"/>
          <w:lang w:val="fr-FR"/>
        </w:rPr>
        <w:t>(</w:t>
      </w:r>
      <w:r w:rsidR="00F03CE2">
        <w:rPr>
          <w:rFonts w:ascii="Arial" w:hAnsi="Arial" w:cs="Arial"/>
          <w:bCs/>
          <w:i/>
          <w:iCs/>
          <w:sz w:val="22"/>
          <w:szCs w:val="22"/>
          <w:lang w:val="fr-FR"/>
        </w:rPr>
        <w:t>Préparé par le Groupe de travail sur l'examen des décisions</w:t>
      </w:r>
      <w:r w:rsidRPr="001F1DA4">
        <w:rPr>
          <w:rFonts w:ascii="Arial" w:hAnsi="Arial" w:cs="Arial"/>
          <w:bCs/>
          <w:i/>
          <w:iCs/>
          <w:sz w:val="22"/>
          <w:szCs w:val="22"/>
          <w:lang w:val="fr-FR"/>
        </w:rPr>
        <w:t>)</w:t>
      </w:r>
    </w:p>
    <w:p w:rsidR="00BC6025" w:rsidRPr="001F1DA4" w:rsidRDefault="00BC6025" w:rsidP="00BC6025">
      <w:pPr>
        <w:jc w:val="both"/>
        <w:rPr>
          <w:rFonts w:ascii="Arial" w:hAnsi="Arial" w:cs="Arial"/>
          <w:szCs w:val="20"/>
          <w:lang w:val="fr-FR"/>
        </w:rPr>
      </w:pPr>
    </w:p>
    <w:p w:rsidR="00BC6025" w:rsidRPr="001F1DA4" w:rsidRDefault="00BC6025" w:rsidP="00BC6025">
      <w:pPr>
        <w:jc w:val="center"/>
        <w:rPr>
          <w:rFonts w:ascii="Arial" w:hAnsi="Arial" w:cs="Arial"/>
          <w:sz w:val="22"/>
          <w:szCs w:val="22"/>
          <w:lang w:val="fr-FR"/>
        </w:rPr>
      </w:pPr>
    </w:p>
    <w:p w:rsidR="00BC6025" w:rsidRPr="001F1DA4" w:rsidRDefault="00BC6025" w:rsidP="00BF1084">
      <w:pPr>
        <w:jc w:val="center"/>
        <w:rPr>
          <w:rFonts w:ascii="Arial" w:hAnsi="Arial" w:cs="Arial"/>
          <w:sz w:val="22"/>
          <w:szCs w:val="22"/>
          <w:lang w:val="fr-FR"/>
        </w:rPr>
      </w:pPr>
      <w:r w:rsidRPr="00BC6025">
        <w:rPr>
          <w:rFonts w:ascii="Arial" w:hAnsi="Arial" w:cs="Arial"/>
          <w:sz w:val="22"/>
          <w:szCs w:val="22"/>
          <w:lang w:val="fr-FR"/>
        </w:rPr>
        <w:t>PROJET DE RÉSOLUTION</w:t>
      </w:r>
      <w:r w:rsidR="00BF1084">
        <w:rPr>
          <w:rFonts w:ascii="Arial" w:hAnsi="Arial" w:cs="Arial"/>
          <w:sz w:val="22"/>
          <w:szCs w:val="22"/>
          <w:lang w:val="fr-FR"/>
        </w:rPr>
        <w:t xml:space="preserve"> </w:t>
      </w:r>
    </w:p>
    <w:p w:rsidR="003F6700" w:rsidRDefault="003F6700" w:rsidP="003F6700">
      <w:pPr>
        <w:tabs>
          <w:tab w:val="left" w:pos="426"/>
        </w:tabs>
        <w:jc w:val="both"/>
        <w:rPr>
          <w:rFonts w:ascii="Arial" w:hAnsi="Arial" w:cs="Arial"/>
          <w:sz w:val="22"/>
          <w:szCs w:val="22"/>
          <w:lang w:val="fr-FR"/>
        </w:rPr>
      </w:pPr>
    </w:p>
    <w:p w:rsidR="00F03CE2" w:rsidRPr="00F03CE2" w:rsidRDefault="00F03CE2" w:rsidP="00F03CE2">
      <w:pPr>
        <w:jc w:val="center"/>
        <w:rPr>
          <w:rFonts w:ascii="Arial" w:hAnsi="Arial" w:cs="Arial"/>
          <w:b/>
          <w:sz w:val="22"/>
          <w:szCs w:val="22"/>
          <w:lang w:val="fr-FR"/>
        </w:rPr>
      </w:pPr>
      <w:r w:rsidRPr="00F03CE2">
        <w:rPr>
          <w:rFonts w:ascii="Arial" w:hAnsi="Arial" w:cs="Arial"/>
          <w:b/>
          <w:caps/>
          <w:sz w:val="22"/>
          <w:szCs w:val="22"/>
          <w:lang w:val="fr-FR"/>
        </w:rPr>
        <w:t>r</w:t>
      </w:r>
      <w:r w:rsidR="008F5794">
        <w:rPr>
          <w:rFonts w:ascii="Arial" w:hAnsi="Arial" w:cs="Arial"/>
          <w:b/>
          <w:caps/>
          <w:color w:val="000000" w:themeColor="text1"/>
          <w:sz w:val="22"/>
          <w:szCs w:val="22"/>
          <w:lang w:val="fr-FR"/>
        </w:rPr>
        <w:t>É</w:t>
      </w:r>
      <w:r w:rsidRPr="00F03CE2">
        <w:rPr>
          <w:rFonts w:ascii="Arial" w:hAnsi="Arial" w:cs="Arial"/>
          <w:b/>
          <w:caps/>
          <w:sz w:val="22"/>
          <w:szCs w:val="22"/>
          <w:lang w:val="fr-FR"/>
        </w:rPr>
        <w:t>solution 3.1</w:t>
      </w:r>
      <w:r w:rsidRPr="00F03CE2">
        <w:rPr>
          <w:rFonts w:ascii="Arial" w:hAnsi="Arial" w:cs="Arial"/>
          <w:b/>
          <w:sz w:val="22"/>
          <w:szCs w:val="22"/>
          <w:lang w:val="fr-FR"/>
        </w:rPr>
        <w:t xml:space="preserve"> (REV. COP12)</w:t>
      </w:r>
    </w:p>
    <w:p w:rsidR="00F03CE2" w:rsidRPr="00F03CE2" w:rsidRDefault="00F03CE2" w:rsidP="00F03CE2">
      <w:pPr>
        <w:jc w:val="center"/>
        <w:rPr>
          <w:rFonts w:ascii="Arial" w:hAnsi="Arial" w:cs="Arial"/>
          <w:b/>
          <w:sz w:val="22"/>
          <w:szCs w:val="22"/>
          <w:lang w:val="fr-FR"/>
        </w:rPr>
      </w:pPr>
    </w:p>
    <w:p w:rsidR="00F03CE2" w:rsidRPr="0012252C" w:rsidRDefault="00F03CE2" w:rsidP="00F03CE2">
      <w:pPr>
        <w:jc w:val="both"/>
        <w:rPr>
          <w:rFonts w:ascii="Arial" w:hAnsi="Arial" w:cs="Arial"/>
          <w:sz w:val="22"/>
          <w:szCs w:val="22"/>
          <w:lang w:val="fr-FR"/>
        </w:rPr>
      </w:pPr>
      <w:r w:rsidRPr="0012252C">
        <w:rPr>
          <w:rFonts w:ascii="Arial" w:hAnsi="Arial" w:cs="Arial"/>
          <w:i/>
          <w:sz w:val="22"/>
          <w:szCs w:val="22"/>
          <w:lang w:val="fr-FR"/>
        </w:rPr>
        <w:t>Rappelant</w:t>
      </w:r>
      <w:r>
        <w:rPr>
          <w:rFonts w:ascii="Arial" w:hAnsi="Arial" w:cs="Arial"/>
          <w:sz w:val="22"/>
          <w:szCs w:val="22"/>
          <w:lang w:val="fr-FR"/>
        </w:rPr>
        <w:t xml:space="preserve"> que par sa R</w:t>
      </w:r>
      <w:r w:rsidRPr="0012252C">
        <w:rPr>
          <w:rFonts w:ascii="Arial" w:hAnsi="Arial" w:cs="Arial"/>
          <w:sz w:val="22"/>
          <w:szCs w:val="22"/>
          <w:lang w:val="fr-FR"/>
        </w:rPr>
        <w:t>ésolution 1.4 adoptée à sa première session elle chargeait le Conseil scientifique de formuler des directives pour l’application des termes de la Convention et de revoir</w:t>
      </w:r>
      <w:r>
        <w:rPr>
          <w:rFonts w:ascii="Arial" w:hAnsi="Arial" w:cs="Arial"/>
          <w:sz w:val="22"/>
          <w:szCs w:val="22"/>
          <w:lang w:val="fr-FR"/>
        </w:rPr>
        <w:t xml:space="preserve"> la liste des espèces figurant aux A</w:t>
      </w:r>
      <w:r w:rsidRPr="0012252C">
        <w:rPr>
          <w:rFonts w:ascii="Arial" w:hAnsi="Arial" w:cs="Arial"/>
          <w:sz w:val="22"/>
          <w:szCs w:val="22"/>
          <w:lang w:val="fr-FR"/>
        </w:rPr>
        <w:t>nnexes à la Convention ;</w:t>
      </w:r>
    </w:p>
    <w:p w:rsidR="00F03CE2" w:rsidRPr="002F5A26" w:rsidRDefault="00F03CE2" w:rsidP="00F03CE2">
      <w:pPr>
        <w:jc w:val="both"/>
        <w:rPr>
          <w:rFonts w:ascii="Arial" w:hAnsi="Arial" w:cs="Arial"/>
          <w:sz w:val="22"/>
          <w:szCs w:val="22"/>
          <w:lang w:val="fr-FR"/>
        </w:rPr>
      </w:pPr>
    </w:p>
    <w:p w:rsidR="00F03CE2" w:rsidRPr="0012252C" w:rsidRDefault="00F03CE2" w:rsidP="00F03CE2">
      <w:pPr>
        <w:jc w:val="both"/>
        <w:rPr>
          <w:rFonts w:ascii="Arial" w:hAnsi="Arial" w:cs="Arial"/>
          <w:sz w:val="22"/>
          <w:szCs w:val="22"/>
          <w:lang w:val="fr-FR"/>
        </w:rPr>
      </w:pPr>
      <w:r w:rsidRPr="0012252C">
        <w:rPr>
          <w:rFonts w:ascii="Arial" w:hAnsi="Arial" w:cs="Arial"/>
          <w:i/>
          <w:sz w:val="22"/>
          <w:szCs w:val="22"/>
          <w:lang w:val="fr-FR"/>
        </w:rPr>
        <w:t>Notant</w:t>
      </w:r>
      <w:r w:rsidRPr="0012252C">
        <w:rPr>
          <w:rFonts w:ascii="Arial" w:hAnsi="Arial" w:cs="Arial"/>
          <w:sz w:val="22"/>
          <w:szCs w:val="22"/>
          <w:lang w:val="fr-FR"/>
        </w:rPr>
        <w:t xml:space="preserve"> avec satisfaction que le Conseil a fait rapport à la Conférence des Parties sur ces questions et a formulé un certain nombre de recommandations à son intention ;</w:t>
      </w:r>
    </w:p>
    <w:p w:rsidR="00F03CE2" w:rsidRPr="002F5A26" w:rsidRDefault="00F03CE2" w:rsidP="00F03CE2">
      <w:pPr>
        <w:jc w:val="both"/>
        <w:rPr>
          <w:rFonts w:ascii="Arial" w:hAnsi="Arial" w:cs="Arial"/>
          <w:sz w:val="22"/>
          <w:szCs w:val="22"/>
          <w:lang w:val="fr-FR"/>
        </w:rPr>
      </w:pPr>
    </w:p>
    <w:p w:rsidR="00F03CE2" w:rsidRDefault="00F03CE2" w:rsidP="00F03CE2">
      <w:pPr>
        <w:jc w:val="center"/>
        <w:rPr>
          <w:rFonts w:ascii="Arial" w:hAnsi="Arial" w:cs="Arial"/>
          <w:i/>
          <w:sz w:val="22"/>
          <w:szCs w:val="22"/>
          <w:lang w:val="fr-FR"/>
        </w:rPr>
      </w:pPr>
      <w:r w:rsidRPr="0012252C">
        <w:rPr>
          <w:rFonts w:ascii="Arial" w:hAnsi="Arial" w:cs="Arial"/>
          <w:i/>
          <w:sz w:val="22"/>
          <w:szCs w:val="22"/>
          <w:lang w:val="fr-FR"/>
        </w:rPr>
        <w:t xml:space="preserve">La Conférence des Parties à la </w:t>
      </w:r>
    </w:p>
    <w:p w:rsidR="00F03CE2" w:rsidRPr="0012252C" w:rsidRDefault="00F03CE2" w:rsidP="00F03CE2">
      <w:pPr>
        <w:jc w:val="center"/>
        <w:rPr>
          <w:rFonts w:ascii="Arial" w:hAnsi="Arial" w:cs="Arial"/>
          <w:i/>
          <w:sz w:val="22"/>
          <w:szCs w:val="22"/>
          <w:lang w:val="fr-FR"/>
        </w:rPr>
      </w:pPr>
      <w:r w:rsidRPr="0012252C">
        <w:rPr>
          <w:rFonts w:ascii="Arial" w:hAnsi="Arial" w:cs="Arial"/>
          <w:i/>
          <w:sz w:val="22"/>
          <w:szCs w:val="22"/>
          <w:lang w:val="fr-FR"/>
        </w:rPr>
        <w:t>Convention sur la conservation des espèces migratrices appartenant à la faune sauvage</w:t>
      </w:r>
    </w:p>
    <w:p w:rsidR="00F03CE2" w:rsidRPr="002F5A26" w:rsidRDefault="00F03CE2" w:rsidP="00F03CE2">
      <w:pPr>
        <w:jc w:val="both"/>
        <w:rPr>
          <w:rFonts w:ascii="Arial" w:hAnsi="Arial" w:cs="Arial"/>
          <w:sz w:val="22"/>
          <w:szCs w:val="22"/>
          <w:lang w:val="fr-FR"/>
        </w:rPr>
      </w:pPr>
    </w:p>
    <w:p w:rsidR="00F03CE2" w:rsidRPr="0012252C" w:rsidRDefault="00F03CE2" w:rsidP="00F03CE2">
      <w:pPr>
        <w:pStyle w:val="ListParagraph"/>
        <w:widowControl/>
        <w:numPr>
          <w:ilvl w:val="0"/>
          <w:numId w:val="48"/>
        </w:numPr>
        <w:autoSpaceDE/>
        <w:autoSpaceDN/>
        <w:adjustRightInd/>
        <w:ind w:left="360"/>
        <w:jc w:val="both"/>
        <w:rPr>
          <w:rFonts w:ascii="Arial" w:hAnsi="Arial" w:cs="Arial"/>
          <w:sz w:val="22"/>
          <w:szCs w:val="22"/>
          <w:lang w:val="fr-FR"/>
        </w:rPr>
      </w:pPr>
      <w:r w:rsidRPr="0012252C">
        <w:rPr>
          <w:rFonts w:ascii="Arial" w:hAnsi="Arial" w:cs="Arial"/>
          <w:i/>
          <w:sz w:val="22"/>
          <w:szCs w:val="22"/>
          <w:lang w:val="fr-FR"/>
        </w:rPr>
        <w:t>Convient</w:t>
      </w:r>
      <w:r w:rsidRPr="0012252C">
        <w:rPr>
          <w:rFonts w:ascii="Arial" w:hAnsi="Arial" w:cs="Arial"/>
          <w:sz w:val="22"/>
          <w:szCs w:val="22"/>
          <w:lang w:val="fr-FR"/>
        </w:rPr>
        <w:t xml:space="preserve"> qu’en appliquant les directives relatives à l’interprétation de l’expression  « espèces menacées » </w:t>
      </w:r>
      <w:r w:rsidR="00A702EE">
        <w:rPr>
          <w:rFonts w:ascii="Arial" w:hAnsi="Arial" w:cs="Arial"/>
          <w:sz w:val="22"/>
          <w:szCs w:val="22"/>
          <w:lang w:val="fr-FR"/>
        </w:rPr>
        <w:t>adopté dans la R</w:t>
      </w:r>
      <w:r w:rsidRPr="0012252C">
        <w:rPr>
          <w:rFonts w:ascii="Arial" w:hAnsi="Arial" w:cs="Arial"/>
          <w:sz w:val="22"/>
          <w:szCs w:val="22"/>
          <w:lang w:val="fr-FR"/>
        </w:rPr>
        <w:t>ésolution 2.2 adoptée par la Confér</w:t>
      </w:r>
      <w:r>
        <w:rPr>
          <w:rFonts w:ascii="Arial" w:hAnsi="Arial" w:cs="Arial"/>
          <w:sz w:val="22"/>
          <w:szCs w:val="22"/>
          <w:lang w:val="fr-FR"/>
        </w:rPr>
        <w:t xml:space="preserve">ence des Parties à sa deuxième </w:t>
      </w:r>
      <w:r w:rsidRPr="0012252C">
        <w:rPr>
          <w:rFonts w:ascii="Arial" w:hAnsi="Arial" w:cs="Arial"/>
          <w:sz w:val="22"/>
          <w:szCs w:val="22"/>
          <w:lang w:val="fr-FR"/>
        </w:rPr>
        <w:t>session les principes généreux suivants seront suivis :</w:t>
      </w:r>
    </w:p>
    <w:p w:rsidR="00F03CE2" w:rsidRPr="0012252C" w:rsidRDefault="00F03CE2" w:rsidP="00F03CE2">
      <w:pPr>
        <w:pStyle w:val="ListParagraph"/>
        <w:ind w:left="432"/>
        <w:jc w:val="both"/>
        <w:rPr>
          <w:rFonts w:ascii="Arial" w:hAnsi="Arial" w:cs="Arial"/>
          <w:sz w:val="22"/>
          <w:szCs w:val="22"/>
          <w:lang w:val="fr-FR"/>
        </w:rPr>
      </w:pPr>
    </w:p>
    <w:p w:rsidR="00F03CE2" w:rsidRDefault="00F03CE2" w:rsidP="004F59C4">
      <w:pPr>
        <w:pStyle w:val="ListParagraph"/>
        <w:widowControl/>
        <w:numPr>
          <w:ilvl w:val="0"/>
          <w:numId w:val="47"/>
        </w:numPr>
        <w:autoSpaceDE/>
        <w:autoSpaceDN/>
        <w:adjustRightInd/>
        <w:jc w:val="both"/>
        <w:rPr>
          <w:rFonts w:ascii="Arial" w:hAnsi="Arial" w:cs="Arial"/>
          <w:sz w:val="22"/>
          <w:szCs w:val="22"/>
          <w:lang w:val="fr-FR"/>
        </w:rPr>
      </w:pPr>
      <w:r w:rsidRPr="0012252C">
        <w:rPr>
          <w:rFonts w:ascii="Arial" w:hAnsi="Arial" w:cs="Arial"/>
          <w:sz w:val="22"/>
          <w:szCs w:val="22"/>
          <w:lang w:val="fr-FR"/>
        </w:rPr>
        <w:t>La restrict</w:t>
      </w:r>
      <w:r w:rsidR="00A702EE">
        <w:rPr>
          <w:rFonts w:ascii="Arial" w:hAnsi="Arial" w:cs="Arial"/>
          <w:sz w:val="22"/>
          <w:szCs w:val="22"/>
          <w:lang w:val="fr-FR"/>
        </w:rPr>
        <w:t>ion imposée à l’inscription d’espèces à l’A</w:t>
      </w:r>
      <w:r w:rsidRPr="0012252C">
        <w:rPr>
          <w:rFonts w:ascii="Arial" w:hAnsi="Arial" w:cs="Arial"/>
          <w:sz w:val="22"/>
          <w:szCs w:val="22"/>
          <w:lang w:val="fr-FR"/>
        </w:rPr>
        <w:t xml:space="preserve">nnexe I, qui correspond aux espèces « en danger », vaut pour les </w:t>
      </w:r>
      <w:r w:rsidRPr="00A702EE">
        <w:rPr>
          <w:rFonts w:ascii="Arial" w:hAnsi="Arial" w:cs="Arial"/>
          <w:sz w:val="22"/>
          <w:szCs w:val="22"/>
          <w:lang w:val="fr-FR"/>
        </w:rPr>
        <w:t xml:space="preserve">futures </w:t>
      </w:r>
      <w:r w:rsidRPr="0012252C">
        <w:rPr>
          <w:rFonts w:ascii="Arial" w:hAnsi="Arial" w:cs="Arial"/>
          <w:sz w:val="22"/>
          <w:szCs w:val="22"/>
          <w:lang w:val="fr-FR"/>
        </w:rPr>
        <w:t>propositions d’inscription mais pas nécessaire</w:t>
      </w:r>
      <w:r w:rsidR="00A702EE">
        <w:rPr>
          <w:rFonts w:ascii="Arial" w:hAnsi="Arial" w:cs="Arial"/>
          <w:sz w:val="22"/>
          <w:szCs w:val="22"/>
          <w:lang w:val="fr-FR"/>
        </w:rPr>
        <w:t>ment</w:t>
      </w:r>
      <w:r w:rsidRPr="0012252C">
        <w:rPr>
          <w:rFonts w:ascii="Arial" w:hAnsi="Arial" w:cs="Arial"/>
          <w:sz w:val="22"/>
          <w:szCs w:val="22"/>
          <w:lang w:val="fr-FR"/>
        </w:rPr>
        <w:t xml:space="preserve"> </w:t>
      </w:r>
      <w:r w:rsidR="00A702EE">
        <w:rPr>
          <w:rFonts w:ascii="Arial" w:hAnsi="Arial" w:cs="Arial"/>
          <w:sz w:val="22"/>
          <w:szCs w:val="22"/>
          <w:lang w:val="fr-FR"/>
        </w:rPr>
        <w:t xml:space="preserve">rétroactivement </w:t>
      </w:r>
      <w:r w:rsidRPr="0012252C">
        <w:rPr>
          <w:rFonts w:ascii="Arial" w:hAnsi="Arial" w:cs="Arial"/>
          <w:sz w:val="22"/>
          <w:szCs w:val="22"/>
          <w:lang w:val="fr-FR"/>
        </w:rPr>
        <w:t>p</w:t>
      </w:r>
      <w:r>
        <w:rPr>
          <w:rFonts w:ascii="Arial" w:hAnsi="Arial" w:cs="Arial"/>
          <w:sz w:val="22"/>
          <w:szCs w:val="22"/>
          <w:lang w:val="fr-FR"/>
        </w:rPr>
        <w:t>our les espèces déjà inscrites ;</w:t>
      </w:r>
    </w:p>
    <w:p w:rsidR="00F03CE2" w:rsidRPr="0012252C" w:rsidRDefault="00F03CE2" w:rsidP="00F03CE2">
      <w:pPr>
        <w:pStyle w:val="ListParagraph"/>
        <w:widowControl/>
        <w:autoSpaceDE/>
        <w:autoSpaceDN/>
        <w:adjustRightInd/>
        <w:ind w:left="1440"/>
        <w:jc w:val="both"/>
        <w:rPr>
          <w:rFonts w:ascii="Arial" w:hAnsi="Arial" w:cs="Arial"/>
          <w:sz w:val="22"/>
          <w:szCs w:val="22"/>
          <w:lang w:val="fr-FR"/>
        </w:rPr>
      </w:pPr>
    </w:p>
    <w:p w:rsidR="00B22443" w:rsidRDefault="00F03CE2" w:rsidP="00B22443">
      <w:pPr>
        <w:pStyle w:val="ListParagraph"/>
        <w:widowControl/>
        <w:numPr>
          <w:ilvl w:val="0"/>
          <w:numId w:val="47"/>
        </w:numPr>
        <w:autoSpaceDE/>
        <w:autoSpaceDN/>
        <w:adjustRightInd/>
        <w:jc w:val="both"/>
        <w:rPr>
          <w:rFonts w:ascii="Arial" w:hAnsi="Arial" w:cs="Arial"/>
          <w:sz w:val="22"/>
          <w:szCs w:val="22"/>
          <w:lang w:val="fr-FR"/>
        </w:rPr>
      </w:pPr>
      <w:r w:rsidRPr="0012252C">
        <w:rPr>
          <w:rFonts w:ascii="Arial" w:hAnsi="Arial" w:cs="Arial"/>
          <w:sz w:val="22"/>
          <w:szCs w:val="22"/>
          <w:lang w:val="fr-FR"/>
        </w:rPr>
        <w:t xml:space="preserve">Sachant que l’alinéa </w:t>
      </w:r>
      <w:r w:rsidR="00A702EE">
        <w:rPr>
          <w:rFonts w:ascii="Arial" w:hAnsi="Arial" w:cs="Arial"/>
          <w:sz w:val="22"/>
          <w:szCs w:val="22"/>
          <w:lang w:val="fr-FR"/>
        </w:rPr>
        <w:t>b) du paragraphe 3 de l’A</w:t>
      </w:r>
      <w:r w:rsidRPr="0012252C">
        <w:rPr>
          <w:rFonts w:ascii="Arial" w:hAnsi="Arial" w:cs="Arial"/>
          <w:sz w:val="22"/>
          <w:szCs w:val="22"/>
          <w:lang w:val="fr-FR"/>
        </w:rPr>
        <w:t>rticle III de la Convention dispose qu’une espèce migra</w:t>
      </w:r>
      <w:r w:rsidR="007B54EA">
        <w:rPr>
          <w:rFonts w:ascii="Arial" w:hAnsi="Arial" w:cs="Arial"/>
          <w:sz w:val="22"/>
          <w:szCs w:val="22"/>
          <w:lang w:val="fr-FR"/>
        </w:rPr>
        <w:t>trice peut être supprimée de l’A</w:t>
      </w:r>
      <w:r w:rsidRPr="0012252C">
        <w:rPr>
          <w:rFonts w:ascii="Arial" w:hAnsi="Arial" w:cs="Arial"/>
          <w:sz w:val="22"/>
          <w:szCs w:val="22"/>
          <w:lang w:val="fr-FR"/>
        </w:rPr>
        <w:t>nnexe I</w:t>
      </w:r>
      <w:r w:rsidR="007B54EA">
        <w:rPr>
          <w:rFonts w:ascii="Arial" w:hAnsi="Arial" w:cs="Arial"/>
          <w:color w:val="333333"/>
          <w:sz w:val="23"/>
          <w:szCs w:val="23"/>
          <w:shd w:val="clear" w:color="auto" w:fill="FFFFFF"/>
        </w:rPr>
        <w:t>.</w:t>
      </w:r>
      <w:r w:rsidRPr="0012252C">
        <w:rPr>
          <w:rFonts w:ascii="Arial" w:hAnsi="Arial" w:cs="Arial"/>
          <w:sz w:val="22"/>
          <w:szCs w:val="22"/>
          <w:lang w:val="fr-FR"/>
        </w:rPr>
        <w:t xml:space="preserve">lorsque l’on est assuré que ladite espèce ne risque pas d’être à nouveau mise en danger </w:t>
      </w:r>
      <w:r w:rsidR="00A37517">
        <w:rPr>
          <w:rFonts w:ascii="Arial" w:hAnsi="Arial" w:cs="Arial"/>
          <w:sz w:val="22"/>
          <w:szCs w:val="22"/>
          <w:lang w:val="fr-FR"/>
        </w:rPr>
        <w:t>en raison du défaut de protection résultant de sa suppression de l’Annexe I.</w:t>
      </w:r>
      <w:r w:rsidRPr="0012252C">
        <w:rPr>
          <w:rFonts w:ascii="Arial" w:hAnsi="Arial" w:cs="Arial"/>
          <w:sz w:val="22"/>
          <w:szCs w:val="22"/>
          <w:lang w:val="fr-FR"/>
        </w:rPr>
        <w:t>,</w:t>
      </w:r>
      <w:r w:rsidR="004F59C4">
        <w:rPr>
          <w:rFonts w:ascii="Arial" w:hAnsi="Arial" w:cs="Arial"/>
          <w:sz w:val="22"/>
          <w:szCs w:val="22"/>
          <w:lang w:val="fr-FR"/>
        </w:rPr>
        <w:t xml:space="preserve"> </w:t>
      </w:r>
      <w:r w:rsidR="004F59C4" w:rsidRPr="004F59C4">
        <w:rPr>
          <w:rFonts w:ascii="Arial" w:hAnsi="Arial" w:cs="Arial"/>
          <w:sz w:val="22"/>
          <w:szCs w:val="22"/>
          <w:lang w:val="fr-FR"/>
        </w:rPr>
        <w:t>et reconnaissant que les espèces inscrites à l'Annexe I de la CMS sont largement définies comme «en danger», définie par la Convention dans la Résolution 11.33 [(</w:t>
      </w:r>
      <w:proofErr w:type="spellStart"/>
      <w:r w:rsidR="004F59C4" w:rsidRPr="004F59C4">
        <w:rPr>
          <w:rFonts w:ascii="Arial" w:hAnsi="Arial" w:cs="Arial"/>
          <w:sz w:val="22"/>
          <w:szCs w:val="22"/>
          <w:lang w:val="fr-FR"/>
        </w:rPr>
        <w:t>rev</w:t>
      </w:r>
      <w:proofErr w:type="spellEnd"/>
      <w:r w:rsidR="004F59C4" w:rsidRPr="004F59C4">
        <w:rPr>
          <w:rFonts w:ascii="Arial" w:hAnsi="Arial" w:cs="Arial"/>
          <w:sz w:val="22"/>
          <w:szCs w:val="22"/>
          <w:lang w:val="fr-FR"/>
        </w:rPr>
        <w:t xml:space="preserve"> CoP12)] comme «très menacée d'extinction dans la nature dans un proche avenir»;</w:t>
      </w:r>
      <w:r w:rsidR="001E7C43">
        <w:rPr>
          <w:rFonts w:ascii="Arial" w:hAnsi="Arial" w:cs="Arial"/>
          <w:sz w:val="22"/>
          <w:szCs w:val="22"/>
          <w:lang w:val="fr-FR"/>
        </w:rPr>
        <w:t xml:space="preserve"> les</w:t>
      </w:r>
      <w:r w:rsidR="004F59C4">
        <w:rPr>
          <w:rFonts w:ascii="Arial" w:hAnsi="Arial" w:cs="Arial"/>
          <w:sz w:val="22"/>
          <w:szCs w:val="22"/>
          <w:lang w:val="fr-FR"/>
        </w:rPr>
        <w:t xml:space="preserve"> </w:t>
      </w:r>
      <w:r w:rsidR="00B22443">
        <w:rPr>
          <w:rFonts w:ascii="Arial" w:hAnsi="Arial" w:cs="Arial"/>
          <w:sz w:val="22"/>
          <w:szCs w:val="22"/>
          <w:lang w:val="fr-FR"/>
        </w:rPr>
        <w:t xml:space="preserve">espèces </w:t>
      </w:r>
      <w:r w:rsidR="00B22443" w:rsidRPr="00B22443">
        <w:rPr>
          <w:rFonts w:ascii="Arial" w:hAnsi="Arial" w:cs="Arial"/>
          <w:sz w:val="22"/>
          <w:szCs w:val="22"/>
          <w:lang w:val="fr-FR"/>
        </w:rPr>
        <w:t xml:space="preserve">de la Liste rouge </w:t>
      </w:r>
      <w:r w:rsidR="00B22443">
        <w:rPr>
          <w:rFonts w:ascii="Arial" w:hAnsi="Arial" w:cs="Arial"/>
          <w:sz w:val="22"/>
          <w:szCs w:val="22"/>
          <w:lang w:val="fr-FR"/>
        </w:rPr>
        <w:t xml:space="preserve">catégories et critères </w:t>
      </w:r>
      <w:r w:rsidR="00B22443" w:rsidRPr="00B22443">
        <w:rPr>
          <w:rFonts w:ascii="Arial" w:hAnsi="Arial" w:cs="Arial"/>
          <w:sz w:val="22"/>
          <w:szCs w:val="22"/>
          <w:lang w:val="fr-FR"/>
        </w:rPr>
        <w:t xml:space="preserve">de l'Union internationale pour la conservation de la nature (UICN) (version 3.1, deuxième édition) </w:t>
      </w:r>
      <w:r w:rsidR="00B22443">
        <w:rPr>
          <w:rFonts w:ascii="Arial" w:hAnsi="Arial" w:cs="Arial"/>
          <w:sz w:val="22"/>
          <w:szCs w:val="22"/>
          <w:lang w:val="fr-FR"/>
        </w:rPr>
        <w:t xml:space="preserve">catégorisées </w:t>
      </w:r>
      <w:r w:rsidR="00B22443" w:rsidRPr="00B22443">
        <w:rPr>
          <w:rFonts w:ascii="Arial" w:hAnsi="Arial" w:cs="Arial"/>
          <w:sz w:val="22"/>
          <w:szCs w:val="22"/>
          <w:lang w:val="fr-FR"/>
        </w:rPr>
        <w:t>«éteintes», «en danger critique d'extinction» ou «en danger»</w:t>
      </w:r>
      <w:r w:rsidR="00B22443">
        <w:rPr>
          <w:rFonts w:ascii="Arial" w:hAnsi="Arial" w:cs="Arial"/>
          <w:sz w:val="22"/>
          <w:szCs w:val="22"/>
          <w:lang w:val="fr-FR"/>
        </w:rPr>
        <w:t>, devraient être</w:t>
      </w:r>
      <w:r w:rsidR="00B22443" w:rsidRPr="00B22443">
        <w:rPr>
          <w:rFonts w:ascii="Arial" w:hAnsi="Arial" w:cs="Arial"/>
          <w:sz w:val="22"/>
          <w:szCs w:val="22"/>
          <w:lang w:val="fr-FR"/>
        </w:rPr>
        <w:t xml:space="preserve">. </w:t>
      </w:r>
      <w:proofErr w:type="gramStart"/>
      <w:r w:rsidR="00B22443" w:rsidRPr="00B22443">
        <w:rPr>
          <w:rFonts w:ascii="Arial" w:hAnsi="Arial" w:cs="Arial"/>
          <w:sz w:val="22"/>
          <w:szCs w:val="22"/>
          <w:lang w:val="fr-FR"/>
        </w:rPr>
        <w:t>conservé</w:t>
      </w:r>
      <w:r w:rsidR="00B22443">
        <w:rPr>
          <w:rFonts w:ascii="Arial" w:hAnsi="Arial" w:cs="Arial"/>
          <w:sz w:val="22"/>
          <w:szCs w:val="22"/>
          <w:lang w:val="fr-FR"/>
        </w:rPr>
        <w:t>es</w:t>
      </w:r>
      <w:proofErr w:type="gramEnd"/>
      <w:r w:rsidR="00B22443" w:rsidRPr="00B22443">
        <w:rPr>
          <w:rFonts w:ascii="Arial" w:hAnsi="Arial" w:cs="Arial"/>
          <w:sz w:val="22"/>
          <w:szCs w:val="22"/>
          <w:lang w:val="fr-FR"/>
        </w:rPr>
        <w:t xml:space="preserve"> à l'Annexe I;</w:t>
      </w:r>
    </w:p>
    <w:p w:rsidR="00F03CE2" w:rsidRPr="002F5A26" w:rsidRDefault="00F03CE2" w:rsidP="00F03CE2">
      <w:pPr>
        <w:jc w:val="both"/>
        <w:rPr>
          <w:rFonts w:ascii="Arial" w:hAnsi="Arial" w:cs="Arial"/>
          <w:sz w:val="22"/>
          <w:szCs w:val="22"/>
          <w:lang w:val="fr-FR"/>
        </w:rPr>
      </w:pPr>
    </w:p>
    <w:p w:rsidR="00F03CE2" w:rsidRPr="002F5A26" w:rsidRDefault="00F03CE2" w:rsidP="00F03CE2">
      <w:pPr>
        <w:pStyle w:val="ListParagraph"/>
        <w:widowControl/>
        <w:numPr>
          <w:ilvl w:val="0"/>
          <w:numId w:val="48"/>
        </w:numPr>
        <w:autoSpaceDE/>
        <w:autoSpaceDN/>
        <w:adjustRightInd/>
        <w:ind w:left="360"/>
        <w:jc w:val="both"/>
        <w:rPr>
          <w:rFonts w:ascii="Arial" w:hAnsi="Arial" w:cs="Arial"/>
          <w:sz w:val="22"/>
          <w:szCs w:val="22"/>
          <w:lang w:val="fr-FR"/>
        </w:rPr>
      </w:pPr>
      <w:r w:rsidRPr="0012252C">
        <w:rPr>
          <w:rFonts w:ascii="Arial" w:hAnsi="Arial" w:cs="Arial"/>
          <w:i/>
          <w:sz w:val="22"/>
          <w:szCs w:val="22"/>
          <w:lang w:val="fr-FR"/>
        </w:rPr>
        <w:t>Convient</w:t>
      </w:r>
      <w:r w:rsidRPr="0012252C">
        <w:rPr>
          <w:rFonts w:ascii="Arial" w:hAnsi="Arial" w:cs="Arial"/>
          <w:sz w:val="22"/>
          <w:szCs w:val="22"/>
          <w:lang w:val="fr-FR"/>
        </w:rPr>
        <w:t xml:space="preserve"> que seules les espèces ou les taxons</w:t>
      </w:r>
      <w:r w:rsidR="001E7C43">
        <w:rPr>
          <w:rFonts w:ascii="Arial" w:hAnsi="Arial" w:cs="Arial"/>
          <w:sz w:val="22"/>
          <w:szCs w:val="22"/>
          <w:lang w:val="fr-FR"/>
        </w:rPr>
        <w:t xml:space="preserve"> inférieurs seront ajoutés aux A</w:t>
      </w:r>
      <w:r w:rsidRPr="0012252C">
        <w:rPr>
          <w:rFonts w:ascii="Arial" w:hAnsi="Arial" w:cs="Arial"/>
          <w:sz w:val="22"/>
          <w:szCs w:val="22"/>
          <w:lang w:val="fr-FR"/>
        </w:rPr>
        <w:t>nnexes à la Convention et que les espèces migratrices regroupées sous un taxon supérieur figurant déjà à l’annexe II ne devront être identifiées qu’au moment de l’élaboration d’ACCORDS </w:t>
      </w:r>
      <w:r w:rsidRPr="002F5A26">
        <w:rPr>
          <w:rFonts w:ascii="Arial" w:hAnsi="Arial" w:cs="Arial"/>
          <w:sz w:val="22"/>
          <w:szCs w:val="22"/>
          <w:lang w:val="fr-FR"/>
        </w:rPr>
        <w:t>;</w:t>
      </w:r>
    </w:p>
    <w:p w:rsidR="00F03CE2" w:rsidRPr="002F5A26" w:rsidRDefault="00F03CE2" w:rsidP="00F03CE2">
      <w:pPr>
        <w:pStyle w:val="ListParagraph"/>
        <w:widowControl/>
        <w:autoSpaceDE/>
        <w:autoSpaceDN/>
        <w:adjustRightInd/>
        <w:ind w:left="360"/>
        <w:jc w:val="both"/>
        <w:rPr>
          <w:rFonts w:ascii="Arial" w:hAnsi="Arial" w:cs="Arial"/>
          <w:sz w:val="22"/>
          <w:szCs w:val="22"/>
          <w:lang w:val="fr-FR"/>
        </w:rPr>
      </w:pPr>
    </w:p>
    <w:p w:rsidR="00F03CE2" w:rsidRPr="002F5A26" w:rsidRDefault="00F03CE2" w:rsidP="00F03CE2">
      <w:pPr>
        <w:pStyle w:val="ListParagraph"/>
        <w:widowControl/>
        <w:numPr>
          <w:ilvl w:val="0"/>
          <w:numId w:val="48"/>
        </w:numPr>
        <w:autoSpaceDE/>
        <w:autoSpaceDN/>
        <w:adjustRightInd/>
        <w:ind w:left="360"/>
        <w:jc w:val="both"/>
        <w:rPr>
          <w:rFonts w:ascii="Arial" w:hAnsi="Arial" w:cs="Arial"/>
          <w:sz w:val="22"/>
          <w:szCs w:val="22"/>
          <w:lang w:val="fr-FR"/>
        </w:rPr>
      </w:pPr>
      <w:r w:rsidRPr="0012252C">
        <w:rPr>
          <w:rFonts w:ascii="Arial" w:hAnsi="Arial" w:cs="Arial"/>
          <w:i/>
          <w:sz w:val="22"/>
          <w:szCs w:val="22"/>
          <w:lang w:val="fr-FR"/>
        </w:rPr>
        <w:t>Adopte</w:t>
      </w:r>
      <w:r w:rsidRPr="0012252C">
        <w:rPr>
          <w:rFonts w:ascii="Arial" w:hAnsi="Arial" w:cs="Arial"/>
          <w:sz w:val="22"/>
          <w:szCs w:val="22"/>
          <w:lang w:val="fr-FR"/>
        </w:rPr>
        <w:t xml:space="preserve"> la directive selon laquelle un État devrait être considéré comme un « État de l’aire de répartition » pour une espèce migratrice donnée lorsqu’une partie importante d’une population géographiquement distincte de ladite espèce se trouve occasionnellement sur son territoire </w:t>
      </w:r>
      <w:r w:rsidRPr="002F5A26">
        <w:rPr>
          <w:rFonts w:ascii="Arial" w:hAnsi="Arial" w:cs="Arial"/>
          <w:sz w:val="22"/>
          <w:szCs w:val="22"/>
          <w:lang w:val="fr-FR"/>
        </w:rPr>
        <w:t>;</w:t>
      </w:r>
    </w:p>
    <w:p w:rsidR="00F03CE2" w:rsidRPr="002F5A26" w:rsidRDefault="00F03CE2" w:rsidP="00F03CE2">
      <w:pPr>
        <w:tabs>
          <w:tab w:val="left" w:pos="1020"/>
        </w:tabs>
        <w:jc w:val="both"/>
        <w:rPr>
          <w:rFonts w:ascii="Arial" w:hAnsi="Arial" w:cs="Arial"/>
          <w:sz w:val="22"/>
          <w:szCs w:val="22"/>
          <w:lang w:val="fr-FR"/>
        </w:rPr>
      </w:pPr>
    </w:p>
    <w:p w:rsidR="00F03CE2" w:rsidRPr="002F5A26" w:rsidRDefault="00F03CE2" w:rsidP="00F03CE2">
      <w:pPr>
        <w:pStyle w:val="ListParagraph"/>
        <w:widowControl/>
        <w:numPr>
          <w:ilvl w:val="0"/>
          <w:numId w:val="48"/>
        </w:numPr>
        <w:autoSpaceDE/>
        <w:autoSpaceDN/>
        <w:adjustRightInd/>
        <w:ind w:left="360"/>
        <w:jc w:val="both"/>
        <w:rPr>
          <w:rFonts w:ascii="Arial" w:hAnsi="Arial" w:cs="Arial"/>
          <w:sz w:val="22"/>
          <w:szCs w:val="22"/>
          <w:lang w:val="fr-FR"/>
        </w:rPr>
      </w:pPr>
      <w:r w:rsidRPr="0012252C">
        <w:rPr>
          <w:rFonts w:ascii="Arial" w:hAnsi="Arial" w:cs="Arial"/>
          <w:i/>
          <w:sz w:val="22"/>
          <w:szCs w:val="22"/>
          <w:lang w:val="fr-FR"/>
        </w:rPr>
        <w:t xml:space="preserve">Prie </w:t>
      </w:r>
      <w:r w:rsidRPr="0012252C">
        <w:rPr>
          <w:rFonts w:ascii="Arial" w:hAnsi="Arial" w:cs="Arial"/>
          <w:sz w:val="22"/>
          <w:szCs w:val="22"/>
          <w:lang w:val="fr-FR"/>
        </w:rPr>
        <w:t>les Parties lorsqu’elles établissent des propositions d’inscription de nouvelles espèces à l’annexe I de se demander si ces espèces devraient également figurer à l’annexe II </w:t>
      </w:r>
      <w:r w:rsidRPr="002F5A26">
        <w:rPr>
          <w:rFonts w:ascii="Arial" w:hAnsi="Arial" w:cs="Arial"/>
          <w:sz w:val="22"/>
          <w:szCs w:val="22"/>
          <w:lang w:val="fr-FR"/>
        </w:rPr>
        <w:t>;</w:t>
      </w:r>
    </w:p>
    <w:p w:rsidR="00F03CE2" w:rsidRPr="002F5A26" w:rsidRDefault="00F03CE2" w:rsidP="00F03CE2">
      <w:pPr>
        <w:pStyle w:val="ListParagraph"/>
        <w:widowControl/>
        <w:autoSpaceDE/>
        <w:autoSpaceDN/>
        <w:adjustRightInd/>
        <w:ind w:left="360"/>
        <w:jc w:val="both"/>
        <w:rPr>
          <w:rFonts w:ascii="Arial" w:hAnsi="Arial" w:cs="Arial"/>
          <w:sz w:val="22"/>
          <w:szCs w:val="22"/>
          <w:u w:val="single"/>
          <w:lang w:val="fr-FR"/>
        </w:rPr>
      </w:pPr>
    </w:p>
    <w:p w:rsidR="00F03CE2" w:rsidRPr="002F5A26" w:rsidRDefault="00F03CE2" w:rsidP="00F03CE2">
      <w:pPr>
        <w:pStyle w:val="ListParagraph"/>
        <w:widowControl/>
        <w:numPr>
          <w:ilvl w:val="0"/>
          <w:numId w:val="48"/>
        </w:numPr>
        <w:autoSpaceDE/>
        <w:autoSpaceDN/>
        <w:adjustRightInd/>
        <w:ind w:left="360"/>
        <w:jc w:val="both"/>
        <w:rPr>
          <w:rFonts w:ascii="Arial" w:hAnsi="Arial" w:cs="Arial"/>
          <w:sz w:val="22"/>
          <w:szCs w:val="22"/>
          <w:u w:val="single"/>
          <w:lang w:val="fr-FR"/>
        </w:rPr>
      </w:pPr>
      <w:r w:rsidRPr="0012252C">
        <w:rPr>
          <w:rFonts w:ascii="Arial" w:hAnsi="Arial" w:cs="Arial"/>
          <w:i/>
          <w:sz w:val="22"/>
          <w:szCs w:val="22"/>
          <w:lang w:val="fr-FR"/>
        </w:rPr>
        <w:t xml:space="preserve">Prie instamment </w:t>
      </w:r>
      <w:r w:rsidRPr="0012252C">
        <w:rPr>
          <w:rFonts w:ascii="Arial" w:hAnsi="Arial" w:cs="Arial"/>
          <w:sz w:val="22"/>
          <w:szCs w:val="22"/>
          <w:lang w:val="fr-FR"/>
        </w:rPr>
        <w:t xml:space="preserve">toute Partie qui propose l’adjonction à l’annexe II d’une espèce pour laquelle elle est État de l’aire de répartition d’entreprendre des négociations avec d’autres États de l’aire de répartition en vue de la conclusion d’un ACCORD portant sur ladite </w:t>
      </w:r>
      <w:proofErr w:type="gramStart"/>
      <w:r w:rsidRPr="0012252C">
        <w:rPr>
          <w:rFonts w:ascii="Arial" w:hAnsi="Arial" w:cs="Arial"/>
          <w:sz w:val="22"/>
          <w:szCs w:val="22"/>
          <w:lang w:val="fr-FR"/>
        </w:rPr>
        <w:t>espèce</w:t>
      </w:r>
      <w:r w:rsidRPr="002F5A26">
        <w:rPr>
          <w:rFonts w:ascii="Arial" w:hAnsi="Arial" w:cs="Arial"/>
          <w:sz w:val="22"/>
          <w:szCs w:val="22"/>
          <w:lang w:val="fr-FR"/>
        </w:rPr>
        <w:t>;</w:t>
      </w:r>
      <w:proofErr w:type="gramEnd"/>
      <w:r w:rsidRPr="002F5A26">
        <w:rPr>
          <w:rFonts w:ascii="Arial" w:hAnsi="Arial" w:cs="Arial"/>
          <w:sz w:val="22"/>
          <w:szCs w:val="22"/>
          <w:lang w:val="fr-FR"/>
        </w:rPr>
        <w:t xml:space="preserve"> et</w:t>
      </w:r>
    </w:p>
    <w:p w:rsidR="00F03CE2" w:rsidRPr="002F5A26" w:rsidRDefault="00F03CE2" w:rsidP="00F03CE2">
      <w:pPr>
        <w:widowControl/>
        <w:autoSpaceDE/>
        <w:autoSpaceDN/>
        <w:adjustRightInd/>
        <w:jc w:val="both"/>
        <w:rPr>
          <w:rFonts w:ascii="Arial" w:hAnsi="Arial" w:cs="Arial"/>
          <w:sz w:val="22"/>
          <w:szCs w:val="22"/>
          <w:u w:val="single"/>
          <w:lang w:val="fr-FR"/>
        </w:rPr>
      </w:pPr>
    </w:p>
    <w:p w:rsidR="00F03CE2" w:rsidRPr="002F5A26" w:rsidRDefault="00F03CE2" w:rsidP="00F03CE2">
      <w:pPr>
        <w:pStyle w:val="ListParagraph"/>
        <w:widowControl/>
        <w:numPr>
          <w:ilvl w:val="0"/>
          <w:numId w:val="48"/>
        </w:numPr>
        <w:tabs>
          <w:tab w:val="left" w:pos="1020"/>
        </w:tabs>
        <w:autoSpaceDE/>
        <w:autoSpaceDN/>
        <w:adjustRightInd/>
        <w:ind w:left="360"/>
        <w:jc w:val="both"/>
        <w:rPr>
          <w:rFonts w:ascii="Arial" w:hAnsi="Arial" w:cs="Arial"/>
          <w:sz w:val="22"/>
          <w:szCs w:val="22"/>
          <w:lang w:val="fr-FR"/>
        </w:rPr>
      </w:pPr>
      <w:r w:rsidRPr="00C34204">
        <w:rPr>
          <w:rFonts w:ascii="Arial" w:hAnsi="Arial" w:cs="Arial"/>
          <w:i/>
          <w:sz w:val="22"/>
          <w:szCs w:val="22"/>
          <w:lang w:val="fr-FR"/>
        </w:rPr>
        <w:t xml:space="preserve">Encourage </w:t>
      </w:r>
      <w:r w:rsidRPr="00C34204">
        <w:rPr>
          <w:rFonts w:ascii="Arial" w:hAnsi="Arial" w:cs="Arial"/>
          <w:sz w:val="22"/>
          <w:szCs w:val="22"/>
          <w:lang w:val="fr-FR"/>
        </w:rPr>
        <w:t>les Parties à envisager de présenter des propositions d’inscription aux annexes d’espèces de régions du monde actuellement sous-représentées et à aider les pays en développement Parties à élaborer ce type de proposition</w:t>
      </w:r>
      <w:r w:rsidRPr="002F5A26">
        <w:rPr>
          <w:rFonts w:ascii="Arial" w:hAnsi="Arial" w:cs="Arial"/>
          <w:sz w:val="22"/>
          <w:szCs w:val="22"/>
          <w:lang w:val="fr-FR"/>
        </w:rPr>
        <w:t>.</w:t>
      </w:r>
    </w:p>
    <w:p w:rsidR="00F03CE2" w:rsidRDefault="00F03CE2" w:rsidP="00F03CE2">
      <w:pPr>
        <w:jc w:val="center"/>
        <w:rPr>
          <w:rFonts w:ascii="Arial" w:hAnsi="Arial" w:cs="Arial"/>
          <w:b/>
          <w:sz w:val="22"/>
          <w:szCs w:val="22"/>
          <w:lang w:val="fr-FR"/>
        </w:rPr>
      </w:pPr>
    </w:p>
    <w:p w:rsidR="008F5794" w:rsidRPr="002F5A26" w:rsidRDefault="008F5794" w:rsidP="00F03CE2">
      <w:pPr>
        <w:jc w:val="center"/>
        <w:rPr>
          <w:rFonts w:ascii="Arial" w:hAnsi="Arial" w:cs="Arial"/>
          <w:b/>
          <w:sz w:val="22"/>
          <w:szCs w:val="22"/>
          <w:lang w:val="fr-FR"/>
        </w:rPr>
      </w:pPr>
    </w:p>
    <w:p w:rsidR="00F03CE2" w:rsidRPr="008F5794" w:rsidRDefault="008F5794" w:rsidP="00F03CE2">
      <w:pPr>
        <w:jc w:val="center"/>
        <w:rPr>
          <w:rFonts w:ascii="Arial" w:hAnsi="Arial" w:cs="Arial"/>
          <w:sz w:val="22"/>
          <w:szCs w:val="22"/>
          <w:lang w:val="fr-FR"/>
        </w:rPr>
      </w:pPr>
      <w:r>
        <w:rPr>
          <w:rFonts w:ascii="Arial" w:hAnsi="Arial" w:cs="Arial"/>
          <w:sz w:val="22"/>
          <w:szCs w:val="22"/>
          <w:lang w:val="fr-FR"/>
        </w:rPr>
        <w:t>PROJET DE DÉCISION</w:t>
      </w:r>
      <w:r w:rsidR="00F03CE2" w:rsidRPr="008F5794">
        <w:rPr>
          <w:rFonts w:ascii="Arial" w:hAnsi="Arial" w:cs="Arial"/>
          <w:sz w:val="22"/>
          <w:szCs w:val="22"/>
          <w:lang w:val="fr-FR"/>
        </w:rPr>
        <w:t xml:space="preserve"> </w:t>
      </w:r>
    </w:p>
    <w:p w:rsidR="00F03CE2" w:rsidRPr="002F5A26" w:rsidRDefault="00F03CE2" w:rsidP="00F03CE2">
      <w:pPr>
        <w:jc w:val="both"/>
        <w:rPr>
          <w:rFonts w:ascii="Arial" w:hAnsi="Arial" w:cs="Arial"/>
          <w:sz w:val="22"/>
          <w:szCs w:val="22"/>
          <w:lang w:val="fr-FR"/>
        </w:rPr>
      </w:pPr>
    </w:p>
    <w:p w:rsidR="00F03CE2" w:rsidRPr="002F5A26" w:rsidRDefault="00F03CE2" w:rsidP="00F03CE2">
      <w:pPr>
        <w:jc w:val="both"/>
        <w:rPr>
          <w:rFonts w:ascii="Arial" w:hAnsi="Arial" w:cs="Arial"/>
          <w:b/>
          <w:i/>
          <w:color w:val="000000" w:themeColor="text1"/>
          <w:sz w:val="22"/>
          <w:szCs w:val="22"/>
          <w:lang w:val="fr-FR"/>
        </w:rPr>
      </w:pPr>
      <w:r w:rsidRPr="002F5A26">
        <w:rPr>
          <w:rFonts w:ascii="Arial" w:hAnsi="Arial" w:cs="Arial"/>
          <w:b/>
          <w:i/>
          <w:color w:val="000000" w:themeColor="text1"/>
          <w:sz w:val="22"/>
          <w:szCs w:val="22"/>
          <w:lang w:val="fr-FR"/>
        </w:rPr>
        <w:t xml:space="preserve">À l’adresse du Conseil </w:t>
      </w:r>
      <w:proofErr w:type="gramStart"/>
      <w:r w:rsidRPr="002F5A26">
        <w:rPr>
          <w:rFonts w:ascii="Arial" w:hAnsi="Arial" w:cs="Arial"/>
          <w:b/>
          <w:i/>
          <w:color w:val="000000" w:themeColor="text1"/>
          <w:sz w:val="22"/>
          <w:szCs w:val="22"/>
          <w:lang w:val="fr-FR"/>
        </w:rPr>
        <w:t>scientifique:</w:t>
      </w:r>
      <w:proofErr w:type="gramEnd"/>
    </w:p>
    <w:p w:rsidR="00F03CE2" w:rsidRPr="002F5A26" w:rsidRDefault="00F03CE2" w:rsidP="00F03CE2">
      <w:pPr>
        <w:jc w:val="both"/>
        <w:rPr>
          <w:rFonts w:ascii="Arial" w:hAnsi="Arial" w:cs="Arial"/>
          <w:sz w:val="22"/>
          <w:szCs w:val="22"/>
          <w:lang w:val="fr-FR"/>
        </w:rPr>
      </w:pPr>
    </w:p>
    <w:p w:rsidR="00F03CE2" w:rsidRPr="008F5794" w:rsidRDefault="00F03CE2" w:rsidP="008F5794">
      <w:pPr>
        <w:ind w:left="720" w:hanging="720"/>
        <w:jc w:val="both"/>
        <w:rPr>
          <w:rFonts w:ascii="Arial" w:hAnsi="Arial" w:cs="Arial"/>
          <w:sz w:val="22"/>
          <w:szCs w:val="22"/>
        </w:rPr>
      </w:pPr>
      <w:r w:rsidRPr="006828F5">
        <w:rPr>
          <w:rFonts w:ascii="Arial" w:hAnsi="Arial" w:cs="Arial"/>
          <w:sz w:val="22"/>
          <w:szCs w:val="22"/>
        </w:rPr>
        <w:t>12.AA</w:t>
      </w:r>
      <w:r w:rsidRPr="006828F5">
        <w:rPr>
          <w:rFonts w:ascii="Arial" w:hAnsi="Arial" w:cs="Arial"/>
          <w:sz w:val="22"/>
          <w:szCs w:val="22"/>
        </w:rPr>
        <w:tab/>
        <w:t xml:space="preserve">Le Conseil </w:t>
      </w:r>
      <w:proofErr w:type="spellStart"/>
      <w:r w:rsidRPr="006828F5">
        <w:rPr>
          <w:rFonts w:ascii="Arial" w:hAnsi="Arial" w:cs="Arial"/>
          <w:sz w:val="22"/>
          <w:szCs w:val="22"/>
        </w:rPr>
        <w:t>scientifique</w:t>
      </w:r>
      <w:proofErr w:type="spellEnd"/>
      <w:r w:rsidR="008F5794">
        <w:rPr>
          <w:rFonts w:ascii="Arial" w:hAnsi="Arial" w:cs="Arial"/>
          <w:sz w:val="22"/>
          <w:szCs w:val="22"/>
        </w:rPr>
        <w:t xml:space="preserve"> d</w:t>
      </w:r>
      <w:proofErr w:type="spellStart"/>
      <w:r w:rsidR="008F5794" w:rsidRPr="008F5794">
        <w:rPr>
          <w:rFonts w:ascii="Arial" w:hAnsi="Arial" w:cs="Arial"/>
          <w:sz w:val="22"/>
          <w:szCs w:val="22"/>
          <w:lang w:val="fr-FR"/>
        </w:rPr>
        <w:t>evrait</w:t>
      </w:r>
      <w:proofErr w:type="spellEnd"/>
      <w:r w:rsidR="008F5794" w:rsidRPr="008F5794">
        <w:rPr>
          <w:rFonts w:ascii="Arial" w:hAnsi="Arial" w:cs="Arial"/>
          <w:sz w:val="22"/>
          <w:szCs w:val="22"/>
          <w:lang w:val="fr-FR"/>
        </w:rPr>
        <w:t xml:space="preserve"> proposer comment intégrer les dispositions de la Résolution 3.1 (</w:t>
      </w:r>
      <w:proofErr w:type="spellStart"/>
      <w:r w:rsidR="008F5794" w:rsidRPr="008F5794">
        <w:rPr>
          <w:rFonts w:ascii="Arial" w:hAnsi="Arial" w:cs="Arial"/>
          <w:sz w:val="22"/>
          <w:szCs w:val="22"/>
          <w:lang w:val="fr-FR"/>
        </w:rPr>
        <w:t>Rev</w:t>
      </w:r>
      <w:proofErr w:type="spellEnd"/>
      <w:r w:rsidR="008F5794" w:rsidRPr="008F5794">
        <w:rPr>
          <w:rFonts w:ascii="Arial" w:hAnsi="Arial" w:cs="Arial"/>
          <w:sz w:val="22"/>
          <w:szCs w:val="22"/>
          <w:lang w:val="fr-FR"/>
        </w:rPr>
        <w:t>. COP12) dans la Résolution 11.33 (</w:t>
      </w:r>
      <w:proofErr w:type="spellStart"/>
      <w:r w:rsidR="008F5794" w:rsidRPr="008F5794">
        <w:rPr>
          <w:rFonts w:ascii="Arial" w:hAnsi="Arial" w:cs="Arial"/>
          <w:sz w:val="22"/>
          <w:szCs w:val="22"/>
          <w:lang w:val="fr-FR"/>
        </w:rPr>
        <w:t>Rev</w:t>
      </w:r>
      <w:proofErr w:type="spellEnd"/>
      <w:r w:rsidR="008F5794" w:rsidRPr="008F5794">
        <w:rPr>
          <w:rFonts w:ascii="Arial" w:hAnsi="Arial" w:cs="Arial"/>
          <w:sz w:val="22"/>
          <w:szCs w:val="22"/>
          <w:lang w:val="fr-FR"/>
        </w:rPr>
        <w:t>. COP12) afin que ces résolutions puissent être rationalisées en une à la COP13.</w:t>
      </w:r>
    </w:p>
    <w:p w:rsidR="003F6700" w:rsidRPr="003F6700" w:rsidRDefault="003F6700" w:rsidP="003F6700">
      <w:pPr>
        <w:tabs>
          <w:tab w:val="left" w:pos="426"/>
        </w:tabs>
        <w:jc w:val="both"/>
        <w:rPr>
          <w:rFonts w:ascii="Arial" w:hAnsi="Arial" w:cs="Arial"/>
          <w:sz w:val="22"/>
          <w:szCs w:val="22"/>
          <w:lang w:val="fr-FR"/>
        </w:rPr>
      </w:pPr>
      <w:bookmarkStart w:id="0" w:name="_GoBack"/>
      <w:bookmarkEnd w:id="0"/>
    </w:p>
    <w:sectPr w:rsidR="003F6700" w:rsidRPr="003F6700" w:rsidSect="003F6700">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B22443">
      <w:rPr>
        <w:rFonts w:asciiTheme="minorBidi" w:hAnsiTheme="minorBidi" w:cstheme="minorBidi"/>
        <w:noProof/>
        <w:sz w:val="18"/>
        <w:szCs w:val="18"/>
      </w:rPr>
      <w:t>103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0B4F48"/>
    <w:multiLevelType w:val="hybridMultilevel"/>
    <w:tmpl w:val="39C6F07C"/>
    <w:lvl w:ilvl="0" w:tplc="7E10B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1C10F7"/>
    <w:multiLevelType w:val="hybridMultilevel"/>
    <w:tmpl w:val="F5C2C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8"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9"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9F03B0"/>
    <w:multiLevelType w:val="hybridMultilevel"/>
    <w:tmpl w:val="924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6F97102"/>
    <w:multiLevelType w:val="hybridMultilevel"/>
    <w:tmpl w:val="40148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4" w15:restartNumberingAfterBreak="0">
    <w:nsid w:val="54F92584"/>
    <w:multiLevelType w:val="hybridMultilevel"/>
    <w:tmpl w:val="3F36649A"/>
    <w:lvl w:ilvl="0" w:tplc="48684A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2C65E90"/>
    <w:multiLevelType w:val="hybridMultilevel"/>
    <w:tmpl w:val="8B3018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356139"/>
    <w:multiLevelType w:val="hybridMultilevel"/>
    <w:tmpl w:val="B6FED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5"/>
  </w:num>
  <w:num w:numId="3">
    <w:abstractNumId w:val="12"/>
  </w:num>
  <w:num w:numId="4">
    <w:abstractNumId w:val="24"/>
  </w:num>
  <w:num w:numId="5">
    <w:abstractNumId w:val="13"/>
  </w:num>
  <w:num w:numId="6">
    <w:abstractNumId w:val="36"/>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5"/>
  </w:num>
  <w:num w:numId="9">
    <w:abstractNumId w:val="7"/>
  </w:num>
  <w:num w:numId="10">
    <w:abstractNumId w:val="23"/>
  </w:num>
  <w:num w:numId="11">
    <w:abstractNumId w:val="40"/>
  </w:num>
  <w:num w:numId="12">
    <w:abstractNumId w:val="3"/>
  </w:num>
  <w:num w:numId="13">
    <w:abstractNumId w:val="20"/>
  </w:num>
  <w:num w:numId="14">
    <w:abstractNumId w:val="38"/>
  </w:num>
  <w:num w:numId="15">
    <w:abstractNumId w:val="2"/>
  </w:num>
  <w:num w:numId="16">
    <w:abstractNumId w:val="11"/>
  </w:num>
  <w:num w:numId="17">
    <w:abstractNumId w:val="41"/>
  </w:num>
  <w:num w:numId="18">
    <w:abstractNumId w:val="22"/>
  </w:num>
  <w:num w:numId="19">
    <w:abstractNumId w:val="39"/>
  </w:num>
  <w:num w:numId="20">
    <w:abstractNumId w:val="47"/>
  </w:num>
  <w:num w:numId="21">
    <w:abstractNumId w:val="4"/>
  </w:num>
  <w:num w:numId="22">
    <w:abstractNumId w:val="18"/>
  </w:num>
  <w:num w:numId="23">
    <w:abstractNumId w:val="27"/>
  </w:num>
  <w:num w:numId="24">
    <w:abstractNumId w:val="17"/>
  </w:num>
  <w:num w:numId="25">
    <w:abstractNumId w:val="32"/>
  </w:num>
  <w:num w:numId="26">
    <w:abstractNumId w:val="0"/>
  </w:num>
  <w:num w:numId="27">
    <w:abstractNumId w:val="43"/>
  </w:num>
  <w:num w:numId="28">
    <w:abstractNumId w:val="6"/>
  </w:num>
  <w:num w:numId="29">
    <w:abstractNumId w:val="21"/>
  </w:num>
  <w:num w:numId="30">
    <w:abstractNumId w:val="14"/>
  </w:num>
  <w:num w:numId="31">
    <w:abstractNumId w:val="30"/>
  </w:num>
  <w:num w:numId="32">
    <w:abstractNumId w:val="29"/>
  </w:num>
  <w:num w:numId="33">
    <w:abstractNumId w:val="5"/>
  </w:num>
  <w:num w:numId="34">
    <w:abstractNumId w:val="19"/>
  </w:num>
  <w:num w:numId="35">
    <w:abstractNumId w:val="16"/>
  </w:num>
  <w:num w:numId="36">
    <w:abstractNumId w:val="33"/>
  </w:num>
  <w:num w:numId="37">
    <w:abstractNumId w:val="37"/>
  </w:num>
  <w:num w:numId="38">
    <w:abstractNumId w:val="10"/>
  </w:num>
  <w:num w:numId="39">
    <w:abstractNumId w:val="31"/>
  </w:num>
  <w:num w:numId="40">
    <w:abstractNumId w:val="44"/>
  </w:num>
  <w:num w:numId="41">
    <w:abstractNumId w:val="25"/>
  </w:num>
  <w:num w:numId="42">
    <w:abstractNumId w:val="26"/>
  </w:num>
  <w:num w:numId="43">
    <w:abstractNumId w:val="34"/>
  </w:num>
  <w:num w:numId="44">
    <w:abstractNumId w:val="9"/>
  </w:num>
  <w:num w:numId="45">
    <w:abstractNumId w:val="28"/>
  </w:num>
  <w:num w:numId="46">
    <w:abstractNumId w:val="15"/>
  </w:num>
  <w:num w:numId="47">
    <w:abstractNumId w:val="8"/>
  </w:num>
  <w:num w:numId="48">
    <w:abstractNumId w:val="46"/>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A33B6"/>
    <w:rsid w:val="001C6038"/>
    <w:rsid w:val="001E7C43"/>
    <w:rsid w:val="001F1DA4"/>
    <w:rsid w:val="001F60A1"/>
    <w:rsid w:val="00200A67"/>
    <w:rsid w:val="00201F88"/>
    <w:rsid w:val="00202332"/>
    <w:rsid w:val="002210F4"/>
    <w:rsid w:val="00234857"/>
    <w:rsid w:val="00254721"/>
    <w:rsid w:val="00260772"/>
    <w:rsid w:val="00263159"/>
    <w:rsid w:val="002667F0"/>
    <w:rsid w:val="002779F7"/>
    <w:rsid w:val="002C187A"/>
    <w:rsid w:val="002C20F1"/>
    <w:rsid w:val="002D2863"/>
    <w:rsid w:val="002D5EC0"/>
    <w:rsid w:val="002E3DEA"/>
    <w:rsid w:val="002E7CC2"/>
    <w:rsid w:val="002F6F9B"/>
    <w:rsid w:val="003331C6"/>
    <w:rsid w:val="00345044"/>
    <w:rsid w:val="00351095"/>
    <w:rsid w:val="00354A9C"/>
    <w:rsid w:val="00364973"/>
    <w:rsid w:val="00372347"/>
    <w:rsid w:val="003779D4"/>
    <w:rsid w:val="00382398"/>
    <w:rsid w:val="003909E4"/>
    <w:rsid w:val="003A0D8F"/>
    <w:rsid w:val="003A3E30"/>
    <w:rsid w:val="003A70FE"/>
    <w:rsid w:val="003B0C35"/>
    <w:rsid w:val="003B219E"/>
    <w:rsid w:val="003E21B3"/>
    <w:rsid w:val="003F6700"/>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4F59C4"/>
    <w:rsid w:val="005076F1"/>
    <w:rsid w:val="00512B91"/>
    <w:rsid w:val="005158EB"/>
    <w:rsid w:val="0052082F"/>
    <w:rsid w:val="00542FCC"/>
    <w:rsid w:val="00553795"/>
    <w:rsid w:val="0055762E"/>
    <w:rsid w:val="00565445"/>
    <w:rsid w:val="00575334"/>
    <w:rsid w:val="00593736"/>
    <w:rsid w:val="005B0F06"/>
    <w:rsid w:val="005B42D9"/>
    <w:rsid w:val="005B6141"/>
    <w:rsid w:val="005C3F15"/>
    <w:rsid w:val="005F3989"/>
    <w:rsid w:val="005F4303"/>
    <w:rsid w:val="00601B52"/>
    <w:rsid w:val="0060280B"/>
    <w:rsid w:val="00604422"/>
    <w:rsid w:val="0062486D"/>
    <w:rsid w:val="00644060"/>
    <w:rsid w:val="00651341"/>
    <w:rsid w:val="00667726"/>
    <w:rsid w:val="006815B2"/>
    <w:rsid w:val="00682B31"/>
    <w:rsid w:val="006864E1"/>
    <w:rsid w:val="006B1037"/>
    <w:rsid w:val="006E56AD"/>
    <w:rsid w:val="006E5763"/>
    <w:rsid w:val="006F6A33"/>
    <w:rsid w:val="007101BB"/>
    <w:rsid w:val="00713308"/>
    <w:rsid w:val="00727E01"/>
    <w:rsid w:val="00757614"/>
    <w:rsid w:val="007728B4"/>
    <w:rsid w:val="0077622E"/>
    <w:rsid w:val="00777913"/>
    <w:rsid w:val="00777FE4"/>
    <w:rsid w:val="0079075D"/>
    <w:rsid w:val="00796FCE"/>
    <w:rsid w:val="007B54EA"/>
    <w:rsid w:val="007C1468"/>
    <w:rsid w:val="007C41D7"/>
    <w:rsid w:val="007F16FB"/>
    <w:rsid w:val="007F1BBA"/>
    <w:rsid w:val="0081600F"/>
    <w:rsid w:val="0082722D"/>
    <w:rsid w:val="008274F7"/>
    <w:rsid w:val="008441F9"/>
    <w:rsid w:val="00846A99"/>
    <w:rsid w:val="008641D1"/>
    <w:rsid w:val="00872F67"/>
    <w:rsid w:val="00893346"/>
    <w:rsid w:val="00894A29"/>
    <w:rsid w:val="008A0D8D"/>
    <w:rsid w:val="008B1A69"/>
    <w:rsid w:val="008C1A39"/>
    <w:rsid w:val="008E7DFB"/>
    <w:rsid w:val="008F5794"/>
    <w:rsid w:val="008F7327"/>
    <w:rsid w:val="009076C8"/>
    <w:rsid w:val="009132DC"/>
    <w:rsid w:val="00915BBE"/>
    <w:rsid w:val="00921D62"/>
    <w:rsid w:val="00922791"/>
    <w:rsid w:val="00927CD6"/>
    <w:rsid w:val="00933572"/>
    <w:rsid w:val="009363C7"/>
    <w:rsid w:val="00945FFB"/>
    <w:rsid w:val="00971F31"/>
    <w:rsid w:val="00972D36"/>
    <w:rsid w:val="00980406"/>
    <w:rsid w:val="009A2C8F"/>
    <w:rsid w:val="009A4CD2"/>
    <w:rsid w:val="009A7B65"/>
    <w:rsid w:val="009C59E4"/>
    <w:rsid w:val="009D2AD6"/>
    <w:rsid w:val="009D3A07"/>
    <w:rsid w:val="009D4711"/>
    <w:rsid w:val="009D5DA6"/>
    <w:rsid w:val="009E35DA"/>
    <w:rsid w:val="009E3A84"/>
    <w:rsid w:val="009E7ACC"/>
    <w:rsid w:val="009F450E"/>
    <w:rsid w:val="009F54DA"/>
    <w:rsid w:val="00A06984"/>
    <w:rsid w:val="00A1324E"/>
    <w:rsid w:val="00A27BE3"/>
    <w:rsid w:val="00A339B9"/>
    <w:rsid w:val="00A37517"/>
    <w:rsid w:val="00A40EDF"/>
    <w:rsid w:val="00A568DF"/>
    <w:rsid w:val="00A702EE"/>
    <w:rsid w:val="00A73A79"/>
    <w:rsid w:val="00A756EA"/>
    <w:rsid w:val="00A8316B"/>
    <w:rsid w:val="00A91596"/>
    <w:rsid w:val="00A93C52"/>
    <w:rsid w:val="00AA7368"/>
    <w:rsid w:val="00AA7A90"/>
    <w:rsid w:val="00AB4FF9"/>
    <w:rsid w:val="00AE7B21"/>
    <w:rsid w:val="00AF1980"/>
    <w:rsid w:val="00AF2021"/>
    <w:rsid w:val="00B22443"/>
    <w:rsid w:val="00B471BD"/>
    <w:rsid w:val="00B50C2D"/>
    <w:rsid w:val="00B64904"/>
    <w:rsid w:val="00B87F4A"/>
    <w:rsid w:val="00BA60CE"/>
    <w:rsid w:val="00BC5607"/>
    <w:rsid w:val="00BC6025"/>
    <w:rsid w:val="00BE0D1D"/>
    <w:rsid w:val="00BE2448"/>
    <w:rsid w:val="00BE24D4"/>
    <w:rsid w:val="00BE4F2A"/>
    <w:rsid w:val="00BF1084"/>
    <w:rsid w:val="00BF2BE7"/>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6EDD"/>
    <w:rsid w:val="00D05922"/>
    <w:rsid w:val="00D30B30"/>
    <w:rsid w:val="00D42AE1"/>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3521F"/>
    <w:rsid w:val="00E475D4"/>
    <w:rsid w:val="00E74D1C"/>
    <w:rsid w:val="00E8776E"/>
    <w:rsid w:val="00E9237A"/>
    <w:rsid w:val="00EA0B88"/>
    <w:rsid w:val="00EB2285"/>
    <w:rsid w:val="00EC4294"/>
    <w:rsid w:val="00EC681E"/>
    <w:rsid w:val="00EC7DBF"/>
    <w:rsid w:val="00ED02D3"/>
    <w:rsid w:val="00ED5E31"/>
    <w:rsid w:val="00EE64C1"/>
    <w:rsid w:val="00EF3AD8"/>
    <w:rsid w:val="00F03CE2"/>
    <w:rsid w:val="00F05AA0"/>
    <w:rsid w:val="00F061CB"/>
    <w:rsid w:val="00F24050"/>
    <w:rsid w:val="00F248AA"/>
    <w:rsid w:val="00F31539"/>
    <w:rsid w:val="00F444EC"/>
    <w:rsid w:val="00F45FE3"/>
    <w:rsid w:val="00F54D03"/>
    <w:rsid w:val="00F57AA4"/>
    <w:rsid w:val="00F6347A"/>
    <w:rsid w:val="00F7503A"/>
    <w:rsid w:val="00F81FEF"/>
    <w:rsid w:val="00F84F20"/>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D5B515"/>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 w:type="paragraph" w:customStyle="1" w:styleId="p1">
    <w:name w:val="p1"/>
    <w:basedOn w:val="Normal"/>
    <w:rsid w:val="00F03CE2"/>
    <w:pPr>
      <w:widowControl/>
      <w:autoSpaceDE/>
      <w:autoSpaceDN/>
      <w:adjustRightInd/>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8088">
      <w:bodyDiv w:val="1"/>
      <w:marLeft w:val="0"/>
      <w:marRight w:val="0"/>
      <w:marTop w:val="0"/>
      <w:marBottom w:val="0"/>
      <w:divBdr>
        <w:top w:val="none" w:sz="0" w:space="0" w:color="auto"/>
        <w:left w:val="none" w:sz="0" w:space="0" w:color="auto"/>
        <w:bottom w:val="none" w:sz="0" w:space="0" w:color="auto"/>
        <w:right w:val="none" w:sz="0" w:space="0" w:color="auto"/>
      </w:divBdr>
    </w:div>
    <w:div w:id="4376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2</Pages>
  <Words>563</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2</cp:revision>
  <cp:lastPrinted>2017-03-22T10:51:00Z</cp:lastPrinted>
  <dcterms:created xsi:type="dcterms:W3CDTF">2017-10-25T13:04:00Z</dcterms:created>
  <dcterms:modified xsi:type="dcterms:W3CDTF">2017-10-25T13:04:00Z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