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89C8" w14:textId="77777777" w:rsidR="0008122C" w:rsidRPr="0008122C" w:rsidRDefault="0008122C" w:rsidP="0008122C">
      <w:pPr>
        <w:widowControl/>
        <w:autoSpaceDE/>
        <w:autoSpaceDN/>
        <w:adjustRightInd/>
        <w:rPr>
          <w:rFonts w:eastAsia="Calibri"/>
          <w:sz w:val="22"/>
          <w:szCs w:val="22"/>
          <w:lang w:val="fr-FR"/>
        </w:rPr>
      </w:pPr>
      <w:r w:rsidRPr="0008122C">
        <w:rPr>
          <w:rFonts w:eastAsia="Calibri"/>
          <w:color w:val="222222"/>
          <w:sz w:val="22"/>
          <w:szCs w:val="22"/>
          <w:lang w:val="fr-FR"/>
        </w:rPr>
        <w:t>11</w:t>
      </w:r>
      <w:r w:rsidRPr="0008122C">
        <w:rPr>
          <w:rFonts w:eastAsia="Calibri"/>
          <w:color w:val="222222"/>
          <w:sz w:val="22"/>
          <w:szCs w:val="22"/>
          <w:vertAlign w:val="superscript"/>
          <w:lang w:val="fr-FR"/>
        </w:rPr>
        <w:t>e</w:t>
      </w:r>
      <w:r w:rsidRPr="0008122C">
        <w:rPr>
          <w:rFonts w:eastAsia="Calibri"/>
          <w:color w:val="222222"/>
          <w:sz w:val="22"/>
          <w:szCs w:val="22"/>
          <w:lang w:val="fr-FR"/>
        </w:rPr>
        <w:t xml:space="preserve"> </w:t>
      </w:r>
      <w:r w:rsidRPr="0008122C">
        <w:rPr>
          <w:rFonts w:eastAsia="Calibri"/>
          <w:sz w:val="22"/>
          <w:szCs w:val="22"/>
          <w:lang w:val="fr-FR"/>
        </w:rPr>
        <w:t>SESSION DE LA CONFÉRENCE DES PARTIES</w:t>
      </w:r>
    </w:p>
    <w:p w14:paraId="0146AD61" w14:textId="77777777" w:rsidR="0008122C" w:rsidRPr="0008122C" w:rsidRDefault="0008122C" w:rsidP="0008122C">
      <w:pPr>
        <w:widowControl/>
        <w:autoSpaceDE/>
        <w:autoSpaceDN/>
        <w:adjustRightInd/>
        <w:rPr>
          <w:rFonts w:eastAsia="Calibri"/>
          <w:sz w:val="22"/>
          <w:szCs w:val="22"/>
          <w:lang w:val="fr-FR"/>
        </w:rPr>
      </w:pPr>
      <w:r w:rsidRPr="0008122C">
        <w:rPr>
          <w:rFonts w:eastAsia="Calibri"/>
          <w:sz w:val="22"/>
          <w:szCs w:val="22"/>
          <w:lang w:val="fr-FR"/>
        </w:rPr>
        <w:t xml:space="preserve">Quito, </w:t>
      </w:r>
      <w:r w:rsidRPr="0008122C">
        <w:rPr>
          <w:rFonts w:eastAsia="Calibri"/>
          <w:color w:val="222222"/>
          <w:sz w:val="22"/>
          <w:szCs w:val="22"/>
          <w:lang w:val="fr-FR"/>
        </w:rPr>
        <w:t>Équateur, 4</w:t>
      </w:r>
      <w:r w:rsidRPr="0008122C">
        <w:rPr>
          <w:rFonts w:eastAsia="Calibri"/>
          <w:sz w:val="22"/>
          <w:szCs w:val="22"/>
          <w:lang w:val="fr-FR"/>
        </w:rPr>
        <w:t>-9 novembre 2014</w:t>
      </w:r>
    </w:p>
    <w:p w14:paraId="0F760F0C" w14:textId="02755C1D" w:rsidR="0008122C" w:rsidRPr="0008122C" w:rsidRDefault="0008122C" w:rsidP="0008122C">
      <w:pPr>
        <w:widowControl/>
        <w:autoSpaceDE/>
        <w:autoSpaceDN/>
        <w:adjustRightInd/>
        <w:rPr>
          <w:rFonts w:eastAsia="Calibri"/>
          <w:sz w:val="22"/>
          <w:szCs w:val="22"/>
          <w:lang w:val="fr-FR"/>
        </w:rPr>
      </w:pPr>
      <w:r w:rsidRPr="0008122C">
        <w:rPr>
          <w:rFonts w:eastAsia="Calibri"/>
          <w:noProof/>
          <w:sz w:val="22"/>
          <w:szCs w:val="22"/>
          <w:lang w:val="fr-FR"/>
        </w:rPr>
        <w:t xml:space="preserve">Point </w:t>
      </w:r>
      <w:r>
        <w:rPr>
          <w:rFonts w:eastAsia="Calibri"/>
          <w:noProof/>
          <w:sz w:val="22"/>
          <w:szCs w:val="22"/>
          <w:lang w:val="fr-FR"/>
        </w:rPr>
        <w:t>24.2</w:t>
      </w:r>
      <w:r w:rsidRPr="0008122C">
        <w:rPr>
          <w:rFonts w:eastAsia="Calibri"/>
          <w:noProof/>
          <w:sz w:val="22"/>
          <w:szCs w:val="22"/>
          <w:lang w:val="fr-FR"/>
        </w:rPr>
        <w:t xml:space="preserve"> de l</w:t>
      </w:r>
      <w:r w:rsidR="004B2554">
        <w:rPr>
          <w:rFonts w:eastAsia="Calibri"/>
          <w:noProof/>
          <w:sz w:val="22"/>
          <w:szCs w:val="22"/>
          <w:lang w:val="fr-FR"/>
        </w:rPr>
        <w:t>’</w:t>
      </w:r>
      <w:r w:rsidRPr="0008122C">
        <w:rPr>
          <w:rFonts w:eastAsia="Calibri"/>
          <w:noProof/>
          <w:sz w:val="22"/>
          <w:szCs w:val="22"/>
          <w:lang w:val="fr-FR"/>
        </w:rPr>
        <w:t>ordre du jour</w:t>
      </w:r>
    </w:p>
    <w:p w14:paraId="294CA241" w14:textId="3A78FA3D" w:rsidR="0081600F" w:rsidRPr="001442FB" w:rsidRDefault="0081600F" w:rsidP="000C21B1">
      <w:pPr>
        <w:spacing w:line="228" w:lineRule="auto"/>
        <w:rPr>
          <w:iCs/>
          <w:sz w:val="24"/>
          <w:lang w:val="fr-FR"/>
        </w:rPr>
      </w:pPr>
    </w:p>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68"/>
        <w:gridCol w:w="4320"/>
        <w:gridCol w:w="3634"/>
      </w:tblGrid>
      <w:tr w:rsidR="0081600F" w:rsidRPr="00E74D1C" w14:paraId="2B993FC8" w14:textId="77777777" w:rsidTr="007F1BBA">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14:paraId="7BF9720C" w14:textId="77777777" w:rsidR="0081600F" w:rsidRPr="00E74D1C" w:rsidRDefault="00011D26" w:rsidP="005F3989">
            <w:pPr>
              <w:tabs>
                <w:tab w:val="left" w:pos="-1057"/>
                <w:tab w:val="left" w:pos="-720"/>
                <w:tab w:val="left" w:pos="0"/>
                <w:tab w:val="left" w:pos="141"/>
                <w:tab w:val="left" w:pos="720"/>
                <w:tab w:val="right" w:pos="9072"/>
              </w:tabs>
              <w:rPr>
                <w:sz w:val="24"/>
                <w:lang w:val="en-GB"/>
              </w:rPr>
            </w:pPr>
            <w:r>
              <w:rPr>
                <w:noProof/>
                <w:sz w:val="24"/>
              </w:rPr>
              <w:drawing>
                <wp:inline distT="0" distB="0" distL="0" distR="0" wp14:anchorId="7CD44C4E" wp14:editId="7780420C">
                  <wp:extent cx="311785" cy="34353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822" t="-2544" r="-3822" b="-2544"/>
                          <a:stretch>
                            <a:fillRect/>
                          </a:stretch>
                        </pic:blipFill>
                        <pic:spPr bwMode="auto">
                          <a:xfrm>
                            <a:off x="0" y="0"/>
                            <a:ext cx="311785" cy="343535"/>
                          </a:xfrm>
                          <a:prstGeom prst="rect">
                            <a:avLst/>
                          </a:prstGeom>
                          <a:noFill/>
                          <a:ln w="9525">
                            <a:noFill/>
                            <a:miter lim="800000"/>
                            <a:headEnd/>
                            <a:tailEnd/>
                          </a:ln>
                        </pic:spPr>
                      </pic:pic>
                    </a:graphicData>
                  </a:graphic>
                </wp:inline>
              </w:drawing>
            </w:r>
            <w:r w:rsidR="0081600F" w:rsidRPr="00E74D1C">
              <w:rPr>
                <w:sz w:val="24"/>
                <w:lang w:val="en-GB"/>
              </w:rPr>
              <w:t xml:space="preserve"> </w:t>
            </w:r>
            <w:r>
              <w:rPr>
                <w:noProof/>
                <w:sz w:val="24"/>
              </w:rPr>
              <w:drawing>
                <wp:inline distT="0" distB="0" distL="0" distR="0" wp14:anchorId="0E72C4EB" wp14:editId="63F916E7">
                  <wp:extent cx="364490" cy="37528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766" t="-1331" r="60167" b="48776"/>
                          <a:stretch>
                            <a:fillRect/>
                          </a:stretch>
                        </pic:blipFill>
                        <pic:spPr bwMode="auto">
                          <a:xfrm>
                            <a:off x="0" y="0"/>
                            <a:ext cx="364490" cy="375285"/>
                          </a:xfrm>
                          <a:prstGeom prst="rect">
                            <a:avLst/>
                          </a:prstGeom>
                          <a:noFill/>
                          <a:ln w="9525">
                            <a:noFill/>
                            <a:miter lim="800000"/>
                            <a:headEnd/>
                            <a:tailEnd/>
                          </a:ln>
                        </pic:spPr>
                      </pic:pic>
                    </a:graphicData>
                  </a:graphic>
                </wp:inline>
              </w:drawing>
            </w:r>
            <w:r w:rsidR="0081600F" w:rsidRPr="00E74D1C">
              <w:rPr>
                <w:sz w:val="24"/>
                <w:lang w:val="en-GB"/>
              </w:rPr>
              <w:tab/>
            </w:r>
            <w:r w:rsidR="0081600F" w:rsidRPr="00F05AA0">
              <w:rPr>
                <w:rFonts w:ascii="Arial" w:hAnsi="Arial" w:cs="Arial"/>
                <w:b/>
                <w:sz w:val="36"/>
                <w:szCs w:val="36"/>
                <w:lang w:val="en-GB"/>
              </w:rPr>
              <w:t>CMS</w:t>
            </w:r>
          </w:p>
        </w:tc>
      </w:tr>
      <w:tr w:rsidR="0081600F" w:rsidRPr="00E74D1C" w14:paraId="73C7438D" w14:textId="77777777" w:rsidTr="001206A2">
        <w:trPr>
          <w:trHeight w:val="1518"/>
        </w:trPr>
        <w:tc>
          <w:tcPr>
            <w:tcW w:w="1368" w:type="dxa"/>
            <w:tcBorders>
              <w:top w:val="single" w:sz="12" w:space="0" w:color="auto"/>
              <w:left w:val="nil"/>
              <w:bottom w:val="single" w:sz="12" w:space="0" w:color="auto"/>
              <w:right w:val="nil"/>
            </w:tcBorders>
            <w:tcMar>
              <w:top w:w="85" w:type="dxa"/>
              <w:left w:w="108" w:type="dxa"/>
              <w:bottom w:w="0" w:type="dxa"/>
              <w:right w:w="108" w:type="dxa"/>
            </w:tcMar>
          </w:tcPr>
          <w:p w14:paraId="3130943A" w14:textId="77777777" w:rsidR="0081600F" w:rsidRPr="00E74D1C" w:rsidRDefault="00011D26">
            <w:pPr>
              <w:rPr>
                <w:sz w:val="24"/>
                <w:lang w:val="en-GB"/>
              </w:rPr>
            </w:pPr>
            <w:r>
              <w:rPr>
                <w:noProof/>
                <w:sz w:val="24"/>
              </w:rPr>
              <w:drawing>
                <wp:inline distT="0" distB="0" distL="0" distR="0" wp14:anchorId="65F08A36" wp14:editId="57F321D7">
                  <wp:extent cx="755650" cy="771525"/>
                  <wp:effectExtent l="1905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2533" t="-726" r="-2533" b="-726"/>
                          <a:stretch>
                            <a:fillRect/>
                          </a:stretch>
                        </pic:blipFill>
                        <pic:spPr bwMode="auto">
                          <a:xfrm>
                            <a:off x="0" y="0"/>
                            <a:ext cx="755650" cy="771525"/>
                          </a:xfrm>
                          <a:prstGeom prst="rect">
                            <a:avLst/>
                          </a:prstGeom>
                          <a:noFill/>
                          <a:ln w="9525">
                            <a:noFill/>
                            <a:miter lim="800000"/>
                            <a:headEnd/>
                            <a:tailEnd/>
                          </a:ln>
                        </pic:spPr>
                      </pic:pic>
                    </a:graphicData>
                  </a:graphic>
                </wp:inline>
              </w:drawing>
            </w:r>
          </w:p>
          <w:p w14:paraId="2FB3543B" w14:textId="77777777" w:rsidR="0081600F" w:rsidRPr="00E74D1C" w:rsidRDefault="0081600F">
            <w:pPr>
              <w:rPr>
                <w:sz w:val="24"/>
                <w:lang w:val="en-GB"/>
              </w:rPr>
            </w:pPr>
          </w:p>
        </w:tc>
        <w:tc>
          <w:tcPr>
            <w:tcW w:w="4320" w:type="dxa"/>
            <w:tcBorders>
              <w:top w:val="single" w:sz="12" w:space="0" w:color="auto"/>
              <w:left w:val="nil"/>
              <w:bottom w:val="single" w:sz="12" w:space="0" w:color="auto"/>
              <w:right w:val="nil"/>
            </w:tcBorders>
            <w:tcMar>
              <w:top w:w="85" w:type="dxa"/>
              <w:left w:w="108" w:type="dxa"/>
              <w:bottom w:w="0" w:type="dxa"/>
              <w:right w:w="108" w:type="dxa"/>
            </w:tcMar>
          </w:tcPr>
          <w:p w14:paraId="1CFDD500" w14:textId="77777777" w:rsidR="0008122C" w:rsidRPr="0008122C" w:rsidRDefault="0008122C" w:rsidP="0008122C">
            <w:pPr>
              <w:ind w:left="29"/>
              <w:outlineLvl w:val="1"/>
              <w:rPr>
                <w:rFonts w:ascii="Arial" w:hAnsi="Arial" w:cs="Arial"/>
                <w:b/>
                <w:sz w:val="24"/>
                <w:lang w:val="fr-FR"/>
              </w:rPr>
            </w:pPr>
            <w:r w:rsidRPr="0008122C">
              <w:rPr>
                <w:rFonts w:ascii="Arial" w:hAnsi="Arial" w:cs="Arial"/>
                <w:b/>
                <w:sz w:val="44"/>
                <w:szCs w:val="44"/>
                <w:lang w:val="fr-FR"/>
              </w:rPr>
              <w:t>CONVENTION SUR</w:t>
            </w:r>
          </w:p>
          <w:p w14:paraId="50E132BF" w14:textId="77777777" w:rsidR="0008122C" w:rsidRPr="0008122C" w:rsidRDefault="0008122C" w:rsidP="0008122C">
            <w:pPr>
              <w:ind w:left="34"/>
              <w:outlineLvl w:val="1"/>
              <w:rPr>
                <w:rFonts w:ascii="Arial" w:hAnsi="Arial" w:cs="Arial"/>
                <w:b/>
                <w:sz w:val="24"/>
                <w:lang w:val="fr-FR"/>
              </w:rPr>
            </w:pPr>
            <w:r w:rsidRPr="0008122C">
              <w:rPr>
                <w:rFonts w:ascii="Arial" w:hAnsi="Arial" w:cs="Arial"/>
                <w:b/>
                <w:sz w:val="44"/>
                <w:szCs w:val="44"/>
                <w:lang w:val="fr-FR"/>
              </w:rPr>
              <w:t>LES ESPÈCES</w:t>
            </w:r>
          </w:p>
          <w:p w14:paraId="3A890C8C" w14:textId="6A64A9BE" w:rsidR="0081600F" w:rsidRPr="00C74077" w:rsidRDefault="0008122C" w:rsidP="0008122C">
            <w:pPr>
              <w:pStyle w:val="Heading2"/>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08122C">
              <w:rPr>
                <w:rFonts w:ascii="Arial" w:eastAsia="Calibri" w:hAnsi="Arial" w:cs="Arial"/>
                <w:bCs w:val="0"/>
                <w:sz w:val="44"/>
                <w:szCs w:val="44"/>
                <w:lang w:val="fr-FR"/>
              </w:rPr>
              <w:t>MIGRATRICES</w:t>
            </w:r>
          </w:p>
        </w:tc>
        <w:tc>
          <w:tcPr>
            <w:tcW w:w="3634" w:type="dxa"/>
            <w:tcBorders>
              <w:top w:val="single" w:sz="12" w:space="0" w:color="auto"/>
              <w:left w:val="nil"/>
              <w:bottom w:val="single" w:sz="12" w:space="0" w:color="auto"/>
              <w:right w:val="nil"/>
            </w:tcBorders>
            <w:tcMar>
              <w:top w:w="85" w:type="dxa"/>
              <w:left w:w="108" w:type="dxa"/>
              <w:bottom w:w="0" w:type="dxa"/>
              <w:right w:w="108" w:type="dxa"/>
            </w:tcMar>
          </w:tcPr>
          <w:p w14:paraId="1409AD12" w14:textId="40B2E909" w:rsidR="0081600F" w:rsidRPr="00C74077" w:rsidRDefault="0008122C"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fr-FR"/>
              </w:rPr>
            </w:pPr>
            <w:r w:rsidRPr="00C74077">
              <w:rPr>
                <w:rFonts w:ascii="Arial" w:hAnsi="Arial" w:cs="Arial"/>
                <w:sz w:val="22"/>
                <w:szCs w:val="22"/>
                <w:lang w:val="fr-FR"/>
              </w:rPr>
              <w:t>Distribution: Générale</w:t>
            </w:r>
          </w:p>
          <w:p w14:paraId="2AA2C3E1" w14:textId="77777777" w:rsidR="0008122C" w:rsidRPr="00C74077" w:rsidRDefault="0008122C"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lang w:val="fr-FR"/>
              </w:rPr>
            </w:pPr>
          </w:p>
          <w:p w14:paraId="524157F7" w14:textId="10745D69" w:rsidR="0081600F" w:rsidRPr="0043705E" w:rsidRDefault="0008122C" w:rsidP="000C21B1">
            <w:pPr>
              <w:tabs>
                <w:tab w:val="left" w:pos="5040"/>
                <w:tab w:val="left" w:pos="5760"/>
                <w:tab w:val="left" w:pos="6008"/>
                <w:tab w:val="left" w:pos="6480"/>
                <w:tab w:val="left" w:pos="7200"/>
                <w:tab w:val="left" w:pos="7920"/>
                <w:tab w:val="left" w:pos="8640"/>
              </w:tabs>
              <w:rPr>
                <w:rFonts w:ascii="Arial" w:hAnsi="Arial" w:cs="Arial"/>
                <w:spacing w:val="-4"/>
                <w:sz w:val="22"/>
                <w:szCs w:val="22"/>
                <w:lang w:val="fr-FR"/>
              </w:rPr>
            </w:pPr>
            <w:r w:rsidRPr="0043705E">
              <w:rPr>
                <w:rFonts w:ascii="Arial" w:hAnsi="Arial" w:cs="Arial"/>
                <w:spacing w:val="-4"/>
                <w:sz w:val="22"/>
                <w:szCs w:val="22"/>
                <w:lang w:val="fr-FR"/>
              </w:rPr>
              <w:t>PNUE</w:t>
            </w:r>
            <w:r w:rsidR="00921D62" w:rsidRPr="0043705E">
              <w:rPr>
                <w:rFonts w:ascii="Arial" w:hAnsi="Arial" w:cs="Arial"/>
                <w:spacing w:val="-4"/>
                <w:sz w:val="22"/>
                <w:szCs w:val="22"/>
                <w:lang w:val="fr-FR"/>
              </w:rPr>
              <w:t>/CMS/</w:t>
            </w:r>
            <w:r w:rsidR="00A27BE3" w:rsidRPr="0043705E">
              <w:rPr>
                <w:rFonts w:ascii="Arial" w:hAnsi="Arial" w:cs="Arial"/>
                <w:spacing w:val="-4"/>
                <w:sz w:val="22"/>
                <w:szCs w:val="22"/>
                <w:lang w:val="fr-FR"/>
              </w:rPr>
              <w:t>COP11/Doc.</w:t>
            </w:r>
            <w:r w:rsidR="00820C8E" w:rsidRPr="0043705E">
              <w:rPr>
                <w:rFonts w:ascii="Arial" w:hAnsi="Arial" w:cs="Arial"/>
                <w:spacing w:val="-4"/>
                <w:sz w:val="22"/>
                <w:szCs w:val="22"/>
                <w:lang w:val="fr-FR"/>
              </w:rPr>
              <w:t>24.2</w:t>
            </w:r>
            <w:r w:rsidR="0043705E" w:rsidRPr="0043705E">
              <w:rPr>
                <w:rFonts w:ascii="Arial" w:hAnsi="Arial" w:cs="Arial"/>
                <w:spacing w:val="-4"/>
                <w:sz w:val="22"/>
                <w:szCs w:val="22"/>
                <w:lang w:val="fr-FR"/>
              </w:rPr>
              <w:t>/Rev.1</w:t>
            </w:r>
          </w:p>
          <w:p w14:paraId="2FD88310" w14:textId="6BFA3946" w:rsidR="0081600F" w:rsidRPr="0008122C" w:rsidRDefault="00AE5584" w:rsidP="000C21B1">
            <w:pPr>
              <w:tabs>
                <w:tab w:val="left" w:pos="5040"/>
                <w:tab w:val="left" w:pos="5760"/>
                <w:tab w:val="left" w:pos="6008"/>
                <w:tab w:val="left" w:pos="6480"/>
                <w:tab w:val="left" w:pos="7200"/>
                <w:tab w:val="left" w:pos="7920"/>
                <w:tab w:val="left" w:pos="8640"/>
              </w:tabs>
              <w:rPr>
                <w:rFonts w:ascii="Arial" w:hAnsi="Arial" w:cs="Arial"/>
                <w:sz w:val="22"/>
                <w:lang w:val="fr-FR"/>
              </w:rPr>
            </w:pPr>
            <w:r w:rsidRPr="0008122C">
              <w:rPr>
                <w:rFonts w:ascii="Arial" w:hAnsi="Arial" w:cs="Arial"/>
                <w:sz w:val="22"/>
                <w:szCs w:val="22"/>
                <w:lang w:val="fr-FR"/>
              </w:rPr>
              <w:t>12</w:t>
            </w:r>
            <w:r w:rsidR="009F450E" w:rsidRPr="0008122C">
              <w:rPr>
                <w:rFonts w:ascii="Arial" w:hAnsi="Arial" w:cs="Arial"/>
                <w:sz w:val="22"/>
                <w:szCs w:val="22"/>
                <w:lang w:val="fr-FR"/>
              </w:rPr>
              <w:t xml:space="preserve"> </w:t>
            </w:r>
            <w:r w:rsidR="0008122C" w:rsidRPr="0008122C">
              <w:rPr>
                <w:rFonts w:ascii="Arial" w:hAnsi="Arial" w:cs="Arial"/>
                <w:sz w:val="22"/>
                <w:szCs w:val="22"/>
                <w:lang w:val="fr-FR"/>
              </w:rPr>
              <w:t>s</w:t>
            </w:r>
            <w:r w:rsidR="00954DED" w:rsidRPr="0008122C">
              <w:rPr>
                <w:rFonts w:ascii="Arial" w:hAnsi="Arial" w:cs="Arial"/>
                <w:sz w:val="22"/>
                <w:szCs w:val="22"/>
                <w:lang w:val="fr-FR"/>
              </w:rPr>
              <w:t>eptemb</w:t>
            </w:r>
            <w:r w:rsidR="0008122C" w:rsidRPr="0008122C">
              <w:rPr>
                <w:rFonts w:ascii="Arial" w:hAnsi="Arial" w:cs="Arial"/>
                <w:sz w:val="22"/>
                <w:szCs w:val="22"/>
                <w:lang w:val="fr-FR"/>
              </w:rPr>
              <w:t>re</w:t>
            </w:r>
            <w:r w:rsidR="00954DED" w:rsidRPr="0008122C">
              <w:rPr>
                <w:rFonts w:ascii="Arial" w:hAnsi="Arial" w:cs="Arial"/>
                <w:sz w:val="22"/>
                <w:szCs w:val="22"/>
                <w:lang w:val="fr-FR"/>
              </w:rPr>
              <w:t xml:space="preserve"> </w:t>
            </w:r>
            <w:r w:rsidR="009F450E" w:rsidRPr="0008122C">
              <w:rPr>
                <w:rFonts w:ascii="Arial" w:hAnsi="Arial" w:cs="Arial"/>
                <w:sz w:val="22"/>
                <w:szCs w:val="22"/>
                <w:lang w:val="fr-FR"/>
              </w:rPr>
              <w:t>2014</w:t>
            </w:r>
          </w:p>
          <w:p w14:paraId="2028B89C" w14:textId="77777777" w:rsidR="0081600F" w:rsidRPr="0008122C"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fr-FR"/>
              </w:rPr>
            </w:pPr>
          </w:p>
          <w:p w14:paraId="5A8698E1" w14:textId="77777777" w:rsidR="0008122C" w:rsidRPr="0008122C" w:rsidRDefault="0008122C" w:rsidP="0008122C">
            <w:pPr>
              <w:widowControl/>
              <w:autoSpaceDE/>
              <w:autoSpaceDN/>
              <w:adjustRightInd/>
              <w:rPr>
                <w:rFonts w:ascii="Arial" w:eastAsia="Calibri" w:hAnsi="Arial" w:cs="Arial"/>
                <w:sz w:val="22"/>
                <w:szCs w:val="22"/>
                <w:lang w:val="fr-FR"/>
              </w:rPr>
            </w:pPr>
            <w:r w:rsidRPr="0008122C">
              <w:rPr>
                <w:rFonts w:ascii="Arial" w:eastAsia="Calibri" w:hAnsi="Arial" w:cs="Arial"/>
                <w:sz w:val="22"/>
                <w:szCs w:val="22"/>
                <w:lang w:val="fr-FR"/>
              </w:rPr>
              <w:t>Français</w:t>
            </w:r>
          </w:p>
          <w:p w14:paraId="69AB82D6" w14:textId="70C19147" w:rsidR="0081600F" w:rsidRPr="00F05AA0" w:rsidRDefault="0008122C" w:rsidP="0008122C">
            <w:pPr>
              <w:rPr>
                <w:rFonts w:ascii="Arial" w:hAnsi="Arial" w:cs="Arial"/>
                <w:sz w:val="22"/>
                <w:lang w:val="en-GB"/>
              </w:rPr>
            </w:pPr>
            <w:r w:rsidRPr="0008122C">
              <w:rPr>
                <w:rFonts w:ascii="Arial" w:eastAsia="Calibri" w:hAnsi="Arial" w:cs="Arial"/>
                <w:sz w:val="22"/>
                <w:szCs w:val="22"/>
                <w:lang w:val="fr-FR"/>
              </w:rPr>
              <w:t>Original</w:t>
            </w:r>
            <w:r w:rsidR="009727B4">
              <w:rPr>
                <w:rFonts w:ascii="Arial" w:eastAsia="Calibri" w:hAnsi="Arial" w:cs="Arial"/>
                <w:sz w:val="22"/>
                <w:szCs w:val="22"/>
                <w:lang w:val="fr-FR"/>
              </w:rPr>
              <w:t> </w:t>
            </w:r>
            <w:r w:rsidRPr="0008122C">
              <w:rPr>
                <w:rFonts w:ascii="Arial" w:eastAsia="Calibri" w:hAnsi="Arial" w:cs="Arial"/>
                <w:sz w:val="22"/>
                <w:szCs w:val="22"/>
                <w:lang w:val="fr-FR"/>
              </w:rPr>
              <w:t>: Anglais</w:t>
            </w:r>
          </w:p>
        </w:tc>
      </w:tr>
    </w:tbl>
    <w:p w14:paraId="05208448" w14:textId="77777777" w:rsidR="00BC5607" w:rsidRDefault="00BC5607" w:rsidP="00A93C52">
      <w:pPr>
        <w:pStyle w:val="Heading2"/>
        <w:keepNext w:val="0"/>
        <w:jc w:val="center"/>
        <w:rPr>
          <w:b w:val="0"/>
          <w:bCs w:val="0"/>
          <w:caps/>
          <w:sz w:val="24"/>
        </w:rPr>
      </w:pPr>
    </w:p>
    <w:p w14:paraId="58B12894" w14:textId="77777777" w:rsidR="005B4DC1" w:rsidRPr="005B4DC1" w:rsidRDefault="005B4DC1" w:rsidP="005B4DC1"/>
    <w:p w14:paraId="0954C1D4" w14:textId="77777777" w:rsidR="0080038A" w:rsidRDefault="00F25097" w:rsidP="00A93C52">
      <w:pPr>
        <w:pStyle w:val="Heading2"/>
        <w:keepNext w:val="0"/>
        <w:jc w:val="center"/>
        <w:rPr>
          <w:bCs w:val="0"/>
          <w:caps/>
          <w:sz w:val="24"/>
          <w:lang w:val="fr-FR"/>
        </w:rPr>
      </w:pPr>
      <w:r w:rsidRPr="00F25097">
        <w:rPr>
          <w:bCs w:val="0"/>
          <w:caps/>
          <w:sz w:val="24"/>
          <w:lang w:val="fr-FR"/>
        </w:rPr>
        <w:t>ÉVALUATION DES PROPOSITIONS D</w:t>
      </w:r>
      <w:r w:rsidR="004B2554">
        <w:rPr>
          <w:bCs w:val="0"/>
          <w:caps/>
          <w:sz w:val="24"/>
          <w:lang w:val="fr-FR"/>
        </w:rPr>
        <w:t>’</w:t>
      </w:r>
      <w:r w:rsidRPr="00F25097">
        <w:rPr>
          <w:bCs w:val="0"/>
          <w:caps/>
          <w:sz w:val="24"/>
          <w:lang w:val="fr-FR"/>
        </w:rPr>
        <w:t xml:space="preserve">AMENDEMENT </w:t>
      </w:r>
    </w:p>
    <w:p w14:paraId="7E7B4DB0" w14:textId="139CA621" w:rsidR="00F25097" w:rsidRPr="00F25097" w:rsidRDefault="00F25097" w:rsidP="00A93C52">
      <w:pPr>
        <w:pStyle w:val="Heading2"/>
        <w:keepNext w:val="0"/>
        <w:jc w:val="center"/>
        <w:rPr>
          <w:bCs w:val="0"/>
          <w:caps/>
          <w:sz w:val="24"/>
          <w:lang w:val="fr-FR"/>
        </w:rPr>
      </w:pPr>
      <w:r w:rsidRPr="00F25097">
        <w:rPr>
          <w:bCs w:val="0"/>
          <w:caps/>
          <w:sz w:val="24"/>
          <w:lang w:val="fr-FR"/>
        </w:rPr>
        <w:t>DES ANNEXES DE LA CMS</w:t>
      </w:r>
    </w:p>
    <w:p w14:paraId="730647B8" w14:textId="77777777" w:rsidR="001764E6" w:rsidRPr="00DE4FFF" w:rsidRDefault="001764E6" w:rsidP="001764E6">
      <w:pPr>
        <w:jc w:val="both"/>
        <w:rPr>
          <w:sz w:val="24"/>
          <w:lang w:val="fr-FR"/>
        </w:rPr>
      </w:pPr>
    </w:p>
    <w:p w14:paraId="68E5B051" w14:textId="77777777" w:rsidR="001764E6" w:rsidRPr="00DE4FFF" w:rsidRDefault="001764E6" w:rsidP="001764E6">
      <w:pPr>
        <w:jc w:val="both"/>
        <w:rPr>
          <w:sz w:val="24"/>
          <w:lang w:val="fr-FR"/>
        </w:rPr>
      </w:pPr>
    </w:p>
    <w:p w14:paraId="4EA9F4AF" w14:textId="77777777" w:rsidR="001764E6" w:rsidRPr="00DE4FFF" w:rsidRDefault="001764E6" w:rsidP="001764E6">
      <w:pPr>
        <w:jc w:val="both"/>
        <w:rPr>
          <w:sz w:val="24"/>
          <w:lang w:val="fr-FR"/>
        </w:rPr>
      </w:pPr>
    </w:p>
    <w:p w14:paraId="691CAE92" w14:textId="77777777" w:rsidR="001764E6" w:rsidRPr="00DE4FFF" w:rsidRDefault="001764E6" w:rsidP="001764E6">
      <w:pPr>
        <w:jc w:val="both"/>
        <w:rPr>
          <w:sz w:val="24"/>
          <w:lang w:val="fr-FR"/>
        </w:rPr>
      </w:pPr>
    </w:p>
    <w:p w14:paraId="0C61FE72" w14:textId="236A4E6A" w:rsidR="001764E6" w:rsidRPr="00DE4FFF" w:rsidRDefault="0020764A" w:rsidP="001764E6">
      <w:pPr>
        <w:jc w:val="both"/>
        <w:rPr>
          <w:sz w:val="24"/>
          <w:lang w:val="fr-FR"/>
        </w:rPr>
      </w:pPr>
      <w:r>
        <w:rPr>
          <w:noProof/>
          <w:sz w:val="24"/>
        </w:rPr>
        <mc:AlternateContent>
          <mc:Choice Requires="wps">
            <w:drawing>
              <wp:anchor distT="0" distB="0" distL="114300" distR="114300" simplePos="0" relativeHeight="251657728" behindDoc="0" locked="0" layoutInCell="1" allowOverlap="1" wp14:anchorId="25662859" wp14:editId="3EBED754">
                <wp:simplePos x="0" y="0"/>
                <wp:positionH relativeFrom="column">
                  <wp:posOffset>777295</wp:posOffset>
                </wp:positionH>
                <wp:positionV relativeFrom="paragraph">
                  <wp:posOffset>62423</wp:posOffset>
                </wp:positionV>
                <wp:extent cx="4305300" cy="3275938"/>
                <wp:effectExtent l="0" t="0" r="19050" b="203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75938"/>
                        </a:xfrm>
                        <a:prstGeom prst="rect">
                          <a:avLst/>
                        </a:prstGeom>
                        <a:solidFill>
                          <a:srgbClr val="FFFFFF"/>
                        </a:solidFill>
                        <a:ln w="25400">
                          <a:solidFill>
                            <a:srgbClr val="000000"/>
                          </a:solidFill>
                          <a:miter lim="800000"/>
                          <a:headEnd/>
                          <a:tailEnd/>
                        </a:ln>
                      </wps:spPr>
                      <wps:txbx>
                        <w:txbxContent>
                          <w:p w14:paraId="57B0A7D1" w14:textId="27F89403" w:rsidR="00D25A6C" w:rsidRPr="00BF7A0D" w:rsidRDefault="00D25A6C" w:rsidP="00AE5584">
                            <w:pPr>
                              <w:jc w:val="both"/>
                              <w:rPr>
                                <w:sz w:val="24"/>
                                <w:lang w:val="fr-FR"/>
                              </w:rPr>
                            </w:pPr>
                            <w:r w:rsidRPr="00DE4FFF">
                              <w:rPr>
                                <w:sz w:val="24"/>
                                <w:lang w:val="fr-FR"/>
                              </w:rPr>
                              <w:t>Résumé :</w:t>
                            </w:r>
                          </w:p>
                          <w:p w14:paraId="2F22F15E" w14:textId="77777777" w:rsidR="00D25A6C" w:rsidRPr="00BF7A0D" w:rsidRDefault="00D25A6C" w:rsidP="00AE5584">
                            <w:pPr>
                              <w:jc w:val="both"/>
                              <w:rPr>
                                <w:rFonts w:eastAsia="Calibri"/>
                                <w:sz w:val="24"/>
                                <w:lang w:val="fr-FR"/>
                              </w:rPr>
                            </w:pPr>
                          </w:p>
                          <w:p w14:paraId="00B636C3" w14:textId="5A082066" w:rsidR="00D25A6C" w:rsidRPr="00F25097" w:rsidRDefault="00D25A6C" w:rsidP="009E4421">
                            <w:pPr>
                              <w:widowControl/>
                              <w:jc w:val="both"/>
                              <w:rPr>
                                <w:sz w:val="24"/>
                                <w:lang w:val="fr-FR"/>
                              </w:rPr>
                            </w:pPr>
                            <w:r w:rsidRPr="00BF7A0D">
                              <w:rPr>
                                <w:sz w:val="24"/>
                                <w:lang w:val="fr-FR"/>
                              </w:rPr>
                              <w:t>La 17</w:t>
                            </w:r>
                            <w:r w:rsidRPr="00BF7A0D">
                              <w:rPr>
                                <w:sz w:val="24"/>
                                <w:vertAlign w:val="superscript"/>
                                <w:lang w:val="fr-FR"/>
                              </w:rPr>
                              <w:t>ème</w:t>
                            </w:r>
                            <w:r w:rsidRPr="00BF7A0D">
                              <w:rPr>
                                <w:sz w:val="24"/>
                                <w:lang w:val="fr-FR"/>
                              </w:rPr>
                              <w:t xml:space="preserve"> réunion </w:t>
                            </w:r>
                            <w:r w:rsidRPr="00F25097">
                              <w:rPr>
                                <w:sz w:val="24"/>
                                <w:lang w:val="fr-FR"/>
                              </w:rPr>
                              <w:t>du Conseil scientifique de la CMS (ScC17) et la 10</w:t>
                            </w:r>
                            <w:r>
                              <w:rPr>
                                <w:sz w:val="24"/>
                                <w:vertAlign w:val="superscript"/>
                                <w:lang w:val="fr-FR"/>
                              </w:rPr>
                              <w:t xml:space="preserve">ème </w:t>
                            </w:r>
                            <w:r w:rsidRPr="00F25097">
                              <w:rPr>
                                <w:sz w:val="24"/>
                                <w:lang w:val="fr-FR"/>
                              </w:rPr>
                              <w:t xml:space="preserve">session de la Conférence des Parties (COP10) </w:t>
                            </w:r>
                            <w:r>
                              <w:rPr>
                                <w:sz w:val="24"/>
                                <w:lang w:val="fr-FR"/>
                              </w:rPr>
                              <w:t>ont</w:t>
                            </w:r>
                            <w:r w:rsidRPr="00F25097">
                              <w:rPr>
                                <w:sz w:val="24"/>
                                <w:lang w:val="fr-FR"/>
                              </w:rPr>
                              <w:t xml:space="preserve"> examiné les lignes directrices et les critères d</w:t>
                            </w:r>
                            <w:r>
                              <w:rPr>
                                <w:sz w:val="24"/>
                                <w:lang w:val="fr-FR"/>
                              </w:rPr>
                              <w:t>’</w:t>
                            </w:r>
                            <w:r w:rsidRPr="00F25097">
                              <w:rPr>
                                <w:sz w:val="24"/>
                                <w:lang w:val="fr-FR"/>
                              </w:rPr>
                              <w:t xml:space="preserve">évaluation des propositions </w:t>
                            </w:r>
                            <w:r>
                              <w:rPr>
                                <w:sz w:val="24"/>
                                <w:lang w:val="fr-FR"/>
                              </w:rPr>
                              <w:t>d’amendement</w:t>
                            </w:r>
                            <w:r w:rsidRPr="00F25097">
                              <w:rPr>
                                <w:sz w:val="24"/>
                                <w:lang w:val="fr-FR"/>
                              </w:rPr>
                              <w:t xml:space="preserve"> des annexes de la CMS, et </w:t>
                            </w:r>
                            <w:r>
                              <w:rPr>
                                <w:sz w:val="24"/>
                                <w:lang w:val="fr-FR"/>
                              </w:rPr>
                              <w:t>ont</w:t>
                            </w:r>
                            <w:r w:rsidRPr="00F25097">
                              <w:rPr>
                                <w:sz w:val="24"/>
                                <w:lang w:val="fr-FR"/>
                              </w:rPr>
                              <w:t xml:space="preserve"> demandé au Conseil scientifique de continuer à travailler sur la question et de soumettre les résultats de ses travaux à l</w:t>
                            </w:r>
                            <w:r>
                              <w:rPr>
                                <w:sz w:val="24"/>
                                <w:lang w:val="fr-FR"/>
                              </w:rPr>
                              <w:t>’</w:t>
                            </w:r>
                            <w:r w:rsidRPr="00F25097">
                              <w:rPr>
                                <w:sz w:val="24"/>
                                <w:lang w:val="fr-FR"/>
                              </w:rPr>
                              <w:t xml:space="preserve">examen du Conseil scientifique </w:t>
                            </w:r>
                            <w:r>
                              <w:rPr>
                                <w:sz w:val="24"/>
                                <w:lang w:val="fr-FR"/>
                              </w:rPr>
                              <w:t>à sa 18</w:t>
                            </w:r>
                            <w:r w:rsidRPr="0053332F">
                              <w:rPr>
                                <w:sz w:val="24"/>
                                <w:vertAlign w:val="superscript"/>
                                <w:lang w:val="fr-FR"/>
                              </w:rPr>
                              <w:t>ème</w:t>
                            </w:r>
                            <w:r>
                              <w:rPr>
                                <w:sz w:val="24"/>
                                <w:lang w:val="fr-FR"/>
                              </w:rPr>
                              <w:t xml:space="preserve"> réunion (</w:t>
                            </w:r>
                            <w:r w:rsidRPr="00F25097">
                              <w:rPr>
                                <w:sz w:val="24"/>
                                <w:lang w:val="fr-FR"/>
                              </w:rPr>
                              <w:t>S</w:t>
                            </w:r>
                            <w:r>
                              <w:rPr>
                                <w:sz w:val="24"/>
                                <w:lang w:val="fr-FR"/>
                              </w:rPr>
                              <w:t>c</w:t>
                            </w:r>
                            <w:r w:rsidRPr="00F25097">
                              <w:rPr>
                                <w:sz w:val="24"/>
                                <w:lang w:val="fr-FR"/>
                              </w:rPr>
                              <w:t>C18</w:t>
                            </w:r>
                            <w:r>
                              <w:rPr>
                                <w:sz w:val="24"/>
                                <w:lang w:val="fr-FR"/>
                              </w:rPr>
                              <w:t>)</w:t>
                            </w:r>
                            <w:r w:rsidRPr="00F25097">
                              <w:rPr>
                                <w:sz w:val="24"/>
                                <w:lang w:val="fr-FR"/>
                              </w:rPr>
                              <w:t xml:space="preserve">, et </w:t>
                            </w:r>
                            <w:r>
                              <w:rPr>
                                <w:sz w:val="24"/>
                                <w:lang w:val="fr-FR"/>
                              </w:rPr>
                              <w:t xml:space="preserve">pour </w:t>
                            </w:r>
                            <w:r w:rsidRPr="00F25097">
                              <w:rPr>
                                <w:sz w:val="24"/>
                                <w:lang w:val="fr-FR"/>
                              </w:rPr>
                              <w:t>examen ultérieur par la COP11.</w:t>
                            </w:r>
                          </w:p>
                          <w:p w14:paraId="695F8D16" w14:textId="77777777" w:rsidR="00D25A6C" w:rsidRPr="00F25097" w:rsidRDefault="00D25A6C" w:rsidP="009E4421">
                            <w:pPr>
                              <w:widowControl/>
                              <w:jc w:val="both"/>
                              <w:rPr>
                                <w:sz w:val="24"/>
                                <w:lang w:val="fr-FR"/>
                              </w:rPr>
                            </w:pPr>
                            <w:r w:rsidRPr="00F25097">
                              <w:rPr>
                                <w:sz w:val="24"/>
                                <w:lang w:val="fr-FR"/>
                              </w:rPr>
                              <w:t xml:space="preserve"> </w:t>
                            </w:r>
                          </w:p>
                          <w:p w14:paraId="11B47251" w14:textId="1F329B46" w:rsidR="00D25A6C" w:rsidRPr="00F25097" w:rsidRDefault="00D25A6C" w:rsidP="009E4421">
                            <w:pPr>
                              <w:widowControl/>
                              <w:jc w:val="both"/>
                              <w:rPr>
                                <w:sz w:val="24"/>
                                <w:lang w:val="fr-FR"/>
                              </w:rPr>
                            </w:pPr>
                            <w:r w:rsidRPr="00F25097">
                              <w:rPr>
                                <w:sz w:val="24"/>
                                <w:lang w:val="fr-FR"/>
                              </w:rPr>
                              <w:t>Le présent document comprend un</w:t>
                            </w:r>
                            <w:r>
                              <w:rPr>
                                <w:sz w:val="24"/>
                                <w:lang w:val="fr-FR"/>
                              </w:rPr>
                              <w:t>e analyse</w:t>
                            </w:r>
                            <w:r w:rsidRPr="00F25097">
                              <w:rPr>
                                <w:sz w:val="24"/>
                                <w:lang w:val="fr-FR"/>
                              </w:rPr>
                              <w:t xml:space="preserve"> </w:t>
                            </w:r>
                            <w:r>
                              <w:rPr>
                                <w:sz w:val="24"/>
                                <w:lang w:val="fr-FR"/>
                              </w:rPr>
                              <w:t>de</w:t>
                            </w:r>
                            <w:r w:rsidRPr="00F25097">
                              <w:rPr>
                                <w:sz w:val="24"/>
                                <w:lang w:val="fr-FR"/>
                              </w:rPr>
                              <w:t xml:space="preserve"> l</w:t>
                            </w:r>
                            <w:r>
                              <w:rPr>
                                <w:sz w:val="24"/>
                                <w:lang w:val="fr-FR"/>
                              </w:rPr>
                              <w:t>’</w:t>
                            </w:r>
                            <w:r w:rsidRPr="00F25097">
                              <w:rPr>
                                <w:sz w:val="24"/>
                                <w:lang w:val="fr-FR"/>
                              </w:rPr>
                              <w:t xml:space="preserve">utilisation </w:t>
                            </w:r>
                            <w:r>
                              <w:rPr>
                                <w:sz w:val="24"/>
                                <w:lang w:val="fr-FR"/>
                              </w:rPr>
                              <w:t xml:space="preserve">des </w:t>
                            </w:r>
                            <w:r w:rsidRPr="00F25097">
                              <w:rPr>
                                <w:sz w:val="24"/>
                                <w:lang w:val="fr-FR"/>
                              </w:rPr>
                              <w:t>catégories de la Liste rouge de l</w:t>
                            </w:r>
                            <w:r>
                              <w:rPr>
                                <w:sz w:val="24"/>
                                <w:lang w:val="fr-FR"/>
                              </w:rPr>
                              <w:t>’</w:t>
                            </w:r>
                            <w:r w:rsidRPr="00F25097">
                              <w:rPr>
                                <w:sz w:val="24"/>
                                <w:lang w:val="fr-FR"/>
                              </w:rPr>
                              <w:t>UICN dans l</w:t>
                            </w:r>
                            <w:r>
                              <w:rPr>
                                <w:sz w:val="24"/>
                                <w:lang w:val="fr-FR"/>
                              </w:rPr>
                              <w:t>’</w:t>
                            </w:r>
                            <w:r w:rsidRPr="00F25097">
                              <w:rPr>
                                <w:sz w:val="24"/>
                                <w:lang w:val="fr-FR"/>
                              </w:rPr>
                              <w:t>évaluation des propositions d</w:t>
                            </w:r>
                            <w:r>
                              <w:rPr>
                                <w:sz w:val="24"/>
                                <w:lang w:val="fr-FR"/>
                              </w:rPr>
                              <w:t>’</w:t>
                            </w:r>
                            <w:r w:rsidRPr="00F25097">
                              <w:rPr>
                                <w:sz w:val="24"/>
                                <w:lang w:val="fr-FR"/>
                              </w:rPr>
                              <w:t xml:space="preserve">inscription </w:t>
                            </w:r>
                            <w:r>
                              <w:rPr>
                                <w:sz w:val="24"/>
                                <w:lang w:val="fr-FR"/>
                              </w:rPr>
                              <w:t>aux</w:t>
                            </w:r>
                            <w:r w:rsidRPr="00F25097">
                              <w:rPr>
                                <w:sz w:val="24"/>
                                <w:lang w:val="fr-FR"/>
                              </w:rPr>
                              <w:t xml:space="preserve"> Annexe</w:t>
                            </w:r>
                            <w:r>
                              <w:rPr>
                                <w:sz w:val="24"/>
                                <w:lang w:val="fr-FR"/>
                              </w:rPr>
                              <w:t>s</w:t>
                            </w:r>
                            <w:r w:rsidRPr="00F25097">
                              <w:rPr>
                                <w:sz w:val="24"/>
                                <w:lang w:val="fr-FR"/>
                              </w:rPr>
                              <w:t xml:space="preserve"> I et II de la Convention (ANNEXE I)</w:t>
                            </w:r>
                            <w:r>
                              <w:rPr>
                                <w:sz w:val="24"/>
                                <w:lang w:val="fr-FR"/>
                              </w:rPr>
                              <w:t>,</w:t>
                            </w:r>
                            <w:r w:rsidRPr="00F25097">
                              <w:rPr>
                                <w:sz w:val="24"/>
                                <w:lang w:val="fr-FR"/>
                              </w:rPr>
                              <w:t xml:space="preserve"> </w:t>
                            </w:r>
                            <w:r>
                              <w:rPr>
                                <w:sz w:val="24"/>
                                <w:lang w:val="fr-FR"/>
                              </w:rPr>
                              <w:t>ainsi qu’</w:t>
                            </w:r>
                            <w:r w:rsidRPr="00F25097">
                              <w:rPr>
                                <w:sz w:val="24"/>
                                <w:lang w:val="fr-FR"/>
                              </w:rPr>
                              <w:t>un projet de résolution sur les lignes directrices pour l</w:t>
                            </w:r>
                            <w:r>
                              <w:rPr>
                                <w:sz w:val="24"/>
                                <w:lang w:val="fr-FR"/>
                              </w:rPr>
                              <w:t>’</w:t>
                            </w:r>
                            <w:r w:rsidRPr="00F25097">
                              <w:rPr>
                                <w:sz w:val="24"/>
                                <w:lang w:val="fr-FR"/>
                              </w:rPr>
                              <w:t>évaluation des propositions d</w:t>
                            </w:r>
                            <w:r>
                              <w:rPr>
                                <w:sz w:val="24"/>
                                <w:lang w:val="fr-FR"/>
                              </w:rPr>
                              <w:t>’</w:t>
                            </w:r>
                            <w:r w:rsidRPr="00F25097">
                              <w:rPr>
                                <w:sz w:val="24"/>
                                <w:lang w:val="fr-FR"/>
                              </w:rPr>
                              <w:t xml:space="preserve">inscription </w:t>
                            </w:r>
                            <w:r>
                              <w:rPr>
                                <w:sz w:val="24"/>
                                <w:lang w:val="fr-FR"/>
                              </w:rPr>
                              <w:t xml:space="preserve">aux </w:t>
                            </w:r>
                            <w:r w:rsidRPr="00F25097">
                              <w:rPr>
                                <w:sz w:val="24"/>
                                <w:lang w:val="fr-FR"/>
                              </w:rPr>
                              <w:t>Annexe</w:t>
                            </w:r>
                            <w:r>
                              <w:rPr>
                                <w:sz w:val="24"/>
                                <w:lang w:val="fr-FR"/>
                              </w:rPr>
                              <w:t>s</w:t>
                            </w:r>
                            <w:r w:rsidRPr="00F25097">
                              <w:rPr>
                                <w:sz w:val="24"/>
                                <w:lang w:val="fr-FR"/>
                              </w:rPr>
                              <w:t xml:space="preserve"> I et II de la Convention (ANNEXE II)</w:t>
                            </w:r>
                            <w:r>
                              <w:rPr>
                                <w:sz w:val="24"/>
                                <w:lang w:val="fr-FR"/>
                              </w:rPr>
                              <w:t>,</w:t>
                            </w:r>
                            <w:r w:rsidRPr="00F25097">
                              <w:rPr>
                                <w:sz w:val="24"/>
                                <w:lang w:val="fr-FR"/>
                              </w:rPr>
                              <w:t xml:space="preserve"> soumis à la COP11 pour examen et adoption.</w:t>
                            </w:r>
                          </w:p>
                          <w:p w14:paraId="4003C569" w14:textId="69C33431" w:rsidR="00D25A6C" w:rsidRPr="009E4421" w:rsidRDefault="00D25A6C" w:rsidP="009E4421">
                            <w:pPr>
                              <w:jc w:val="both"/>
                              <w:rPr>
                                <w:sz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2pt;margin-top:4.9pt;width:339pt;height:2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" strokeweight="2pt">
                <v:textbox>
                  <w:txbxContent>
                    <w:p w14:paraId="57B0A7D1" w14:textId="27F89403" w:rsidR="00D25A6C" w:rsidRPr="00BF7A0D" w:rsidRDefault="00D25A6C" w:rsidP="00AE5584">
                      <w:pPr>
                        <w:jc w:val="both"/>
                        <w:rPr>
                          <w:sz w:val="24"/>
                          <w:lang w:val="fr-FR"/>
                        </w:rPr>
                      </w:pPr>
                      <w:r w:rsidRPr="00DE4FFF">
                        <w:rPr>
                          <w:sz w:val="24"/>
                          <w:lang w:val="fr-FR"/>
                        </w:rPr>
                        <w:t>Résumé :</w:t>
                      </w:r>
                    </w:p>
                    <w:p w14:paraId="2F22F15E" w14:textId="77777777" w:rsidR="00D25A6C" w:rsidRPr="00BF7A0D" w:rsidRDefault="00D25A6C" w:rsidP="00AE5584">
                      <w:pPr>
                        <w:jc w:val="both"/>
                        <w:rPr>
                          <w:rFonts w:eastAsia="Calibri"/>
                          <w:sz w:val="24"/>
                          <w:lang w:val="fr-FR"/>
                        </w:rPr>
                      </w:pPr>
                    </w:p>
                    <w:p w14:paraId="00B636C3" w14:textId="5A082066" w:rsidR="00D25A6C" w:rsidRPr="00F25097" w:rsidRDefault="00D25A6C" w:rsidP="009E4421">
                      <w:pPr>
                        <w:widowControl/>
                        <w:jc w:val="both"/>
                        <w:rPr>
                          <w:sz w:val="24"/>
                          <w:lang w:val="fr-FR"/>
                        </w:rPr>
                      </w:pPr>
                      <w:r w:rsidRPr="00BF7A0D">
                        <w:rPr>
                          <w:sz w:val="24"/>
                          <w:lang w:val="fr-FR"/>
                        </w:rPr>
                        <w:t>La 17</w:t>
                      </w:r>
                      <w:r w:rsidRPr="00BF7A0D">
                        <w:rPr>
                          <w:sz w:val="24"/>
                          <w:vertAlign w:val="superscript"/>
                          <w:lang w:val="fr-FR"/>
                        </w:rPr>
                        <w:t>ème</w:t>
                      </w:r>
                      <w:r w:rsidRPr="00BF7A0D">
                        <w:rPr>
                          <w:sz w:val="24"/>
                          <w:lang w:val="fr-FR"/>
                        </w:rPr>
                        <w:t xml:space="preserve"> réunion </w:t>
                      </w:r>
                      <w:r w:rsidRPr="00F25097">
                        <w:rPr>
                          <w:sz w:val="24"/>
                          <w:lang w:val="fr-FR"/>
                        </w:rPr>
                        <w:t>du Conseil scientifique de la CMS (ScC17) et la 10</w:t>
                      </w:r>
                      <w:r>
                        <w:rPr>
                          <w:sz w:val="24"/>
                          <w:vertAlign w:val="superscript"/>
                          <w:lang w:val="fr-FR"/>
                        </w:rPr>
                        <w:t xml:space="preserve">ème </w:t>
                      </w:r>
                      <w:r w:rsidRPr="00F25097">
                        <w:rPr>
                          <w:sz w:val="24"/>
                          <w:lang w:val="fr-FR"/>
                        </w:rPr>
                        <w:t xml:space="preserve">session de la Conférence des Parties (COP10) </w:t>
                      </w:r>
                      <w:r>
                        <w:rPr>
                          <w:sz w:val="24"/>
                          <w:lang w:val="fr-FR"/>
                        </w:rPr>
                        <w:t>ont</w:t>
                      </w:r>
                      <w:r w:rsidRPr="00F25097">
                        <w:rPr>
                          <w:sz w:val="24"/>
                          <w:lang w:val="fr-FR"/>
                        </w:rPr>
                        <w:t xml:space="preserve"> examiné les lignes directrices et les critères d</w:t>
                      </w:r>
                      <w:r>
                        <w:rPr>
                          <w:sz w:val="24"/>
                          <w:lang w:val="fr-FR"/>
                        </w:rPr>
                        <w:t>’</w:t>
                      </w:r>
                      <w:r w:rsidRPr="00F25097">
                        <w:rPr>
                          <w:sz w:val="24"/>
                          <w:lang w:val="fr-FR"/>
                        </w:rPr>
                        <w:t xml:space="preserve">évaluation des propositions </w:t>
                      </w:r>
                      <w:r>
                        <w:rPr>
                          <w:sz w:val="24"/>
                          <w:lang w:val="fr-FR"/>
                        </w:rPr>
                        <w:t>d’amendement</w:t>
                      </w:r>
                      <w:r w:rsidRPr="00F25097">
                        <w:rPr>
                          <w:sz w:val="24"/>
                          <w:lang w:val="fr-FR"/>
                        </w:rPr>
                        <w:t xml:space="preserve"> des annexes de la CMS, et </w:t>
                      </w:r>
                      <w:r>
                        <w:rPr>
                          <w:sz w:val="24"/>
                          <w:lang w:val="fr-FR"/>
                        </w:rPr>
                        <w:t>ont</w:t>
                      </w:r>
                      <w:r w:rsidRPr="00F25097">
                        <w:rPr>
                          <w:sz w:val="24"/>
                          <w:lang w:val="fr-FR"/>
                        </w:rPr>
                        <w:t xml:space="preserve"> demandé au Conseil scientifique de continuer à travailler sur la question et de soumettre les résultats de ses travaux à l</w:t>
                      </w:r>
                      <w:r>
                        <w:rPr>
                          <w:sz w:val="24"/>
                          <w:lang w:val="fr-FR"/>
                        </w:rPr>
                        <w:t>’</w:t>
                      </w:r>
                      <w:r w:rsidRPr="00F25097">
                        <w:rPr>
                          <w:sz w:val="24"/>
                          <w:lang w:val="fr-FR"/>
                        </w:rPr>
                        <w:t xml:space="preserve">examen du Conseil scientifique </w:t>
                      </w:r>
                      <w:r>
                        <w:rPr>
                          <w:sz w:val="24"/>
                          <w:lang w:val="fr-FR"/>
                        </w:rPr>
                        <w:t>à sa 18</w:t>
                      </w:r>
                      <w:r w:rsidRPr="0053332F">
                        <w:rPr>
                          <w:sz w:val="24"/>
                          <w:vertAlign w:val="superscript"/>
                          <w:lang w:val="fr-FR"/>
                        </w:rPr>
                        <w:t>ème</w:t>
                      </w:r>
                      <w:r>
                        <w:rPr>
                          <w:sz w:val="24"/>
                          <w:lang w:val="fr-FR"/>
                        </w:rPr>
                        <w:t xml:space="preserve"> réunion (</w:t>
                      </w:r>
                      <w:r w:rsidRPr="00F25097">
                        <w:rPr>
                          <w:sz w:val="24"/>
                          <w:lang w:val="fr-FR"/>
                        </w:rPr>
                        <w:t>S</w:t>
                      </w:r>
                      <w:r>
                        <w:rPr>
                          <w:sz w:val="24"/>
                          <w:lang w:val="fr-FR"/>
                        </w:rPr>
                        <w:t>c</w:t>
                      </w:r>
                      <w:r w:rsidRPr="00F25097">
                        <w:rPr>
                          <w:sz w:val="24"/>
                          <w:lang w:val="fr-FR"/>
                        </w:rPr>
                        <w:t>C18</w:t>
                      </w:r>
                      <w:r>
                        <w:rPr>
                          <w:sz w:val="24"/>
                          <w:lang w:val="fr-FR"/>
                        </w:rPr>
                        <w:t>)</w:t>
                      </w:r>
                      <w:r w:rsidRPr="00F25097">
                        <w:rPr>
                          <w:sz w:val="24"/>
                          <w:lang w:val="fr-FR"/>
                        </w:rPr>
                        <w:t xml:space="preserve">, et </w:t>
                      </w:r>
                      <w:r>
                        <w:rPr>
                          <w:sz w:val="24"/>
                          <w:lang w:val="fr-FR"/>
                        </w:rPr>
                        <w:t xml:space="preserve">pour </w:t>
                      </w:r>
                      <w:r w:rsidRPr="00F25097">
                        <w:rPr>
                          <w:sz w:val="24"/>
                          <w:lang w:val="fr-FR"/>
                        </w:rPr>
                        <w:t>examen ultérieur par la COP11.</w:t>
                      </w:r>
                    </w:p>
                    <w:p w14:paraId="695F8D16" w14:textId="77777777" w:rsidR="00D25A6C" w:rsidRPr="00F25097" w:rsidRDefault="00D25A6C" w:rsidP="009E4421">
                      <w:pPr>
                        <w:widowControl/>
                        <w:jc w:val="both"/>
                        <w:rPr>
                          <w:sz w:val="24"/>
                          <w:lang w:val="fr-FR"/>
                        </w:rPr>
                      </w:pPr>
                      <w:r w:rsidRPr="00F25097">
                        <w:rPr>
                          <w:sz w:val="24"/>
                          <w:lang w:val="fr-FR"/>
                        </w:rPr>
                        <w:t xml:space="preserve"> </w:t>
                      </w:r>
                    </w:p>
                    <w:p w14:paraId="11B47251" w14:textId="1F329B46" w:rsidR="00D25A6C" w:rsidRPr="00F25097" w:rsidRDefault="00D25A6C" w:rsidP="009E4421">
                      <w:pPr>
                        <w:widowControl/>
                        <w:jc w:val="both"/>
                        <w:rPr>
                          <w:sz w:val="24"/>
                          <w:lang w:val="fr-FR"/>
                        </w:rPr>
                      </w:pPr>
                      <w:r w:rsidRPr="00F25097">
                        <w:rPr>
                          <w:sz w:val="24"/>
                          <w:lang w:val="fr-FR"/>
                        </w:rPr>
                        <w:t>Le présent document comprend un</w:t>
                      </w:r>
                      <w:r>
                        <w:rPr>
                          <w:sz w:val="24"/>
                          <w:lang w:val="fr-FR"/>
                        </w:rPr>
                        <w:t>e analyse</w:t>
                      </w:r>
                      <w:r w:rsidRPr="00F25097">
                        <w:rPr>
                          <w:sz w:val="24"/>
                          <w:lang w:val="fr-FR"/>
                        </w:rPr>
                        <w:t xml:space="preserve"> </w:t>
                      </w:r>
                      <w:r>
                        <w:rPr>
                          <w:sz w:val="24"/>
                          <w:lang w:val="fr-FR"/>
                        </w:rPr>
                        <w:t>de</w:t>
                      </w:r>
                      <w:r w:rsidRPr="00F25097">
                        <w:rPr>
                          <w:sz w:val="24"/>
                          <w:lang w:val="fr-FR"/>
                        </w:rPr>
                        <w:t xml:space="preserve"> l</w:t>
                      </w:r>
                      <w:r>
                        <w:rPr>
                          <w:sz w:val="24"/>
                          <w:lang w:val="fr-FR"/>
                        </w:rPr>
                        <w:t>’</w:t>
                      </w:r>
                      <w:r w:rsidRPr="00F25097">
                        <w:rPr>
                          <w:sz w:val="24"/>
                          <w:lang w:val="fr-FR"/>
                        </w:rPr>
                        <w:t xml:space="preserve">utilisation </w:t>
                      </w:r>
                      <w:r>
                        <w:rPr>
                          <w:sz w:val="24"/>
                          <w:lang w:val="fr-FR"/>
                        </w:rPr>
                        <w:t xml:space="preserve">des </w:t>
                      </w:r>
                      <w:r w:rsidRPr="00F25097">
                        <w:rPr>
                          <w:sz w:val="24"/>
                          <w:lang w:val="fr-FR"/>
                        </w:rPr>
                        <w:t>catégories de la Liste rouge de l</w:t>
                      </w:r>
                      <w:r>
                        <w:rPr>
                          <w:sz w:val="24"/>
                          <w:lang w:val="fr-FR"/>
                        </w:rPr>
                        <w:t>’</w:t>
                      </w:r>
                      <w:r w:rsidRPr="00F25097">
                        <w:rPr>
                          <w:sz w:val="24"/>
                          <w:lang w:val="fr-FR"/>
                        </w:rPr>
                        <w:t>UICN dans l</w:t>
                      </w:r>
                      <w:r>
                        <w:rPr>
                          <w:sz w:val="24"/>
                          <w:lang w:val="fr-FR"/>
                        </w:rPr>
                        <w:t>’</w:t>
                      </w:r>
                      <w:r w:rsidRPr="00F25097">
                        <w:rPr>
                          <w:sz w:val="24"/>
                          <w:lang w:val="fr-FR"/>
                        </w:rPr>
                        <w:t>évaluation des propositions d</w:t>
                      </w:r>
                      <w:r>
                        <w:rPr>
                          <w:sz w:val="24"/>
                          <w:lang w:val="fr-FR"/>
                        </w:rPr>
                        <w:t>’</w:t>
                      </w:r>
                      <w:r w:rsidRPr="00F25097">
                        <w:rPr>
                          <w:sz w:val="24"/>
                          <w:lang w:val="fr-FR"/>
                        </w:rPr>
                        <w:t xml:space="preserve">inscription </w:t>
                      </w:r>
                      <w:r>
                        <w:rPr>
                          <w:sz w:val="24"/>
                          <w:lang w:val="fr-FR"/>
                        </w:rPr>
                        <w:t>aux</w:t>
                      </w:r>
                      <w:r w:rsidRPr="00F25097">
                        <w:rPr>
                          <w:sz w:val="24"/>
                          <w:lang w:val="fr-FR"/>
                        </w:rPr>
                        <w:t xml:space="preserve"> Annexe</w:t>
                      </w:r>
                      <w:r>
                        <w:rPr>
                          <w:sz w:val="24"/>
                          <w:lang w:val="fr-FR"/>
                        </w:rPr>
                        <w:t>s</w:t>
                      </w:r>
                      <w:r w:rsidRPr="00F25097">
                        <w:rPr>
                          <w:sz w:val="24"/>
                          <w:lang w:val="fr-FR"/>
                        </w:rPr>
                        <w:t xml:space="preserve"> I et II de la Convention (ANNEXE I)</w:t>
                      </w:r>
                      <w:r>
                        <w:rPr>
                          <w:sz w:val="24"/>
                          <w:lang w:val="fr-FR"/>
                        </w:rPr>
                        <w:t>,</w:t>
                      </w:r>
                      <w:r w:rsidRPr="00F25097">
                        <w:rPr>
                          <w:sz w:val="24"/>
                          <w:lang w:val="fr-FR"/>
                        </w:rPr>
                        <w:t xml:space="preserve"> </w:t>
                      </w:r>
                      <w:r>
                        <w:rPr>
                          <w:sz w:val="24"/>
                          <w:lang w:val="fr-FR"/>
                        </w:rPr>
                        <w:t>ainsi qu’</w:t>
                      </w:r>
                      <w:r w:rsidRPr="00F25097">
                        <w:rPr>
                          <w:sz w:val="24"/>
                          <w:lang w:val="fr-FR"/>
                        </w:rPr>
                        <w:t>un projet de résolution sur les lignes directrices pour l</w:t>
                      </w:r>
                      <w:r>
                        <w:rPr>
                          <w:sz w:val="24"/>
                          <w:lang w:val="fr-FR"/>
                        </w:rPr>
                        <w:t>’</w:t>
                      </w:r>
                      <w:r w:rsidRPr="00F25097">
                        <w:rPr>
                          <w:sz w:val="24"/>
                          <w:lang w:val="fr-FR"/>
                        </w:rPr>
                        <w:t>évaluation des propositions d</w:t>
                      </w:r>
                      <w:r>
                        <w:rPr>
                          <w:sz w:val="24"/>
                          <w:lang w:val="fr-FR"/>
                        </w:rPr>
                        <w:t>’</w:t>
                      </w:r>
                      <w:r w:rsidRPr="00F25097">
                        <w:rPr>
                          <w:sz w:val="24"/>
                          <w:lang w:val="fr-FR"/>
                        </w:rPr>
                        <w:t xml:space="preserve">inscription </w:t>
                      </w:r>
                      <w:r>
                        <w:rPr>
                          <w:sz w:val="24"/>
                          <w:lang w:val="fr-FR"/>
                        </w:rPr>
                        <w:t xml:space="preserve">aux </w:t>
                      </w:r>
                      <w:r w:rsidRPr="00F25097">
                        <w:rPr>
                          <w:sz w:val="24"/>
                          <w:lang w:val="fr-FR"/>
                        </w:rPr>
                        <w:t>Annexe</w:t>
                      </w:r>
                      <w:r>
                        <w:rPr>
                          <w:sz w:val="24"/>
                          <w:lang w:val="fr-FR"/>
                        </w:rPr>
                        <w:t>s</w:t>
                      </w:r>
                      <w:r w:rsidRPr="00F25097">
                        <w:rPr>
                          <w:sz w:val="24"/>
                          <w:lang w:val="fr-FR"/>
                        </w:rPr>
                        <w:t xml:space="preserve"> I et II de la Convention (ANNEXE II)</w:t>
                      </w:r>
                      <w:r>
                        <w:rPr>
                          <w:sz w:val="24"/>
                          <w:lang w:val="fr-FR"/>
                        </w:rPr>
                        <w:t>,</w:t>
                      </w:r>
                      <w:r w:rsidRPr="00F25097">
                        <w:rPr>
                          <w:sz w:val="24"/>
                          <w:lang w:val="fr-FR"/>
                        </w:rPr>
                        <w:t xml:space="preserve"> soumis à la COP11 pour examen et adoption.</w:t>
                      </w:r>
                    </w:p>
                    <w:p w14:paraId="4003C569" w14:textId="69C33431" w:rsidR="00D25A6C" w:rsidRPr="009E4421" w:rsidRDefault="00D25A6C" w:rsidP="009E4421">
                      <w:pPr>
                        <w:jc w:val="both"/>
                        <w:rPr>
                          <w:sz w:val="24"/>
                          <w:lang w:val="fr-FR"/>
                        </w:rPr>
                      </w:pPr>
                    </w:p>
                  </w:txbxContent>
                </v:textbox>
              </v:shape>
            </w:pict>
          </mc:Fallback>
        </mc:AlternateContent>
      </w:r>
    </w:p>
    <w:p w14:paraId="266B0201" w14:textId="77777777" w:rsidR="001764E6" w:rsidRPr="00DE4FFF" w:rsidRDefault="001764E6" w:rsidP="001764E6">
      <w:pPr>
        <w:jc w:val="both"/>
        <w:rPr>
          <w:sz w:val="24"/>
          <w:lang w:val="fr-FR"/>
        </w:rPr>
      </w:pPr>
    </w:p>
    <w:p w14:paraId="7238A8BE" w14:textId="77777777" w:rsidR="001764E6" w:rsidRPr="00DE4FFF" w:rsidRDefault="001764E6" w:rsidP="001764E6">
      <w:pPr>
        <w:jc w:val="both"/>
        <w:rPr>
          <w:sz w:val="24"/>
          <w:lang w:val="fr-FR"/>
        </w:rPr>
      </w:pPr>
    </w:p>
    <w:p w14:paraId="02AE6CB3" w14:textId="77777777" w:rsidR="001764E6" w:rsidRPr="00DE4FFF" w:rsidRDefault="001764E6" w:rsidP="001764E6">
      <w:pPr>
        <w:jc w:val="both"/>
        <w:rPr>
          <w:sz w:val="24"/>
          <w:lang w:val="fr-FR"/>
        </w:rPr>
      </w:pPr>
    </w:p>
    <w:p w14:paraId="788CC340" w14:textId="77777777" w:rsidR="001764E6" w:rsidRPr="00DE4FFF" w:rsidRDefault="001764E6" w:rsidP="001764E6">
      <w:pPr>
        <w:jc w:val="both"/>
        <w:rPr>
          <w:sz w:val="24"/>
          <w:lang w:val="fr-FR"/>
        </w:rPr>
      </w:pPr>
    </w:p>
    <w:p w14:paraId="4B2B5F3E" w14:textId="77777777" w:rsidR="001764E6" w:rsidRPr="00DE4FFF" w:rsidRDefault="001764E6" w:rsidP="001764E6">
      <w:pPr>
        <w:jc w:val="both"/>
        <w:rPr>
          <w:sz w:val="24"/>
          <w:lang w:val="fr-FR"/>
        </w:rPr>
      </w:pPr>
    </w:p>
    <w:p w14:paraId="59F1BB24" w14:textId="77777777" w:rsidR="001764E6" w:rsidRPr="00DE4FFF" w:rsidRDefault="001764E6" w:rsidP="001764E6">
      <w:pPr>
        <w:jc w:val="both"/>
        <w:rPr>
          <w:sz w:val="24"/>
          <w:lang w:val="fr-FR"/>
        </w:rPr>
      </w:pPr>
    </w:p>
    <w:p w14:paraId="29A54A51" w14:textId="77777777" w:rsidR="001764E6" w:rsidRPr="00DE4FFF" w:rsidRDefault="001764E6" w:rsidP="001764E6">
      <w:pPr>
        <w:jc w:val="both"/>
        <w:rPr>
          <w:sz w:val="24"/>
          <w:lang w:val="fr-FR"/>
        </w:rPr>
      </w:pPr>
    </w:p>
    <w:p w14:paraId="4520D107" w14:textId="77777777" w:rsidR="001764E6" w:rsidRPr="00DE4FFF" w:rsidRDefault="001764E6" w:rsidP="001764E6">
      <w:pPr>
        <w:jc w:val="both"/>
        <w:rPr>
          <w:sz w:val="24"/>
          <w:lang w:val="fr-FR"/>
        </w:rPr>
      </w:pPr>
    </w:p>
    <w:p w14:paraId="16FFDDF3" w14:textId="77777777" w:rsidR="001764E6" w:rsidRPr="00DE4FFF" w:rsidRDefault="001764E6" w:rsidP="001764E6">
      <w:pPr>
        <w:jc w:val="both"/>
        <w:rPr>
          <w:sz w:val="24"/>
          <w:lang w:val="fr-FR"/>
        </w:rPr>
      </w:pPr>
    </w:p>
    <w:p w14:paraId="70F27609" w14:textId="77777777" w:rsidR="001764E6" w:rsidRPr="00DE4FFF" w:rsidRDefault="001764E6" w:rsidP="001764E6">
      <w:pPr>
        <w:jc w:val="both"/>
        <w:rPr>
          <w:sz w:val="24"/>
          <w:lang w:val="fr-FR"/>
        </w:rPr>
      </w:pPr>
    </w:p>
    <w:p w14:paraId="20A73168" w14:textId="77777777" w:rsidR="001764E6" w:rsidRPr="00DE4FFF" w:rsidRDefault="001764E6" w:rsidP="001764E6">
      <w:pPr>
        <w:jc w:val="both"/>
        <w:rPr>
          <w:sz w:val="24"/>
          <w:lang w:val="fr-FR"/>
        </w:rPr>
      </w:pPr>
    </w:p>
    <w:p w14:paraId="491F1941" w14:textId="77777777" w:rsidR="001764E6" w:rsidRPr="00DE4FFF" w:rsidRDefault="001764E6" w:rsidP="001764E6">
      <w:pPr>
        <w:jc w:val="both"/>
        <w:rPr>
          <w:sz w:val="24"/>
          <w:lang w:val="fr-FR"/>
        </w:rPr>
      </w:pPr>
    </w:p>
    <w:p w14:paraId="4918AE7A" w14:textId="77777777" w:rsidR="001764E6" w:rsidRPr="00DE4FFF" w:rsidRDefault="001764E6" w:rsidP="001764E6">
      <w:pPr>
        <w:jc w:val="both"/>
        <w:rPr>
          <w:sz w:val="24"/>
          <w:lang w:val="fr-FR"/>
        </w:rPr>
      </w:pPr>
    </w:p>
    <w:p w14:paraId="52EA4C52" w14:textId="77777777" w:rsidR="001764E6" w:rsidRPr="00DE4FFF" w:rsidRDefault="001764E6" w:rsidP="001764E6">
      <w:pPr>
        <w:jc w:val="both"/>
        <w:rPr>
          <w:sz w:val="24"/>
          <w:lang w:val="fr-FR"/>
        </w:rPr>
      </w:pPr>
    </w:p>
    <w:p w14:paraId="017EC301" w14:textId="77777777" w:rsidR="001764E6" w:rsidRPr="00DE4FFF" w:rsidRDefault="001764E6" w:rsidP="001764E6">
      <w:pPr>
        <w:jc w:val="both"/>
        <w:rPr>
          <w:sz w:val="24"/>
          <w:lang w:val="fr-FR"/>
        </w:rPr>
      </w:pPr>
    </w:p>
    <w:p w14:paraId="770BAF56" w14:textId="77777777" w:rsidR="001764E6" w:rsidRPr="00DE4FFF" w:rsidRDefault="001764E6" w:rsidP="001764E6">
      <w:pPr>
        <w:jc w:val="both"/>
        <w:rPr>
          <w:sz w:val="24"/>
          <w:lang w:val="fr-FR"/>
        </w:rPr>
      </w:pPr>
    </w:p>
    <w:p w14:paraId="16527C5E" w14:textId="77777777" w:rsidR="001764E6" w:rsidRPr="00DE4FFF" w:rsidRDefault="001764E6" w:rsidP="001764E6">
      <w:pPr>
        <w:jc w:val="both"/>
        <w:rPr>
          <w:sz w:val="24"/>
          <w:lang w:val="fr-FR"/>
        </w:rPr>
      </w:pPr>
    </w:p>
    <w:p w14:paraId="6989AF8E" w14:textId="77777777" w:rsidR="00977E0C" w:rsidRPr="00F25097" w:rsidRDefault="00977E0C" w:rsidP="00977E0C">
      <w:pPr>
        <w:widowControl/>
        <w:jc w:val="both"/>
        <w:rPr>
          <w:sz w:val="24"/>
          <w:lang w:val="fr-FR"/>
        </w:rPr>
      </w:pPr>
    </w:p>
    <w:p w14:paraId="7579E668" w14:textId="77777777" w:rsidR="001764E6" w:rsidRPr="00F25097" w:rsidRDefault="001764E6" w:rsidP="001764E6">
      <w:pPr>
        <w:jc w:val="both"/>
        <w:rPr>
          <w:sz w:val="24"/>
          <w:lang w:val="fr-FR"/>
        </w:rPr>
      </w:pPr>
    </w:p>
    <w:p w14:paraId="60890FD4" w14:textId="77777777" w:rsidR="001764E6" w:rsidRPr="00F25097" w:rsidRDefault="001764E6" w:rsidP="001764E6">
      <w:pPr>
        <w:jc w:val="both"/>
        <w:rPr>
          <w:sz w:val="24"/>
          <w:lang w:val="fr-FR"/>
        </w:rPr>
      </w:pPr>
    </w:p>
    <w:p w14:paraId="05310F29" w14:textId="77777777" w:rsidR="001764E6" w:rsidRPr="00F25097" w:rsidRDefault="001764E6" w:rsidP="001764E6">
      <w:pPr>
        <w:jc w:val="both"/>
        <w:rPr>
          <w:sz w:val="24"/>
          <w:lang w:val="fr-FR"/>
        </w:rPr>
      </w:pPr>
    </w:p>
    <w:p w14:paraId="461F54E3" w14:textId="77777777" w:rsidR="001764E6" w:rsidRPr="00F25097" w:rsidRDefault="001764E6" w:rsidP="001764E6">
      <w:pPr>
        <w:jc w:val="both"/>
        <w:rPr>
          <w:sz w:val="24"/>
          <w:lang w:val="fr-FR"/>
        </w:rPr>
        <w:sectPr w:rsidR="001764E6" w:rsidRPr="00F25097" w:rsidSect="00A27BE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134" w:right="1418" w:bottom="1418" w:left="1418" w:header="510" w:footer="510" w:gutter="0"/>
          <w:cols w:space="720"/>
          <w:noEndnote/>
          <w:titlePg/>
        </w:sectPr>
      </w:pPr>
    </w:p>
    <w:p w14:paraId="59B9EAE5" w14:textId="708F28D2" w:rsidR="00977E0C" w:rsidRPr="00977E0C" w:rsidRDefault="00977E0C" w:rsidP="00820C8E">
      <w:pPr>
        <w:pStyle w:val="Heading2"/>
        <w:keepNext w:val="0"/>
        <w:jc w:val="center"/>
        <w:rPr>
          <w:bCs w:val="0"/>
          <w:caps/>
          <w:sz w:val="24"/>
          <w:lang w:val="fr-FR"/>
        </w:rPr>
      </w:pPr>
      <w:r w:rsidRPr="00977E0C">
        <w:rPr>
          <w:bCs w:val="0"/>
          <w:caps/>
          <w:sz w:val="24"/>
          <w:lang w:val="fr-FR"/>
        </w:rPr>
        <w:lastRenderedPageBreak/>
        <w:t xml:space="preserve">Évaluation des propositions </w:t>
      </w:r>
      <w:r w:rsidR="00F25097">
        <w:rPr>
          <w:bCs w:val="0"/>
          <w:caps/>
          <w:sz w:val="24"/>
          <w:lang w:val="fr-FR"/>
        </w:rPr>
        <w:t>d</w:t>
      </w:r>
      <w:r w:rsidR="004B2554">
        <w:rPr>
          <w:bCs w:val="0"/>
          <w:caps/>
          <w:sz w:val="24"/>
          <w:lang w:val="fr-FR"/>
        </w:rPr>
        <w:t>’</w:t>
      </w:r>
      <w:r w:rsidR="00F25097">
        <w:rPr>
          <w:bCs w:val="0"/>
          <w:caps/>
          <w:sz w:val="24"/>
          <w:lang w:val="fr-FR"/>
        </w:rPr>
        <w:t>amendement</w:t>
      </w:r>
      <w:r w:rsidRPr="00977E0C">
        <w:rPr>
          <w:bCs w:val="0"/>
          <w:caps/>
          <w:sz w:val="24"/>
          <w:lang w:val="fr-FR"/>
        </w:rPr>
        <w:t xml:space="preserve"> DES ANNEXES </w:t>
      </w:r>
      <w:r w:rsidR="00F25097">
        <w:rPr>
          <w:bCs w:val="0"/>
          <w:caps/>
          <w:sz w:val="24"/>
          <w:lang w:val="fr-FR"/>
        </w:rPr>
        <w:t xml:space="preserve">de la </w:t>
      </w:r>
      <w:r w:rsidRPr="00977E0C">
        <w:rPr>
          <w:bCs w:val="0"/>
          <w:caps/>
          <w:sz w:val="24"/>
          <w:lang w:val="fr-FR"/>
        </w:rPr>
        <w:t>CMS</w:t>
      </w:r>
    </w:p>
    <w:p w14:paraId="4ADB6594" w14:textId="77777777" w:rsidR="00CC57AD" w:rsidRPr="00DE4FFF" w:rsidRDefault="00CC57AD" w:rsidP="00CC57AD">
      <w:pPr>
        <w:pStyle w:val="Heading2"/>
        <w:keepNext w:val="0"/>
        <w:jc w:val="center"/>
        <w:rPr>
          <w:bCs w:val="0"/>
          <w:caps/>
          <w:sz w:val="24"/>
          <w:lang w:val="fr-FR"/>
        </w:rPr>
      </w:pPr>
    </w:p>
    <w:p w14:paraId="26EAC18C" w14:textId="55236677" w:rsidR="00977E0C" w:rsidRPr="00977E0C" w:rsidRDefault="00977E0C" w:rsidP="00CC57AD">
      <w:pPr>
        <w:jc w:val="center"/>
        <w:rPr>
          <w:i/>
          <w:sz w:val="24"/>
          <w:lang w:val="fr-FR"/>
        </w:rPr>
      </w:pPr>
      <w:r w:rsidRPr="00977E0C">
        <w:rPr>
          <w:i/>
          <w:sz w:val="24"/>
          <w:lang w:val="fr-FR"/>
        </w:rPr>
        <w:t>(Préparé</w:t>
      </w:r>
      <w:r>
        <w:rPr>
          <w:i/>
          <w:sz w:val="24"/>
          <w:lang w:val="fr-FR"/>
        </w:rPr>
        <w:t>e</w:t>
      </w:r>
      <w:r w:rsidRPr="00977E0C">
        <w:rPr>
          <w:i/>
          <w:sz w:val="24"/>
          <w:lang w:val="fr-FR"/>
        </w:rPr>
        <w:t xml:space="preserve"> par le Conseil scientifique de la CMS) </w:t>
      </w:r>
    </w:p>
    <w:p w14:paraId="07FBB113" w14:textId="77777777" w:rsidR="00CC57AD" w:rsidRPr="00DE4FFF" w:rsidRDefault="00CC57AD" w:rsidP="00CC57AD">
      <w:pPr>
        <w:jc w:val="both"/>
        <w:rPr>
          <w:sz w:val="24"/>
          <w:lang w:val="fr-FR"/>
        </w:rPr>
      </w:pPr>
    </w:p>
    <w:p w14:paraId="316900B6" w14:textId="77777777" w:rsidR="00114766" w:rsidRPr="00DE4FFF" w:rsidRDefault="00114766" w:rsidP="00CC57AD">
      <w:pPr>
        <w:jc w:val="both"/>
        <w:rPr>
          <w:sz w:val="24"/>
          <w:lang w:val="fr-FR"/>
        </w:rPr>
      </w:pPr>
    </w:p>
    <w:p w14:paraId="4DD429E0" w14:textId="20A3B7E6" w:rsidR="00977E0C" w:rsidRDefault="00BB6316" w:rsidP="00BB6316">
      <w:pPr>
        <w:widowControl/>
        <w:jc w:val="both"/>
        <w:rPr>
          <w:sz w:val="24"/>
          <w:lang w:val="fr-FR"/>
        </w:rPr>
      </w:pPr>
      <w:r w:rsidRPr="00977E0C">
        <w:rPr>
          <w:rFonts w:eastAsia="Calibri"/>
          <w:sz w:val="24"/>
          <w:lang w:val="fr-FR"/>
        </w:rPr>
        <w:t>1.</w:t>
      </w:r>
      <w:r w:rsidRPr="00977E0C">
        <w:rPr>
          <w:rFonts w:eastAsia="Calibri"/>
          <w:sz w:val="24"/>
          <w:lang w:val="fr-FR"/>
        </w:rPr>
        <w:tab/>
      </w:r>
      <w:r w:rsidR="00977E0C" w:rsidRPr="00977E0C">
        <w:rPr>
          <w:sz w:val="24"/>
          <w:lang w:val="fr-FR"/>
        </w:rPr>
        <w:t>La 17</w:t>
      </w:r>
      <w:r w:rsidR="00977E0C" w:rsidRPr="0053332F">
        <w:rPr>
          <w:sz w:val="24"/>
          <w:vertAlign w:val="superscript"/>
          <w:lang w:val="fr-FR"/>
        </w:rPr>
        <w:t>ème</w:t>
      </w:r>
      <w:r w:rsidR="0053332F">
        <w:rPr>
          <w:sz w:val="24"/>
          <w:lang w:val="fr-FR"/>
        </w:rPr>
        <w:t xml:space="preserve"> </w:t>
      </w:r>
      <w:r w:rsidR="00977E0C" w:rsidRPr="00977E0C">
        <w:rPr>
          <w:sz w:val="24"/>
          <w:lang w:val="fr-FR"/>
        </w:rPr>
        <w:t>réunion du Conseil scientifique de la CMS (ScC17) et la 10</w:t>
      </w:r>
      <w:r w:rsidR="0053332F" w:rsidRPr="0053332F">
        <w:rPr>
          <w:sz w:val="24"/>
          <w:vertAlign w:val="superscript"/>
          <w:lang w:val="fr-FR"/>
        </w:rPr>
        <w:t>ème</w:t>
      </w:r>
      <w:r w:rsidR="0053332F">
        <w:rPr>
          <w:sz w:val="24"/>
          <w:lang w:val="fr-FR"/>
        </w:rPr>
        <w:t xml:space="preserve"> </w:t>
      </w:r>
      <w:r w:rsidR="00977E0C" w:rsidRPr="00977E0C">
        <w:rPr>
          <w:sz w:val="24"/>
          <w:lang w:val="fr-FR"/>
        </w:rPr>
        <w:t xml:space="preserve">session de la Conférence des Parties (COP10) </w:t>
      </w:r>
      <w:r w:rsidR="0053332F">
        <w:rPr>
          <w:sz w:val="24"/>
          <w:lang w:val="fr-FR"/>
        </w:rPr>
        <w:t>ont examiné</w:t>
      </w:r>
      <w:r w:rsidR="00977E0C" w:rsidRPr="00977E0C">
        <w:rPr>
          <w:sz w:val="24"/>
          <w:lang w:val="fr-FR"/>
        </w:rPr>
        <w:t xml:space="preserve"> </w:t>
      </w:r>
      <w:r w:rsidR="0053332F">
        <w:rPr>
          <w:sz w:val="24"/>
          <w:lang w:val="fr-FR"/>
        </w:rPr>
        <w:t>les</w:t>
      </w:r>
      <w:r w:rsidR="00977E0C" w:rsidRPr="00977E0C">
        <w:rPr>
          <w:sz w:val="24"/>
          <w:lang w:val="fr-FR"/>
        </w:rPr>
        <w:t xml:space="preserve"> lignes directrices et </w:t>
      </w:r>
      <w:r w:rsidR="0053332F">
        <w:rPr>
          <w:sz w:val="24"/>
          <w:lang w:val="fr-FR"/>
        </w:rPr>
        <w:t>l</w:t>
      </w:r>
      <w:r w:rsidR="00977E0C" w:rsidRPr="00977E0C">
        <w:rPr>
          <w:sz w:val="24"/>
          <w:lang w:val="fr-FR"/>
        </w:rPr>
        <w:t>es critères pour l</w:t>
      </w:r>
      <w:r w:rsidR="004B2554">
        <w:rPr>
          <w:sz w:val="24"/>
          <w:lang w:val="fr-FR"/>
        </w:rPr>
        <w:t>’</w:t>
      </w:r>
      <w:r w:rsidR="00977E0C" w:rsidRPr="00977E0C">
        <w:rPr>
          <w:sz w:val="24"/>
          <w:lang w:val="fr-FR"/>
        </w:rPr>
        <w:t xml:space="preserve">évaluation des propositions </w:t>
      </w:r>
      <w:r w:rsidR="0053332F">
        <w:rPr>
          <w:sz w:val="24"/>
          <w:lang w:val="fr-FR"/>
        </w:rPr>
        <w:t>d</w:t>
      </w:r>
      <w:r w:rsidR="004B2554">
        <w:rPr>
          <w:sz w:val="24"/>
          <w:lang w:val="fr-FR"/>
        </w:rPr>
        <w:t>’</w:t>
      </w:r>
      <w:r w:rsidR="0053332F">
        <w:rPr>
          <w:sz w:val="24"/>
          <w:lang w:val="fr-FR"/>
        </w:rPr>
        <w:t>amendement</w:t>
      </w:r>
      <w:r w:rsidR="00977E0C" w:rsidRPr="00977E0C">
        <w:rPr>
          <w:sz w:val="24"/>
          <w:lang w:val="fr-FR"/>
        </w:rPr>
        <w:t xml:space="preserve"> des </w:t>
      </w:r>
      <w:r w:rsidR="0074063E">
        <w:rPr>
          <w:sz w:val="24"/>
          <w:lang w:val="fr-FR"/>
        </w:rPr>
        <w:t>a</w:t>
      </w:r>
      <w:r w:rsidR="00977E0C" w:rsidRPr="00977E0C">
        <w:rPr>
          <w:sz w:val="24"/>
          <w:lang w:val="fr-FR"/>
        </w:rPr>
        <w:t xml:space="preserve">nnexes de la CMS, sur la base du document </w:t>
      </w:r>
      <w:r w:rsidR="0053332F">
        <w:rPr>
          <w:sz w:val="24"/>
          <w:lang w:val="fr-FR"/>
        </w:rPr>
        <w:t>PNUE</w:t>
      </w:r>
      <w:r w:rsidR="00977E0C" w:rsidRPr="00977E0C">
        <w:rPr>
          <w:sz w:val="24"/>
          <w:lang w:val="fr-FR"/>
        </w:rPr>
        <w:t xml:space="preserve">/CMS/Conf.10.37 </w:t>
      </w:r>
      <w:r w:rsidR="0053332F" w:rsidRPr="0053332F">
        <w:rPr>
          <w:i/>
          <w:sz w:val="24"/>
          <w:lang w:val="fr-FR"/>
        </w:rPr>
        <w:t>Utilisation des catégories de la Liste Rouge de l</w:t>
      </w:r>
      <w:r w:rsidR="004B2554">
        <w:rPr>
          <w:i/>
          <w:sz w:val="24"/>
          <w:lang w:val="fr-FR"/>
        </w:rPr>
        <w:t>’</w:t>
      </w:r>
      <w:r w:rsidR="0053332F" w:rsidRPr="0053332F">
        <w:rPr>
          <w:i/>
          <w:sz w:val="24"/>
          <w:lang w:val="fr-FR"/>
        </w:rPr>
        <w:t>UICN dans l</w:t>
      </w:r>
      <w:r w:rsidR="004B2554">
        <w:rPr>
          <w:i/>
          <w:sz w:val="24"/>
          <w:lang w:val="fr-FR"/>
        </w:rPr>
        <w:t>’</w:t>
      </w:r>
      <w:r w:rsidR="0053332F" w:rsidRPr="0053332F">
        <w:rPr>
          <w:i/>
          <w:sz w:val="24"/>
          <w:lang w:val="fr-FR"/>
        </w:rPr>
        <w:t>évaluation des propositions d</w:t>
      </w:r>
      <w:r w:rsidR="004B2554">
        <w:rPr>
          <w:i/>
          <w:sz w:val="24"/>
          <w:lang w:val="fr-FR"/>
        </w:rPr>
        <w:t>’</w:t>
      </w:r>
      <w:r w:rsidR="0053332F" w:rsidRPr="0053332F">
        <w:rPr>
          <w:i/>
          <w:sz w:val="24"/>
          <w:lang w:val="fr-FR"/>
        </w:rPr>
        <w:t xml:space="preserve">inscription aux </w:t>
      </w:r>
      <w:r w:rsidR="00F455BC">
        <w:rPr>
          <w:i/>
          <w:sz w:val="24"/>
          <w:lang w:val="fr-FR"/>
        </w:rPr>
        <w:t>a</w:t>
      </w:r>
      <w:r w:rsidR="0053332F" w:rsidRPr="0053332F">
        <w:rPr>
          <w:i/>
          <w:sz w:val="24"/>
          <w:lang w:val="fr-FR"/>
        </w:rPr>
        <w:t>nnexes de la CMS</w:t>
      </w:r>
      <w:r w:rsidR="00977E0C" w:rsidRPr="00977E0C">
        <w:rPr>
          <w:sz w:val="24"/>
          <w:lang w:val="fr-FR"/>
        </w:rPr>
        <w:t xml:space="preserve">. </w:t>
      </w:r>
      <w:r w:rsidR="0053332F">
        <w:rPr>
          <w:sz w:val="24"/>
          <w:lang w:val="fr-FR"/>
        </w:rPr>
        <w:t>L</w:t>
      </w:r>
      <w:r w:rsidR="00842CA7">
        <w:rPr>
          <w:sz w:val="24"/>
          <w:lang w:val="fr-FR"/>
        </w:rPr>
        <w:t>a</w:t>
      </w:r>
      <w:r w:rsidR="0053332F">
        <w:rPr>
          <w:sz w:val="24"/>
          <w:lang w:val="fr-FR"/>
        </w:rPr>
        <w:t xml:space="preserve"> </w:t>
      </w:r>
      <w:r w:rsidR="00977E0C" w:rsidRPr="00977E0C">
        <w:rPr>
          <w:sz w:val="24"/>
          <w:lang w:val="fr-FR"/>
        </w:rPr>
        <w:t xml:space="preserve">ScC17 et </w:t>
      </w:r>
      <w:r w:rsidR="0053332F">
        <w:rPr>
          <w:sz w:val="24"/>
          <w:lang w:val="fr-FR"/>
        </w:rPr>
        <w:t xml:space="preserve">la </w:t>
      </w:r>
      <w:r w:rsidR="00977E0C" w:rsidRPr="00977E0C">
        <w:rPr>
          <w:sz w:val="24"/>
          <w:lang w:val="fr-FR"/>
        </w:rPr>
        <w:t xml:space="preserve">COP10 </w:t>
      </w:r>
      <w:r w:rsidR="0053332F">
        <w:rPr>
          <w:sz w:val="24"/>
          <w:lang w:val="fr-FR"/>
        </w:rPr>
        <w:t xml:space="preserve">ont </w:t>
      </w:r>
      <w:r w:rsidR="00977E0C" w:rsidRPr="00977E0C">
        <w:rPr>
          <w:sz w:val="24"/>
          <w:lang w:val="fr-FR"/>
        </w:rPr>
        <w:t xml:space="preserve">demandé au Conseil scientifique de poursuivre les travaux déjà entrepris, et de soumettre les résultats de </w:t>
      </w:r>
      <w:r w:rsidR="0053332F">
        <w:rPr>
          <w:sz w:val="24"/>
          <w:lang w:val="fr-FR"/>
        </w:rPr>
        <w:t>c</w:t>
      </w:r>
      <w:r w:rsidR="00977E0C" w:rsidRPr="00977E0C">
        <w:rPr>
          <w:sz w:val="24"/>
          <w:lang w:val="fr-FR"/>
        </w:rPr>
        <w:t xml:space="preserve">es travaux dans un délai suffisant pour examen par le Conseil scientifique à </w:t>
      </w:r>
      <w:r w:rsidR="0053332F">
        <w:rPr>
          <w:sz w:val="24"/>
          <w:lang w:val="fr-FR"/>
        </w:rPr>
        <w:t>sa 18</w:t>
      </w:r>
      <w:r w:rsidR="0053332F" w:rsidRPr="0053332F">
        <w:rPr>
          <w:sz w:val="24"/>
          <w:vertAlign w:val="superscript"/>
          <w:lang w:val="fr-FR"/>
        </w:rPr>
        <w:t>ème</w:t>
      </w:r>
      <w:r w:rsidR="0053332F">
        <w:rPr>
          <w:sz w:val="24"/>
          <w:lang w:val="fr-FR"/>
        </w:rPr>
        <w:t xml:space="preserve"> réunion (</w:t>
      </w:r>
      <w:r w:rsidR="00977E0C" w:rsidRPr="00977E0C">
        <w:rPr>
          <w:sz w:val="24"/>
          <w:lang w:val="fr-FR"/>
        </w:rPr>
        <w:t>ScC18</w:t>
      </w:r>
      <w:r w:rsidR="0053332F">
        <w:rPr>
          <w:sz w:val="24"/>
          <w:lang w:val="fr-FR"/>
        </w:rPr>
        <w:t>)</w:t>
      </w:r>
      <w:r w:rsidR="00977E0C" w:rsidRPr="00977E0C">
        <w:rPr>
          <w:sz w:val="24"/>
          <w:lang w:val="fr-FR"/>
        </w:rPr>
        <w:t xml:space="preserve">, et </w:t>
      </w:r>
      <w:r w:rsidR="0053332F">
        <w:rPr>
          <w:sz w:val="24"/>
          <w:lang w:val="fr-FR"/>
        </w:rPr>
        <w:t xml:space="preserve">pour </w:t>
      </w:r>
      <w:r w:rsidR="00977E0C" w:rsidRPr="00977E0C">
        <w:rPr>
          <w:sz w:val="24"/>
          <w:lang w:val="fr-FR"/>
        </w:rPr>
        <w:t>examen ultérieur par la COP11.</w:t>
      </w:r>
    </w:p>
    <w:p w14:paraId="660A766E" w14:textId="77777777" w:rsidR="00BB6316" w:rsidRPr="00842CA7" w:rsidRDefault="00BB6316" w:rsidP="00BB6316">
      <w:pPr>
        <w:widowControl/>
        <w:jc w:val="both"/>
        <w:rPr>
          <w:rFonts w:eastAsia="Calibri"/>
          <w:sz w:val="24"/>
          <w:lang w:val="fr-FR"/>
        </w:rPr>
      </w:pPr>
    </w:p>
    <w:p w14:paraId="00FDDB92" w14:textId="7A45C333" w:rsidR="00977E0C" w:rsidRPr="00C6336E" w:rsidRDefault="00BB6316" w:rsidP="00BB6316">
      <w:pPr>
        <w:pStyle w:val="Default"/>
        <w:jc w:val="both"/>
        <w:rPr>
          <w:rFonts w:eastAsia="Calibri"/>
          <w:lang w:val="fr-FR"/>
        </w:rPr>
      </w:pPr>
      <w:r w:rsidRPr="00C6336E">
        <w:rPr>
          <w:rFonts w:eastAsia="Calibri"/>
          <w:lang w:val="fr-FR"/>
        </w:rPr>
        <w:t>2.</w:t>
      </w:r>
      <w:r w:rsidRPr="00C6336E">
        <w:rPr>
          <w:rFonts w:eastAsia="Calibri"/>
          <w:lang w:val="fr-FR"/>
        </w:rPr>
        <w:tab/>
      </w:r>
      <w:r w:rsidR="00977E0C" w:rsidRPr="00C6336E">
        <w:rPr>
          <w:rFonts w:eastAsia="Calibri"/>
          <w:lang w:val="fr-FR"/>
        </w:rPr>
        <w:t xml:space="preserve">Une version révisée du document </w:t>
      </w:r>
      <w:r w:rsidR="00C6336E" w:rsidRPr="00C6336E">
        <w:rPr>
          <w:rFonts w:eastAsia="Calibri"/>
          <w:lang w:val="fr-FR"/>
        </w:rPr>
        <w:t xml:space="preserve">PNUE/CMS/Conf.10.37 </w:t>
      </w:r>
      <w:r w:rsidR="00977E0C" w:rsidRPr="00C6336E">
        <w:rPr>
          <w:rFonts w:eastAsia="Calibri"/>
          <w:lang w:val="fr-FR"/>
        </w:rPr>
        <w:t>a été produit</w:t>
      </w:r>
      <w:r w:rsidR="00C6336E" w:rsidRPr="00C6336E">
        <w:rPr>
          <w:rFonts w:eastAsia="Calibri"/>
          <w:lang w:val="fr-FR"/>
        </w:rPr>
        <w:t>e</w:t>
      </w:r>
      <w:r w:rsidR="00977E0C" w:rsidRPr="00C6336E">
        <w:rPr>
          <w:rFonts w:eastAsia="Calibri"/>
          <w:lang w:val="fr-FR"/>
        </w:rPr>
        <w:t xml:space="preserve"> par un groupe de travail ad hoc au sein du Conseil scientifique, sous la direction de M. Barry Baker, conseiller nommé </w:t>
      </w:r>
      <w:r w:rsidR="00C6336E">
        <w:rPr>
          <w:rFonts w:eastAsia="Calibri"/>
          <w:lang w:val="fr-FR"/>
        </w:rPr>
        <w:t xml:space="preserve">par la COP </w:t>
      </w:r>
      <w:r w:rsidR="00977E0C" w:rsidRPr="00C6336E">
        <w:rPr>
          <w:rFonts w:eastAsia="Calibri"/>
          <w:lang w:val="fr-FR"/>
        </w:rPr>
        <w:t xml:space="preserve">pour les prises accessoires, et M. </w:t>
      </w:r>
      <w:proofErr w:type="spellStart"/>
      <w:r w:rsidR="00977E0C" w:rsidRPr="00C6336E">
        <w:rPr>
          <w:rFonts w:eastAsia="Calibri"/>
          <w:lang w:val="fr-FR"/>
        </w:rPr>
        <w:t>Zeb</w:t>
      </w:r>
      <w:proofErr w:type="spellEnd"/>
      <w:r w:rsidR="00977E0C" w:rsidRPr="00C6336E">
        <w:rPr>
          <w:rFonts w:eastAsia="Calibri"/>
          <w:lang w:val="fr-FR"/>
        </w:rPr>
        <w:t xml:space="preserve"> Hogan, </w:t>
      </w:r>
      <w:r w:rsidR="00C6336E" w:rsidRPr="00C6336E">
        <w:rPr>
          <w:rFonts w:eastAsia="Calibri"/>
          <w:lang w:val="fr-FR"/>
        </w:rPr>
        <w:t xml:space="preserve">conseiller nommé par la COP </w:t>
      </w:r>
      <w:r w:rsidR="00977E0C" w:rsidRPr="00C6336E">
        <w:rPr>
          <w:rFonts w:eastAsia="Calibri"/>
          <w:lang w:val="fr-FR"/>
        </w:rPr>
        <w:t>pour les poissons, et a été soumis</w:t>
      </w:r>
      <w:r w:rsidR="00C6336E">
        <w:rPr>
          <w:rFonts w:eastAsia="Calibri"/>
          <w:lang w:val="fr-FR"/>
        </w:rPr>
        <w:t>e</w:t>
      </w:r>
      <w:r w:rsidR="00977E0C" w:rsidRPr="00C6336E">
        <w:rPr>
          <w:rFonts w:eastAsia="Calibri"/>
          <w:lang w:val="fr-FR"/>
        </w:rPr>
        <w:t xml:space="preserve"> </w:t>
      </w:r>
      <w:r w:rsidR="00842CA7">
        <w:rPr>
          <w:rFonts w:eastAsia="Calibri"/>
          <w:lang w:val="fr-FR"/>
        </w:rPr>
        <w:t>à la</w:t>
      </w:r>
      <w:r w:rsidR="00C6336E">
        <w:rPr>
          <w:rFonts w:eastAsia="Calibri"/>
          <w:lang w:val="fr-FR"/>
        </w:rPr>
        <w:t xml:space="preserve"> </w:t>
      </w:r>
      <w:r w:rsidR="00977E0C" w:rsidRPr="00C6336E">
        <w:rPr>
          <w:rFonts w:eastAsia="Calibri"/>
          <w:lang w:val="fr-FR"/>
        </w:rPr>
        <w:t xml:space="preserve">ScC18 pour examen (voir </w:t>
      </w:r>
      <w:r w:rsidR="0074063E">
        <w:rPr>
          <w:rFonts w:eastAsia="Calibri"/>
          <w:lang w:val="fr-FR"/>
        </w:rPr>
        <w:t>UNEP</w:t>
      </w:r>
      <w:r w:rsidR="00C6336E" w:rsidRPr="00C6336E">
        <w:rPr>
          <w:rFonts w:eastAsia="Calibri"/>
          <w:lang w:val="fr-FR"/>
        </w:rPr>
        <w:t xml:space="preserve">/CMS/ScC18/Doc.7.1/Rev.1 </w:t>
      </w:r>
      <w:r w:rsidR="00C6336E" w:rsidRPr="00C6336E">
        <w:rPr>
          <w:rFonts w:eastAsia="Calibri"/>
          <w:i/>
          <w:lang w:val="fr-FR"/>
        </w:rPr>
        <w:t>Utilisation des catégories de la Liste rouge de l</w:t>
      </w:r>
      <w:r w:rsidR="004B2554">
        <w:rPr>
          <w:rFonts w:eastAsia="Calibri"/>
          <w:i/>
          <w:lang w:val="fr-FR"/>
        </w:rPr>
        <w:t>’</w:t>
      </w:r>
      <w:r w:rsidR="00C6336E" w:rsidRPr="00C6336E">
        <w:rPr>
          <w:rFonts w:eastAsia="Calibri"/>
          <w:i/>
          <w:lang w:val="fr-FR"/>
        </w:rPr>
        <w:t>UICN dans l</w:t>
      </w:r>
      <w:r w:rsidR="004B2554">
        <w:rPr>
          <w:rFonts w:eastAsia="Calibri"/>
          <w:i/>
          <w:lang w:val="fr-FR"/>
        </w:rPr>
        <w:t>’</w:t>
      </w:r>
      <w:r w:rsidR="00C6336E" w:rsidRPr="00C6336E">
        <w:rPr>
          <w:rFonts w:eastAsia="Calibri"/>
          <w:i/>
          <w:lang w:val="fr-FR"/>
        </w:rPr>
        <w:t>évaluation des propositions d</w:t>
      </w:r>
      <w:r w:rsidR="004B2554">
        <w:rPr>
          <w:rFonts w:eastAsia="Calibri"/>
          <w:i/>
          <w:lang w:val="fr-FR"/>
        </w:rPr>
        <w:t>’</w:t>
      </w:r>
      <w:r w:rsidR="00C6336E" w:rsidRPr="00C6336E">
        <w:rPr>
          <w:rFonts w:eastAsia="Calibri"/>
          <w:i/>
          <w:lang w:val="fr-FR"/>
        </w:rPr>
        <w:t>inscription aux Annexes I et II de la Convention</w:t>
      </w:r>
      <w:r w:rsidR="00C6336E">
        <w:rPr>
          <w:rFonts w:eastAsia="Calibri"/>
          <w:lang w:val="fr-FR"/>
        </w:rPr>
        <w:t>)</w:t>
      </w:r>
      <w:r w:rsidR="00842CA7">
        <w:rPr>
          <w:rFonts w:eastAsia="Calibri"/>
          <w:lang w:val="fr-FR"/>
        </w:rPr>
        <w:t>.</w:t>
      </w:r>
    </w:p>
    <w:p w14:paraId="46BDE316" w14:textId="77777777" w:rsidR="00BB6316" w:rsidRPr="00DE4FFF" w:rsidRDefault="00BB6316" w:rsidP="00BB6316">
      <w:pPr>
        <w:pStyle w:val="Default"/>
        <w:rPr>
          <w:lang w:val="fr-FR"/>
        </w:rPr>
      </w:pPr>
    </w:p>
    <w:p w14:paraId="7523EDBF" w14:textId="084F1F32" w:rsidR="00977E0C" w:rsidRDefault="00BB6316" w:rsidP="00BB6316">
      <w:pPr>
        <w:pStyle w:val="Default"/>
        <w:jc w:val="both"/>
        <w:rPr>
          <w:lang w:val="fr-FR"/>
        </w:rPr>
      </w:pPr>
      <w:r w:rsidRPr="00977E0C">
        <w:rPr>
          <w:lang w:val="fr-FR"/>
        </w:rPr>
        <w:t>3.</w:t>
      </w:r>
      <w:r w:rsidRPr="00977E0C">
        <w:rPr>
          <w:lang w:val="fr-FR"/>
        </w:rPr>
        <w:tab/>
      </w:r>
      <w:r w:rsidR="00977E0C" w:rsidRPr="00977E0C">
        <w:rPr>
          <w:lang w:val="fr-FR"/>
        </w:rPr>
        <w:t>Une nouvelle version révisée de Doc.7.1 a été produit</w:t>
      </w:r>
      <w:r w:rsidR="00C6336E">
        <w:rPr>
          <w:lang w:val="fr-FR"/>
        </w:rPr>
        <w:t>e</w:t>
      </w:r>
      <w:r w:rsidR="00977E0C" w:rsidRPr="00977E0C">
        <w:rPr>
          <w:lang w:val="fr-FR"/>
        </w:rPr>
        <w:t xml:space="preserve"> </w:t>
      </w:r>
      <w:r w:rsidR="00842CA7" w:rsidRPr="00977E0C">
        <w:rPr>
          <w:lang w:val="fr-FR"/>
        </w:rPr>
        <w:t xml:space="preserve">par M. Baker </w:t>
      </w:r>
      <w:r w:rsidR="00842CA7">
        <w:rPr>
          <w:lang w:val="fr-FR"/>
        </w:rPr>
        <w:t>au</w:t>
      </w:r>
      <w:r w:rsidR="00977E0C" w:rsidRPr="00977E0C">
        <w:rPr>
          <w:lang w:val="fr-FR"/>
        </w:rPr>
        <w:t xml:space="preserve"> cours de </w:t>
      </w:r>
      <w:r w:rsidR="00842CA7">
        <w:rPr>
          <w:lang w:val="fr-FR"/>
        </w:rPr>
        <w:t>la</w:t>
      </w:r>
      <w:r w:rsidR="00977E0C" w:rsidRPr="00977E0C">
        <w:rPr>
          <w:lang w:val="fr-FR"/>
        </w:rPr>
        <w:t xml:space="preserve"> ScC18 sur la base des observations formulées lors de la réunion, et a été mis</w:t>
      </w:r>
      <w:r w:rsidR="00C6336E">
        <w:rPr>
          <w:lang w:val="fr-FR"/>
        </w:rPr>
        <w:t>e</w:t>
      </w:r>
      <w:r w:rsidR="00977E0C" w:rsidRPr="00977E0C">
        <w:rPr>
          <w:lang w:val="fr-FR"/>
        </w:rPr>
        <w:t xml:space="preserve"> à disposition </w:t>
      </w:r>
      <w:r w:rsidR="00C6336E">
        <w:rPr>
          <w:lang w:val="fr-FR"/>
        </w:rPr>
        <w:t>des</w:t>
      </w:r>
      <w:r w:rsidR="00C6336E" w:rsidRPr="00977E0C">
        <w:rPr>
          <w:lang w:val="fr-FR"/>
        </w:rPr>
        <w:t xml:space="preserve"> participants </w:t>
      </w:r>
      <w:r w:rsidR="00842CA7">
        <w:rPr>
          <w:lang w:val="fr-FR"/>
        </w:rPr>
        <w:t>à la</w:t>
      </w:r>
      <w:r w:rsidR="00C6336E">
        <w:rPr>
          <w:lang w:val="fr-FR"/>
        </w:rPr>
        <w:t xml:space="preserve"> </w:t>
      </w:r>
      <w:r w:rsidR="00C6336E" w:rsidRPr="00977E0C">
        <w:rPr>
          <w:lang w:val="fr-FR"/>
        </w:rPr>
        <w:t xml:space="preserve">ScC18 </w:t>
      </w:r>
      <w:r w:rsidR="00977E0C" w:rsidRPr="00977E0C">
        <w:rPr>
          <w:lang w:val="fr-FR"/>
        </w:rPr>
        <w:t xml:space="preserve">pour consultation après la session </w:t>
      </w:r>
      <w:r w:rsidR="00C6336E">
        <w:rPr>
          <w:lang w:val="fr-FR"/>
        </w:rPr>
        <w:t>(</w:t>
      </w:r>
      <w:r w:rsidR="00977E0C" w:rsidRPr="00977E0C">
        <w:rPr>
          <w:lang w:val="fr-FR"/>
        </w:rPr>
        <w:t xml:space="preserve">document </w:t>
      </w:r>
      <w:r w:rsidR="00C6336E" w:rsidRPr="00C6336E">
        <w:rPr>
          <w:lang w:val="fr-FR"/>
        </w:rPr>
        <w:t>UNEP/CMS/ScC18/Doc.7.1/Rev.2</w:t>
      </w:r>
      <w:r w:rsidR="00C6336E">
        <w:rPr>
          <w:lang w:val="fr-FR"/>
        </w:rPr>
        <w:t>)</w:t>
      </w:r>
      <w:r w:rsidR="00977E0C" w:rsidRPr="00977E0C">
        <w:rPr>
          <w:lang w:val="fr-FR"/>
        </w:rPr>
        <w:t>. La version finale du document, approuvé</w:t>
      </w:r>
      <w:r w:rsidR="00C6336E">
        <w:rPr>
          <w:lang w:val="fr-FR"/>
        </w:rPr>
        <w:t>e</w:t>
      </w:r>
      <w:r w:rsidR="00977E0C" w:rsidRPr="00977E0C">
        <w:rPr>
          <w:lang w:val="fr-FR"/>
        </w:rPr>
        <w:t xml:space="preserve"> par le Groupe de travail</w:t>
      </w:r>
      <w:r w:rsidR="00842CA7">
        <w:rPr>
          <w:lang w:val="fr-FR"/>
        </w:rPr>
        <w:t>,</w:t>
      </w:r>
      <w:r w:rsidR="00977E0C" w:rsidRPr="00977E0C">
        <w:rPr>
          <w:lang w:val="fr-FR"/>
        </w:rPr>
        <w:t xml:space="preserve"> et approuvé</w:t>
      </w:r>
      <w:r w:rsidR="00BF4956">
        <w:rPr>
          <w:lang w:val="fr-FR"/>
        </w:rPr>
        <w:t>e</w:t>
      </w:r>
      <w:r w:rsidR="00977E0C" w:rsidRPr="00977E0C">
        <w:rPr>
          <w:lang w:val="fr-FR"/>
        </w:rPr>
        <w:t xml:space="preserve"> pour soumission à la COP11 par le </w:t>
      </w:r>
      <w:r w:rsidR="00C6336E">
        <w:rPr>
          <w:lang w:val="fr-FR"/>
        </w:rPr>
        <w:t>P</w:t>
      </w:r>
      <w:r w:rsidR="00977E0C" w:rsidRPr="00977E0C">
        <w:rPr>
          <w:lang w:val="fr-FR"/>
        </w:rPr>
        <w:t>résident du Conseil scientifique, est joint</w:t>
      </w:r>
      <w:r w:rsidR="00BF4956">
        <w:rPr>
          <w:lang w:val="fr-FR"/>
        </w:rPr>
        <w:t>e</w:t>
      </w:r>
      <w:r w:rsidR="00977E0C" w:rsidRPr="00977E0C">
        <w:rPr>
          <w:lang w:val="fr-FR"/>
        </w:rPr>
        <w:t xml:space="preserve"> à la présente note </w:t>
      </w:r>
      <w:r w:rsidR="00F9480E">
        <w:rPr>
          <w:lang w:val="fr-FR"/>
        </w:rPr>
        <w:t xml:space="preserve">en </w:t>
      </w:r>
      <w:r w:rsidR="00EA53A8">
        <w:rPr>
          <w:lang w:val="fr-FR"/>
        </w:rPr>
        <w:t>ANNEXE</w:t>
      </w:r>
      <w:r w:rsidR="00977E0C" w:rsidRPr="00977E0C">
        <w:rPr>
          <w:lang w:val="fr-FR"/>
        </w:rPr>
        <w:t xml:space="preserve"> I.</w:t>
      </w:r>
    </w:p>
    <w:p w14:paraId="6CA9BAE5" w14:textId="77777777" w:rsidR="00BB6316" w:rsidRPr="00DE4FFF" w:rsidRDefault="00BB6316" w:rsidP="00BB6316">
      <w:pPr>
        <w:pStyle w:val="Default"/>
        <w:jc w:val="both"/>
        <w:rPr>
          <w:lang w:val="fr-FR"/>
        </w:rPr>
      </w:pPr>
    </w:p>
    <w:p w14:paraId="1A69380A" w14:textId="5FCDF654" w:rsidR="00977E0C" w:rsidRDefault="00BB6316" w:rsidP="00BB6316">
      <w:pPr>
        <w:pStyle w:val="Default"/>
        <w:jc w:val="both"/>
        <w:rPr>
          <w:color w:val="auto"/>
          <w:lang w:val="fr-FR"/>
        </w:rPr>
      </w:pPr>
      <w:r w:rsidRPr="00977E0C">
        <w:rPr>
          <w:lang w:val="fr-FR"/>
        </w:rPr>
        <w:t>4.</w:t>
      </w:r>
      <w:r w:rsidRPr="00977E0C">
        <w:rPr>
          <w:lang w:val="fr-FR"/>
        </w:rPr>
        <w:tab/>
      </w:r>
      <w:r w:rsidR="00BF4956">
        <w:rPr>
          <w:lang w:val="fr-FR"/>
        </w:rPr>
        <w:t xml:space="preserve">Le </w:t>
      </w:r>
      <w:r w:rsidR="00977E0C" w:rsidRPr="00977E0C">
        <w:rPr>
          <w:color w:val="auto"/>
          <w:lang w:val="fr-FR"/>
        </w:rPr>
        <w:t xml:space="preserve">ScC18 </w:t>
      </w:r>
      <w:r w:rsidR="00BF4956">
        <w:rPr>
          <w:color w:val="auto"/>
          <w:lang w:val="fr-FR"/>
        </w:rPr>
        <w:t>a</w:t>
      </w:r>
      <w:r w:rsidR="00977E0C" w:rsidRPr="00977E0C">
        <w:rPr>
          <w:color w:val="auto"/>
          <w:lang w:val="fr-FR"/>
        </w:rPr>
        <w:t xml:space="preserve"> également convenu qu</w:t>
      </w:r>
      <w:r w:rsidR="004B2554">
        <w:rPr>
          <w:color w:val="auto"/>
          <w:lang w:val="fr-FR"/>
        </w:rPr>
        <w:t>’</w:t>
      </w:r>
      <w:r w:rsidR="00977E0C" w:rsidRPr="00977E0C">
        <w:rPr>
          <w:color w:val="auto"/>
          <w:lang w:val="fr-FR"/>
        </w:rPr>
        <w:t xml:space="preserve">un projet de résolution </w:t>
      </w:r>
      <w:r w:rsidR="00F9480E">
        <w:rPr>
          <w:color w:val="auto"/>
          <w:lang w:val="fr-FR"/>
        </w:rPr>
        <w:t xml:space="preserve">portant </w:t>
      </w:r>
      <w:r w:rsidR="00977E0C" w:rsidRPr="00977E0C">
        <w:rPr>
          <w:color w:val="auto"/>
          <w:lang w:val="fr-FR"/>
        </w:rPr>
        <w:t>sur l</w:t>
      </w:r>
      <w:r w:rsidR="004B2554">
        <w:rPr>
          <w:color w:val="auto"/>
          <w:lang w:val="fr-FR"/>
        </w:rPr>
        <w:t>’</w:t>
      </w:r>
      <w:r w:rsidR="00977E0C" w:rsidRPr="00977E0C">
        <w:rPr>
          <w:color w:val="auto"/>
          <w:lang w:val="fr-FR"/>
        </w:rPr>
        <w:t xml:space="preserve">évaluation des propositions </w:t>
      </w:r>
      <w:r w:rsidR="00BF4956">
        <w:rPr>
          <w:color w:val="auto"/>
          <w:lang w:val="fr-FR"/>
        </w:rPr>
        <w:t>d</w:t>
      </w:r>
      <w:r w:rsidR="004B2554">
        <w:rPr>
          <w:color w:val="auto"/>
          <w:lang w:val="fr-FR"/>
        </w:rPr>
        <w:t>’</w:t>
      </w:r>
      <w:r w:rsidR="00BF4956">
        <w:rPr>
          <w:color w:val="auto"/>
          <w:lang w:val="fr-FR"/>
        </w:rPr>
        <w:t>amendement</w:t>
      </w:r>
      <w:r w:rsidR="00977E0C" w:rsidRPr="00977E0C">
        <w:rPr>
          <w:color w:val="auto"/>
          <w:lang w:val="fr-FR"/>
        </w:rPr>
        <w:t xml:space="preserve"> des annexes de la CMS devrait être soumis à la COP11, et a demandé au Groupe de travail </w:t>
      </w:r>
      <w:r w:rsidR="00BF4956">
        <w:rPr>
          <w:color w:val="auto"/>
          <w:lang w:val="fr-FR"/>
        </w:rPr>
        <w:t>de</w:t>
      </w:r>
      <w:r w:rsidR="00977E0C" w:rsidRPr="00977E0C">
        <w:rPr>
          <w:color w:val="auto"/>
          <w:lang w:val="fr-FR"/>
        </w:rPr>
        <w:t xml:space="preserve"> </w:t>
      </w:r>
      <w:r w:rsidR="00BF4956">
        <w:rPr>
          <w:color w:val="auto"/>
          <w:lang w:val="fr-FR"/>
        </w:rPr>
        <w:t>l</w:t>
      </w:r>
      <w:r w:rsidR="004B2554">
        <w:rPr>
          <w:color w:val="auto"/>
          <w:lang w:val="fr-FR"/>
        </w:rPr>
        <w:t>’</w:t>
      </w:r>
      <w:r w:rsidR="00BF4956">
        <w:rPr>
          <w:color w:val="auto"/>
          <w:lang w:val="fr-FR"/>
        </w:rPr>
        <w:t>élaborer</w:t>
      </w:r>
      <w:r w:rsidR="00977E0C" w:rsidRPr="00977E0C">
        <w:rPr>
          <w:color w:val="auto"/>
          <w:lang w:val="fr-FR"/>
        </w:rPr>
        <w:t xml:space="preserve"> avec </w:t>
      </w:r>
      <w:r w:rsidR="00BF4956">
        <w:rPr>
          <w:color w:val="auto"/>
          <w:lang w:val="fr-FR"/>
        </w:rPr>
        <w:t>l</w:t>
      </w:r>
      <w:r w:rsidR="004B2554">
        <w:rPr>
          <w:color w:val="auto"/>
          <w:lang w:val="fr-FR"/>
        </w:rPr>
        <w:t>’</w:t>
      </w:r>
      <w:r w:rsidR="00BF4956">
        <w:rPr>
          <w:color w:val="auto"/>
          <w:lang w:val="fr-FR"/>
        </w:rPr>
        <w:t>assistance</w:t>
      </w:r>
      <w:r w:rsidR="00977E0C" w:rsidRPr="00977E0C">
        <w:rPr>
          <w:color w:val="auto"/>
          <w:lang w:val="fr-FR"/>
        </w:rPr>
        <w:t xml:space="preserve"> du Secrétariat, le cas échéant. Le projet de résolution, </w:t>
      </w:r>
      <w:r w:rsidR="00BF4956">
        <w:rPr>
          <w:color w:val="auto"/>
          <w:lang w:val="fr-FR"/>
        </w:rPr>
        <w:t>élaboré</w:t>
      </w:r>
      <w:r w:rsidR="00977E0C" w:rsidRPr="00977E0C">
        <w:rPr>
          <w:color w:val="auto"/>
          <w:lang w:val="fr-FR"/>
        </w:rPr>
        <w:t xml:space="preserve"> par le Groupe de travail et approuvé par le </w:t>
      </w:r>
      <w:r w:rsidR="00BF4956">
        <w:rPr>
          <w:color w:val="auto"/>
          <w:lang w:val="fr-FR"/>
        </w:rPr>
        <w:t>P</w:t>
      </w:r>
      <w:r w:rsidR="00977E0C" w:rsidRPr="00977E0C">
        <w:rPr>
          <w:color w:val="auto"/>
          <w:lang w:val="fr-FR"/>
        </w:rPr>
        <w:t xml:space="preserve">résident du Conseil scientifique pour </w:t>
      </w:r>
      <w:r w:rsidR="00BF4956">
        <w:rPr>
          <w:color w:val="auto"/>
          <w:lang w:val="fr-FR"/>
        </w:rPr>
        <w:t>soumission</w:t>
      </w:r>
      <w:r w:rsidR="00977E0C" w:rsidRPr="00977E0C">
        <w:rPr>
          <w:color w:val="auto"/>
          <w:lang w:val="fr-FR"/>
        </w:rPr>
        <w:t xml:space="preserve"> à la COP11, </w:t>
      </w:r>
      <w:r w:rsidR="00F9480E">
        <w:rPr>
          <w:color w:val="auto"/>
          <w:lang w:val="fr-FR"/>
        </w:rPr>
        <w:t xml:space="preserve">est joint à la présente note en </w:t>
      </w:r>
      <w:r w:rsidR="00EA53A8">
        <w:rPr>
          <w:color w:val="auto"/>
          <w:lang w:val="fr-FR"/>
        </w:rPr>
        <w:t>ANNEXE</w:t>
      </w:r>
      <w:r w:rsidR="00977E0C" w:rsidRPr="00977E0C">
        <w:rPr>
          <w:color w:val="auto"/>
          <w:lang w:val="fr-FR"/>
        </w:rPr>
        <w:t xml:space="preserve"> II.</w:t>
      </w:r>
    </w:p>
    <w:p w14:paraId="65D377DA" w14:textId="77777777" w:rsidR="00BB6316" w:rsidRPr="00DE4FFF" w:rsidRDefault="00BB6316" w:rsidP="00BB6316">
      <w:pPr>
        <w:pStyle w:val="Default"/>
        <w:jc w:val="both"/>
        <w:rPr>
          <w:lang w:val="fr-FR"/>
        </w:rPr>
      </w:pPr>
    </w:p>
    <w:p w14:paraId="3103B9B6" w14:textId="33023F0F" w:rsidR="00977E0C" w:rsidRDefault="00BB6316" w:rsidP="00BB6316">
      <w:pPr>
        <w:pStyle w:val="Default"/>
        <w:jc w:val="both"/>
        <w:rPr>
          <w:color w:val="auto"/>
          <w:lang w:val="fr-FR"/>
        </w:rPr>
      </w:pPr>
      <w:r w:rsidRPr="00977E0C">
        <w:rPr>
          <w:lang w:val="fr-FR"/>
        </w:rPr>
        <w:t>5.</w:t>
      </w:r>
      <w:r w:rsidRPr="00977E0C">
        <w:rPr>
          <w:lang w:val="fr-FR"/>
        </w:rPr>
        <w:tab/>
      </w:r>
      <w:r w:rsidR="00977E0C" w:rsidRPr="00977E0C">
        <w:rPr>
          <w:color w:val="auto"/>
          <w:lang w:val="fr-FR"/>
        </w:rPr>
        <w:t xml:space="preserve">Un élément spécifique du projet de résolution </w:t>
      </w:r>
      <w:r w:rsidR="00F455BC">
        <w:rPr>
          <w:color w:val="auto"/>
          <w:lang w:val="fr-FR"/>
        </w:rPr>
        <w:t>a fait débat</w:t>
      </w:r>
      <w:r w:rsidR="00977E0C" w:rsidRPr="00977E0C">
        <w:rPr>
          <w:color w:val="auto"/>
          <w:lang w:val="fr-FR"/>
        </w:rPr>
        <w:t xml:space="preserve"> au sein du groupe de travail</w:t>
      </w:r>
      <w:r w:rsidR="00F455BC">
        <w:rPr>
          <w:color w:val="auto"/>
          <w:lang w:val="fr-FR"/>
        </w:rPr>
        <w:t>, il s’agissait de</w:t>
      </w:r>
      <w:r w:rsidR="00977E0C" w:rsidRPr="00977E0C">
        <w:rPr>
          <w:color w:val="auto"/>
          <w:lang w:val="fr-FR"/>
        </w:rPr>
        <w:t xml:space="preserve"> savoir si </w:t>
      </w:r>
      <w:r w:rsidR="00BF4956">
        <w:rPr>
          <w:color w:val="auto"/>
          <w:lang w:val="fr-FR"/>
        </w:rPr>
        <w:t>l</w:t>
      </w:r>
      <w:r w:rsidR="004B2554">
        <w:rPr>
          <w:color w:val="auto"/>
          <w:lang w:val="fr-FR"/>
        </w:rPr>
        <w:t>’</w:t>
      </w:r>
      <w:r w:rsidR="00BF4956">
        <w:rPr>
          <w:color w:val="auto"/>
          <w:lang w:val="fr-FR"/>
        </w:rPr>
        <w:t>orientation fournie</w:t>
      </w:r>
      <w:r w:rsidR="00977E0C" w:rsidRPr="00977E0C">
        <w:rPr>
          <w:color w:val="auto"/>
          <w:lang w:val="fr-FR"/>
        </w:rPr>
        <w:t xml:space="preserve"> </w:t>
      </w:r>
      <w:r w:rsidR="00BF4956">
        <w:rPr>
          <w:color w:val="auto"/>
          <w:lang w:val="fr-FR"/>
        </w:rPr>
        <w:t>à travers</w:t>
      </w:r>
      <w:r w:rsidR="00977E0C" w:rsidRPr="00977E0C">
        <w:rPr>
          <w:color w:val="auto"/>
          <w:lang w:val="fr-FR"/>
        </w:rPr>
        <w:t xml:space="preserve"> la résolution </w:t>
      </w:r>
      <w:r w:rsidR="00F455BC">
        <w:rPr>
          <w:color w:val="auto"/>
          <w:lang w:val="fr-FR"/>
        </w:rPr>
        <w:t>et</w:t>
      </w:r>
      <w:r w:rsidR="00977E0C" w:rsidRPr="00977E0C">
        <w:rPr>
          <w:color w:val="auto"/>
          <w:lang w:val="fr-FR"/>
        </w:rPr>
        <w:t xml:space="preserve"> </w:t>
      </w:r>
      <w:r w:rsidR="00BF4956">
        <w:rPr>
          <w:color w:val="auto"/>
          <w:lang w:val="fr-FR"/>
        </w:rPr>
        <w:t>les détails complémentaires présentés</w:t>
      </w:r>
      <w:r w:rsidR="00977E0C" w:rsidRPr="00977E0C">
        <w:rPr>
          <w:color w:val="auto"/>
          <w:lang w:val="fr-FR"/>
        </w:rPr>
        <w:t xml:space="preserve"> </w:t>
      </w:r>
      <w:r w:rsidR="00F9480E">
        <w:rPr>
          <w:color w:val="auto"/>
          <w:lang w:val="fr-FR"/>
        </w:rPr>
        <w:t xml:space="preserve">en </w:t>
      </w:r>
      <w:r w:rsidR="00977E0C" w:rsidRPr="00977E0C">
        <w:rPr>
          <w:color w:val="auto"/>
          <w:lang w:val="fr-FR"/>
        </w:rPr>
        <w:t>annexe I doi</w:t>
      </w:r>
      <w:r w:rsidR="00BF4956">
        <w:rPr>
          <w:color w:val="auto"/>
          <w:lang w:val="fr-FR"/>
        </w:rPr>
        <w:t>ven</w:t>
      </w:r>
      <w:r w:rsidR="00977E0C" w:rsidRPr="00977E0C">
        <w:rPr>
          <w:color w:val="auto"/>
          <w:lang w:val="fr-FR"/>
        </w:rPr>
        <w:t>t être considéré</w:t>
      </w:r>
      <w:r w:rsidR="00BF4956">
        <w:rPr>
          <w:color w:val="auto"/>
          <w:lang w:val="fr-FR"/>
        </w:rPr>
        <w:t>s</w:t>
      </w:r>
      <w:r w:rsidR="00977E0C" w:rsidRPr="00977E0C">
        <w:rPr>
          <w:color w:val="auto"/>
          <w:lang w:val="fr-FR"/>
        </w:rPr>
        <w:t xml:space="preserve"> comme suffisant</w:t>
      </w:r>
      <w:r w:rsidR="00BF4956">
        <w:rPr>
          <w:color w:val="auto"/>
          <w:lang w:val="fr-FR"/>
        </w:rPr>
        <w:t>s</w:t>
      </w:r>
      <w:r w:rsidR="00977E0C" w:rsidRPr="00977E0C">
        <w:rPr>
          <w:color w:val="auto"/>
          <w:lang w:val="fr-FR"/>
        </w:rPr>
        <w:t xml:space="preserve"> à ce stade, le mandat </w:t>
      </w:r>
      <w:r w:rsidR="00BF4956">
        <w:rPr>
          <w:color w:val="auto"/>
          <w:lang w:val="fr-FR"/>
        </w:rPr>
        <w:t>du</w:t>
      </w:r>
      <w:r w:rsidR="00977E0C" w:rsidRPr="00977E0C">
        <w:rPr>
          <w:color w:val="auto"/>
          <w:lang w:val="fr-FR"/>
        </w:rPr>
        <w:t xml:space="preserve"> Conseil scientifique </w:t>
      </w:r>
      <w:r w:rsidR="00BF4956">
        <w:rPr>
          <w:color w:val="auto"/>
          <w:lang w:val="fr-FR"/>
        </w:rPr>
        <w:t>pouvant alors être</w:t>
      </w:r>
      <w:r w:rsidR="00977E0C" w:rsidRPr="00977E0C">
        <w:rPr>
          <w:color w:val="auto"/>
          <w:lang w:val="fr-FR"/>
        </w:rPr>
        <w:t xml:space="preserve"> considéré </w:t>
      </w:r>
      <w:r w:rsidR="00BF4956">
        <w:rPr>
          <w:color w:val="auto"/>
          <w:lang w:val="fr-FR"/>
        </w:rPr>
        <w:t>comme complètement rempli</w:t>
      </w:r>
      <w:r w:rsidR="00723BA9">
        <w:rPr>
          <w:color w:val="auto"/>
          <w:lang w:val="fr-FR"/>
        </w:rPr>
        <w:t>,</w:t>
      </w:r>
      <w:r w:rsidR="00977E0C" w:rsidRPr="00977E0C">
        <w:rPr>
          <w:color w:val="auto"/>
          <w:lang w:val="fr-FR"/>
        </w:rPr>
        <w:t xml:space="preserve"> ou si des lignes directrices plus détaillées sont souhaitables et </w:t>
      </w:r>
      <w:r w:rsidR="00BF4956">
        <w:rPr>
          <w:color w:val="auto"/>
          <w:lang w:val="fr-FR"/>
        </w:rPr>
        <w:t xml:space="preserve">nécessitent la poursuite des </w:t>
      </w:r>
      <w:r w:rsidR="00977E0C" w:rsidRPr="00977E0C">
        <w:rPr>
          <w:color w:val="auto"/>
          <w:lang w:val="fr-FR"/>
        </w:rPr>
        <w:t xml:space="preserve">travaux sur </w:t>
      </w:r>
      <w:r w:rsidR="00BF4956">
        <w:rPr>
          <w:color w:val="auto"/>
          <w:lang w:val="fr-FR"/>
        </w:rPr>
        <w:t>cette</w:t>
      </w:r>
      <w:r w:rsidR="00977E0C" w:rsidRPr="00977E0C">
        <w:rPr>
          <w:color w:val="auto"/>
          <w:lang w:val="fr-FR"/>
        </w:rPr>
        <w:t xml:space="preserve"> question pour </w:t>
      </w:r>
      <w:r w:rsidR="00723BA9">
        <w:rPr>
          <w:color w:val="auto"/>
          <w:lang w:val="fr-FR"/>
        </w:rPr>
        <w:t xml:space="preserve">un </w:t>
      </w:r>
      <w:r w:rsidR="00977E0C" w:rsidRPr="00977E0C">
        <w:rPr>
          <w:color w:val="auto"/>
          <w:lang w:val="fr-FR"/>
        </w:rPr>
        <w:t>examen par la Conférence des Parties à sa 12</w:t>
      </w:r>
      <w:r w:rsidR="00BF4956" w:rsidRPr="00BF4956">
        <w:rPr>
          <w:color w:val="auto"/>
          <w:vertAlign w:val="superscript"/>
          <w:lang w:val="fr-FR"/>
        </w:rPr>
        <w:t>ème</w:t>
      </w:r>
      <w:r w:rsidR="00BF4956">
        <w:rPr>
          <w:color w:val="auto"/>
          <w:lang w:val="fr-FR"/>
        </w:rPr>
        <w:t xml:space="preserve"> </w:t>
      </w:r>
      <w:r w:rsidR="00977E0C" w:rsidRPr="00977E0C">
        <w:rPr>
          <w:color w:val="auto"/>
          <w:lang w:val="fr-FR"/>
        </w:rPr>
        <w:t>session en 2017</w:t>
      </w:r>
      <w:r w:rsidR="00BF4956">
        <w:rPr>
          <w:color w:val="auto"/>
          <w:lang w:val="fr-FR"/>
        </w:rPr>
        <w:t>. E</w:t>
      </w:r>
      <w:r w:rsidR="00977E0C" w:rsidRPr="00977E0C">
        <w:rPr>
          <w:color w:val="auto"/>
          <w:lang w:val="fr-FR"/>
        </w:rPr>
        <w:t>n l</w:t>
      </w:r>
      <w:r w:rsidR="004B2554">
        <w:rPr>
          <w:color w:val="auto"/>
          <w:lang w:val="fr-FR"/>
        </w:rPr>
        <w:t>’</w:t>
      </w:r>
      <w:r w:rsidR="00977E0C" w:rsidRPr="00977E0C">
        <w:rPr>
          <w:color w:val="auto"/>
          <w:lang w:val="fr-FR"/>
        </w:rPr>
        <w:t xml:space="preserve">absence </w:t>
      </w:r>
      <w:r w:rsidR="00BF4956">
        <w:rPr>
          <w:color w:val="auto"/>
          <w:lang w:val="fr-FR"/>
        </w:rPr>
        <w:t>de</w:t>
      </w:r>
      <w:r w:rsidR="00977E0C" w:rsidRPr="00977E0C">
        <w:rPr>
          <w:color w:val="auto"/>
          <w:lang w:val="fr-FR"/>
        </w:rPr>
        <w:t xml:space="preserve"> consensus, l</w:t>
      </w:r>
      <w:r w:rsidR="004B2554">
        <w:rPr>
          <w:color w:val="auto"/>
          <w:lang w:val="fr-FR"/>
        </w:rPr>
        <w:t>’</w:t>
      </w:r>
      <w:r w:rsidR="00977E0C" w:rsidRPr="00977E0C">
        <w:rPr>
          <w:color w:val="auto"/>
          <w:lang w:val="fr-FR"/>
        </w:rPr>
        <w:t xml:space="preserve">article </w:t>
      </w:r>
      <w:r w:rsidR="00BF4956">
        <w:rPr>
          <w:color w:val="auto"/>
          <w:lang w:val="fr-FR"/>
        </w:rPr>
        <w:t>concerné</w:t>
      </w:r>
      <w:r w:rsidR="00977E0C" w:rsidRPr="00977E0C">
        <w:rPr>
          <w:color w:val="auto"/>
          <w:lang w:val="fr-FR"/>
        </w:rPr>
        <w:t xml:space="preserve"> du projet de résolution est placé entre crochets</w:t>
      </w:r>
      <w:r w:rsidR="00723BA9">
        <w:rPr>
          <w:color w:val="auto"/>
          <w:lang w:val="fr-FR"/>
        </w:rPr>
        <w:t>,</w:t>
      </w:r>
      <w:r w:rsidR="00977E0C" w:rsidRPr="00977E0C">
        <w:rPr>
          <w:color w:val="auto"/>
          <w:lang w:val="fr-FR"/>
        </w:rPr>
        <w:t xml:space="preserve"> pour examen </w:t>
      </w:r>
      <w:r w:rsidR="00BF4956">
        <w:rPr>
          <w:color w:val="auto"/>
          <w:lang w:val="fr-FR"/>
        </w:rPr>
        <w:t>par la</w:t>
      </w:r>
      <w:r w:rsidR="00977E0C" w:rsidRPr="00977E0C">
        <w:rPr>
          <w:color w:val="auto"/>
          <w:lang w:val="fr-FR"/>
        </w:rPr>
        <w:t xml:space="preserve"> COP11 et décision.</w:t>
      </w:r>
    </w:p>
    <w:p w14:paraId="19FEEB00" w14:textId="77777777" w:rsidR="00BB6316" w:rsidRPr="00DE4FFF" w:rsidRDefault="00BB6316" w:rsidP="00BB6316">
      <w:pPr>
        <w:widowControl/>
        <w:jc w:val="both"/>
        <w:rPr>
          <w:lang w:val="fr-FR"/>
        </w:rPr>
      </w:pPr>
    </w:p>
    <w:p w14:paraId="4DB763B2" w14:textId="79D9F876" w:rsidR="00977E0C" w:rsidRPr="00446C5C" w:rsidRDefault="00171356" w:rsidP="00BB6316">
      <w:pPr>
        <w:widowControl/>
        <w:jc w:val="both"/>
        <w:rPr>
          <w:sz w:val="24"/>
          <w:lang w:val="fr-FR"/>
        </w:rPr>
      </w:pPr>
      <w:r w:rsidRPr="00C74077">
        <w:rPr>
          <w:sz w:val="24"/>
          <w:lang w:val="fr-FR"/>
        </w:rPr>
        <w:t xml:space="preserve">6. </w:t>
      </w:r>
      <w:r w:rsidRPr="00C74077">
        <w:rPr>
          <w:sz w:val="24"/>
          <w:lang w:val="fr-FR"/>
        </w:rPr>
        <w:tab/>
      </w:r>
      <w:r w:rsidR="00977E0C" w:rsidRPr="00977E0C">
        <w:rPr>
          <w:sz w:val="24"/>
          <w:lang w:val="fr-FR"/>
        </w:rPr>
        <w:t>L</w:t>
      </w:r>
      <w:r w:rsidR="004B2554">
        <w:rPr>
          <w:sz w:val="24"/>
          <w:lang w:val="fr-FR"/>
        </w:rPr>
        <w:t>’</w:t>
      </w:r>
      <w:r w:rsidR="00977E0C" w:rsidRPr="00977E0C">
        <w:rPr>
          <w:sz w:val="24"/>
          <w:lang w:val="fr-FR"/>
        </w:rPr>
        <w:t xml:space="preserve">avantage de </w:t>
      </w:r>
      <w:r w:rsidR="00446C5C">
        <w:rPr>
          <w:sz w:val="24"/>
          <w:lang w:val="fr-FR"/>
        </w:rPr>
        <w:t>considérer</w:t>
      </w:r>
      <w:r w:rsidR="00977E0C" w:rsidRPr="00977E0C">
        <w:rPr>
          <w:sz w:val="24"/>
          <w:lang w:val="fr-FR"/>
        </w:rPr>
        <w:t xml:space="preserve"> le travail </w:t>
      </w:r>
      <w:r w:rsidR="00446C5C">
        <w:rPr>
          <w:sz w:val="24"/>
          <w:lang w:val="fr-FR"/>
        </w:rPr>
        <w:t>comme</w:t>
      </w:r>
      <w:r w:rsidR="00977E0C" w:rsidRPr="00977E0C">
        <w:rPr>
          <w:sz w:val="24"/>
          <w:lang w:val="fr-FR"/>
        </w:rPr>
        <w:t xml:space="preserve"> suffisant à ce stade serait </w:t>
      </w:r>
      <w:r w:rsidR="00446C5C">
        <w:rPr>
          <w:sz w:val="24"/>
          <w:lang w:val="fr-FR"/>
        </w:rPr>
        <w:t>de bénéficier d</w:t>
      </w:r>
      <w:r w:rsidR="004B2554">
        <w:rPr>
          <w:sz w:val="24"/>
          <w:lang w:val="fr-FR"/>
        </w:rPr>
        <w:t>’</w:t>
      </w:r>
      <w:r w:rsidR="00977E0C" w:rsidRPr="00977E0C">
        <w:rPr>
          <w:sz w:val="24"/>
          <w:lang w:val="fr-FR"/>
        </w:rPr>
        <w:t xml:space="preserve">une période de </w:t>
      </w:r>
      <w:r w:rsidR="00723BA9">
        <w:rPr>
          <w:sz w:val="24"/>
          <w:lang w:val="fr-FR"/>
        </w:rPr>
        <w:t>stabilité et d</w:t>
      </w:r>
      <w:r w:rsidR="004B2554">
        <w:rPr>
          <w:sz w:val="24"/>
          <w:lang w:val="fr-FR"/>
        </w:rPr>
        <w:t>’</w:t>
      </w:r>
      <w:r w:rsidR="00977E0C" w:rsidRPr="00977E0C">
        <w:rPr>
          <w:sz w:val="24"/>
          <w:lang w:val="fr-FR"/>
        </w:rPr>
        <w:t xml:space="preserve">utilisation des nouvelles lignes directrices, </w:t>
      </w:r>
      <w:r w:rsidR="00446C5C">
        <w:rPr>
          <w:sz w:val="24"/>
          <w:lang w:val="fr-FR"/>
        </w:rPr>
        <w:t>permettant</w:t>
      </w:r>
      <w:r w:rsidR="00977E0C" w:rsidRPr="00977E0C">
        <w:rPr>
          <w:sz w:val="24"/>
          <w:lang w:val="fr-FR"/>
        </w:rPr>
        <w:t xml:space="preserve"> leur </w:t>
      </w:r>
      <w:r w:rsidR="00723BA9">
        <w:rPr>
          <w:sz w:val="24"/>
          <w:lang w:val="fr-FR"/>
        </w:rPr>
        <w:t>mise en pratique</w:t>
      </w:r>
      <w:r w:rsidR="00977E0C" w:rsidRPr="00977E0C">
        <w:rPr>
          <w:sz w:val="24"/>
          <w:lang w:val="fr-FR"/>
        </w:rPr>
        <w:t xml:space="preserve"> avant de décider si </w:t>
      </w:r>
      <w:r w:rsidR="00446C5C">
        <w:rPr>
          <w:sz w:val="24"/>
          <w:lang w:val="fr-FR"/>
        </w:rPr>
        <w:t>davantage de</w:t>
      </w:r>
      <w:r w:rsidR="00977E0C" w:rsidRPr="00977E0C">
        <w:rPr>
          <w:sz w:val="24"/>
          <w:lang w:val="fr-FR"/>
        </w:rPr>
        <w:t xml:space="preserve"> conseils </w:t>
      </w:r>
      <w:r w:rsidR="00446C5C">
        <w:rPr>
          <w:sz w:val="24"/>
          <w:lang w:val="fr-FR"/>
        </w:rPr>
        <w:t>sont</w:t>
      </w:r>
      <w:r w:rsidR="00977E0C" w:rsidRPr="00977E0C">
        <w:rPr>
          <w:sz w:val="24"/>
          <w:lang w:val="fr-FR"/>
        </w:rPr>
        <w:t xml:space="preserve"> nécessaire</w:t>
      </w:r>
      <w:r w:rsidR="00446C5C">
        <w:rPr>
          <w:sz w:val="24"/>
          <w:lang w:val="fr-FR"/>
        </w:rPr>
        <w:t>s</w:t>
      </w:r>
      <w:r w:rsidR="00977E0C" w:rsidRPr="00977E0C">
        <w:rPr>
          <w:sz w:val="24"/>
          <w:lang w:val="fr-FR"/>
        </w:rPr>
        <w:t xml:space="preserve">. </w:t>
      </w:r>
      <w:r w:rsidR="00446C5C" w:rsidRPr="00446C5C">
        <w:rPr>
          <w:sz w:val="24"/>
          <w:lang w:val="fr-FR"/>
        </w:rPr>
        <w:t>Par contre</w:t>
      </w:r>
      <w:r w:rsidR="00977E0C" w:rsidRPr="00446C5C">
        <w:rPr>
          <w:sz w:val="24"/>
          <w:lang w:val="fr-FR"/>
        </w:rPr>
        <w:t xml:space="preserve">, certains participants au groupe de travail ont estimé que </w:t>
      </w:r>
      <w:r w:rsidR="00723BA9">
        <w:rPr>
          <w:sz w:val="24"/>
          <w:lang w:val="fr-FR"/>
        </w:rPr>
        <w:t>davantage</w:t>
      </w:r>
      <w:r w:rsidR="00977E0C" w:rsidRPr="00446C5C">
        <w:rPr>
          <w:sz w:val="24"/>
          <w:lang w:val="fr-FR"/>
        </w:rPr>
        <w:t xml:space="preserve"> de clarté sur le processus d</w:t>
      </w:r>
      <w:r w:rsidR="004B2554">
        <w:rPr>
          <w:sz w:val="24"/>
          <w:lang w:val="fr-FR"/>
        </w:rPr>
        <w:t>’</w:t>
      </w:r>
      <w:r w:rsidR="00977E0C" w:rsidRPr="00446C5C">
        <w:rPr>
          <w:sz w:val="24"/>
          <w:lang w:val="fr-FR"/>
        </w:rPr>
        <w:t>inscription et d</w:t>
      </w:r>
      <w:r w:rsidR="004B2554">
        <w:rPr>
          <w:sz w:val="24"/>
          <w:lang w:val="fr-FR"/>
        </w:rPr>
        <w:t>’</w:t>
      </w:r>
      <w:r w:rsidR="00977E0C" w:rsidRPr="00446C5C">
        <w:rPr>
          <w:sz w:val="24"/>
          <w:lang w:val="fr-FR"/>
        </w:rPr>
        <w:t xml:space="preserve">évaluation est nécessaire. Une comparaison a été faite </w:t>
      </w:r>
      <w:r w:rsidR="00446C5C" w:rsidRPr="00446C5C">
        <w:rPr>
          <w:sz w:val="24"/>
          <w:lang w:val="fr-FR"/>
        </w:rPr>
        <w:t>par rapport à la</w:t>
      </w:r>
      <w:r w:rsidR="00977E0C" w:rsidRPr="00446C5C">
        <w:rPr>
          <w:sz w:val="24"/>
          <w:lang w:val="fr-FR"/>
        </w:rPr>
        <w:t xml:space="preserve"> </w:t>
      </w:r>
      <w:r w:rsidR="00977E0C" w:rsidRPr="00446C5C">
        <w:rPr>
          <w:sz w:val="24"/>
          <w:lang w:val="fr-FR"/>
        </w:rPr>
        <w:lastRenderedPageBreak/>
        <w:t xml:space="preserve">rigueur du processus </w:t>
      </w:r>
      <w:r w:rsidR="00446C5C" w:rsidRPr="00446C5C">
        <w:rPr>
          <w:sz w:val="24"/>
          <w:lang w:val="fr-FR"/>
        </w:rPr>
        <w:t>d</w:t>
      </w:r>
      <w:r w:rsidR="004B2554">
        <w:rPr>
          <w:sz w:val="24"/>
          <w:lang w:val="fr-FR"/>
        </w:rPr>
        <w:t>’</w:t>
      </w:r>
      <w:r w:rsidR="00977E0C" w:rsidRPr="00446C5C">
        <w:rPr>
          <w:sz w:val="24"/>
          <w:lang w:val="fr-FR"/>
        </w:rPr>
        <w:t xml:space="preserve">inscription </w:t>
      </w:r>
      <w:r w:rsidR="00446C5C">
        <w:rPr>
          <w:sz w:val="24"/>
          <w:lang w:val="fr-FR"/>
        </w:rPr>
        <w:t xml:space="preserve">aux </w:t>
      </w:r>
      <w:r w:rsidR="00F455BC">
        <w:rPr>
          <w:sz w:val="24"/>
          <w:lang w:val="fr-FR"/>
        </w:rPr>
        <w:t>a</w:t>
      </w:r>
      <w:r w:rsidR="00446C5C">
        <w:rPr>
          <w:sz w:val="24"/>
          <w:lang w:val="fr-FR"/>
        </w:rPr>
        <w:t>nnexes de</w:t>
      </w:r>
      <w:r w:rsidR="00977E0C" w:rsidRPr="00446C5C">
        <w:rPr>
          <w:sz w:val="24"/>
          <w:lang w:val="fr-FR"/>
        </w:rPr>
        <w:t xml:space="preserve"> la CITES, en gardant à l</w:t>
      </w:r>
      <w:r w:rsidR="004B2554">
        <w:rPr>
          <w:sz w:val="24"/>
          <w:lang w:val="fr-FR"/>
        </w:rPr>
        <w:t>’</w:t>
      </w:r>
      <w:r w:rsidR="00977E0C" w:rsidRPr="00446C5C">
        <w:rPr>
          <w:sz w:val="24"/>
          <w:lang w:val="fr-FR"/>
        </w:rPr>
        <w:t xml:space="preserve">esprit que </w:t>
      </w:r>
      <w:r w:rsidR="00446C5C">
        <w:rPr>
          <w:sz w:val="24"/>
          <w:lang w:val="fr-FR"/>
        </w:rPr>
        <w:t>certaines</w:t>
      </w:r>
      <w:r w:rsidR="00977E0C" w:rsidRPr="00446C5C">
        <w:rPr>
          <w:sz w:val="24"/>
          <w:lang w:val="fr-FR"/>
        </w:rPr>
        <w:t xml:space="preserve"> espèces peuvent être </w:t>
      </w:r>
      <w:r w:rsidR="00446C5C">
        <w:rPr>
          <w:sz w:val="24"/>
          <w:lang w:val="fr-FR"/>
        </w:rPr>
        <w:t>inscrites aux</w:t>
      </w:r>
      <w:r w:rsidR="00977E0C" w:rsidRPr="00446C5C">
        <w:rPr>
          <w:sz w:val="24"/>
          <w:lang w:val="fr-FR"/>
        </w:rPr>
        <w:t xml:space="preserve"> annexes des deux </w:t>
      </w:r>
      <w:r w:rsidR="00723BA9">
        <w:rPr>
          <w:sz w:val="24"/>
          <w:lang w:val="fr-FR"/>
        </w:rPr>
        <w:t>c</w:t>
      </w:r>
      <w:r w:rsidR="00977E0C" w:rsidRPr="00446C5C">
        <w:rPr>
          <w:sz w:val="24"/>
          <w:lang w:val="fr-FR"/>
        </w:rPr>
        <w:t>onventions.</w:t>
      </w:r>
    </w:p>
    <w:p w14:paraId="459445BB" w14:textId="3A1DBBC2" w:rsidR="00BB6316" w:rsidRPr="00DE4FFF" w:rsidRDefault="00BB6316" w:rsidP="00BB6316">
      <w:pPr>
        <w:widowControl/>
        <w:jc w:val="both"/>
        <w:rPr>
          <w:lang w:val="fr-FR"/>
        </w:rPr>
      </w:pPr>
    </w:p>
    <w:p w14:paraId="6443EB14" w14:textId="74E8890F" w:rsidR="00BB6316" w:rsidRPr="00F25097" w:rsidRDefault="00BB6316" w:rsidP="00114766">
      <w:pPr>
        <w:keepNext/>
        <w:widowControl/>
        <w:jc w:val="both"/>
        <w:rPr>
          <w:b/>
          <w:i/>
          <w:sz w:val="24"/>
          <w:lang w:val="fr-FR"/>
        </w:rPr>
      </w:pPr>
      <w:r w:rsidRPr="00F25097">
        <w:rPr>
          <w:b/>
          <w:i/>
          <w:sz w:val="24"/>
          <w:u w:val="single"/>
          <w:lang w:val="fr-FR"/>
        </w:rPr>
        <w:t xml:space="preserve">Action </w:t>
      </w:r>
      <w:r w:rsidR="00F25097" w:rsidRPr="00F25097">
        <w:rPr>
          <w:b/>
          <w:i/>
          <w:sz w:val="24"/>
          <w:u w:val="single"/>
          <w:lang w:val="fr-FR"/>
        </w:rPr>
        <w:t>requise :</w:t>
      </w:r>
    </w:p>
    <w:p w14:paraId="1C9E376F" w14:textId="77777777" w:rsidR="00BB6316" w:rsidRPr="00F25097" w:rsidRDefault="00BB6316" w:rsidP="00114766">
      <w:pPr>
        <w:keepNext/>
        <w:widowControl/>
        <w:jc w:val="both"/>
        <w:rPr>
          <w:lang w:val="fr-FR"/>
        </w:rPr>
      </w:pPr>
    </w:p>
    <w:p w14:paraId="24BBC433" w14:textId="17DEFD03" w:rsidR="00977E0C" w:rsidRPr="00977E0C" w:rsidRDefault="00977E0C" w:rsidP="00977E0C">
      <w:pPr>
        <w:widowControl/>
        <w:jc w:val="both"/>
        <w:rPr>
          <w:sz w:val="24"/>
          <w:lang w:val="fr-FR"/>
        </w:rPr>
      </w:pPr>
      <w:r w:rsidRPr="00977E0C">
        <w:rPr>
          <w:sz w:val="24"/>
          <w:lang w:val="fr-FR"/>
        </w:rPr>
        <w:t>La Conférence des Parties est invitée à</w:t>
      </w:r>
      <w:r w:rsidR="00F25097">
        <w:rPr>
          <w:sz w:val="24"/>
          <w:lang w:val="fr-FR"/>
        </w:rPr>
        <w:t> </w:t>
      </w:r>
      <w:r w:rsidRPr="00977E0C">
        <w:rPr>
          <w:sz w:val="24"/>
          <w:lang w:val="fr-FR"/>
        </w:rPr>
        <w:t>:</w:t>
      </w:r>
    </w:p>
    <w:p w14:paraId="2025D00F" w14:textId="77777777" w:rsidR="00BB6316" w:rsidRPr="00F25097" w:rsidRDefault="00BB6316" w:rsidP="00BB6316">
      <w:pPr>
        <w:widowControl/>
        <w:jc w:val="both"/>
        <w:rPr>
          <w:rFonts w:eastAsia="Calibri"/>
          <w:sz w:val="24"/>
          <w:lang w:val="fr-FR"/>
        </w:rPr>
      </w:pPr>
    </w:p>
    <w:p w14:paraId="34E808C1" w14:textId="4229C6DD" w:rsidR="00977E0C" w:rsidRPr="00F25097" w:rsidRDefault="00977E0C" w:rsidP="00BB6316">
      <w:pPr>
        <w:pStyle w:val="ListParagraph"/>
        <w:numPr>
          <w:ilvl w:val="0"/>
          <w:numId w:val="40"/>
        </w:numPr>
        <w:autoSpaceDE/>
        <w:autoSpaceDN/>
        <w:adjustRightInd/>
        <w:ind w:left="709" w:hanging="709"/>
        <w:jc w:val="both"/>
        <w:rPr>
          <w:sz w:val="24"/>
          <w:lang w:val="fr-FR"/>
        </w:rPr>
      </w:pPr>
      <w:r w:rsidRPr="00F25097">
        <w:rPr>
          <w:sz w:val="24"/>
          <w:lang w:val="fr-FR"/>
        </w:rPr>
        <w:t xml:space="preserve">Prendre note des progrès accomplis par le Conseil scientifique </w:t>
      </w:r>
      <w:r w:rsidR="00446C5C">
        <w:rPr>
          <w:sz w:val="24"/>
          <w:lang w:val="fr-FR"/>
        </w:rPr>
        <w:t>dans l</w:t>
      </w:r>
      <w:r w:rsidR="004B2554">
        <w:rPr>
          <w:sz w:val="24"/>
          <w:lang w:val="fr-FR"/>
        </w:rPr>
        <w:t>’</w:t>
      </w:r>
      <w:r w:rsidR="00446C5C">
        <w:rPr>
          <w:sz w:val="24"/>
          <w:lang w:val="fr-FR"/>
        </w:rPr>
        <w:t>élaboration</w:t>
      </w:r>
      <w:r w:rsidRPr="00F25097">
        <w:rPr>
          <w:sz w:val="24"/>
          <w:lang w:val="fr-FR"/>
        </w:rPr>
        <w:t xml:space="preserve"> des lignes directrices pour l</w:t>
      </w:r>
      <w:r w:rsidR="004B2554">
        <w:rPr>
          <w:sz w:val="24"/>
          <w:lang w:val="fr-FR"/>
        </w:rPr>
        <w:t>’</w:t>
      </w:r>
      <w:r w:rsidRPr="00F25097">
        <w:rPr>
          <w:sz w:val="24"/>
          <w:lang w:val="fr-FR"/>
        </w:rPr>
        <w:t xml:space="preserve">évaluation des propositions </w:t>
      </w:r>
      <w:r w:rsidR="00446C5C">
        <w:rPr>
          <w:sz w:val="24"/>
          <w:lang w:val="fr-FR"/>
        </w:rPr>
        <w:t>d</w:t>
      </w:r>
      <w:r w:rsidR="004B2554">
        <w:rPr>
          <w:sz w:val="24"/>
          <w:lang w:val="fr-FR"/>
        </w:rPr>
        <w:t>’</w:t>
      </w:r>
      <w:r w:rsidR="00446C5C">
        <w:rPr>
          <w:sz w:val="24"/>
          <w:lang w:val="fr-FR"/>
        </w:rPr>
        <w:t>amendement</w:t>
      </w:r>
      <w:r w:rsidRPr="00F25097">
        <w:rPr>
          <w:sz w:val="24"/>
          <w:lang w:val="fr-FR"/>
        </w:rPr>
        <w:t xml:space="preserve"> des annexes de la CMS.</w:t>
      </w:r>
    </w:p>
    <w:p w14:paraId="034B676D" w14:textId="77777777" w:rsidR="00BB6316" w:rsidRPr="00DE4FFF" w:rsidRDefault="00BB6316" w:rsidP="00BB6316">
      <w:pPr>
        <w:pStyle w:val="ListParagraph"/>
        <w:ind w:left="0"/>
        <w:jc w:val="both"/>
        <w:rPr>
          <w:sz w:val="24"/>
          <w:lang w:val="fr-FR"/>
        </w:rPr>
      </w:pPr>
    </w:p>
    <w:p w14:paraId="564959C9" w14:textId="350901CC" w:rsidR="00977E0C" w:rsidRDefault="00977E0C" w:rsidP="00BB6316">
      <w:pPr>
        <w:pStyle w:val="ListParagraph"/>
        <w:numPr>
          <w:ilvl w:val="0"/>
          <w:numId w:val="40"/>
        </w:numPr>
        <w:autoSpaceDE/>
        <w:autoSpaceDN/>
        <w:adjustRightInd/>
        <w:ind w:left="709" w:hanging="709"/>
        <w:jc w:val="both"/>
        <w:rPr>
          <w:sz w:val="24"/>
          <w:lang w:val="fr-FR"/>
        </w:rPr>
      </w:pPr>
      <w:r w:rsidRPr="00977E0C">
        <w:rPr>
          <w:sz w:val="24"/>
          <w:lang w:val="fr-FR"/>
        </w:rPr>
        <w:t>Examiner le document sur l</w:t>
      </w:r>
      <w:r w:rsidR="004B2554">
        <w:rPr>
          <w:sz w:val="24"/>
          <w:lang w:val="fr-FR"/>
        </w:rPr>
        <w:t>’</w:t>
      </w:r>
      <w:r w:rsidRPr="00977E0C">
        <w:rPr>
          <w:sz w:val="24"/>
          <w:lang w:val="fr-FR"/>
        </w:rPr>
        <w:t xml:space="preserve">utilisation </w:t>
      </w:r>
      <w:r w:rsidR="00446C5C">
        <w:rPr>
          <w:sz w:val="24"/>
          <w:lang w:val="fr-FR"/>
        </w:rPr>
        <w:t xml:space="preserve">des </w:t>
      </w:r>
      <w:r w:rsidR="00446C5C" w:rsidRPr="00977E0C">
        <w:rPr>
          <w:sz w:val="24"/>
          <w:lang w:val="fr-FR"/>
        </w:rPr>
        <w:t xml:space="preserve">catégories </w:t>
      </w:r>
      <w:r w:rsidRPr="00977E0C">
        <w:rPr>
          <w:sz w:val="24"/>
          <w:lang w:val="fr-FR"/>
        </w:rPr>
        <w:t>de la Liste rouge de l</w:t>
      </w:r>
      <w:r w:rsidR="004B2554">
        <w:rPr>
          <w:sz w:val="24"/>
          <w:lang w:val="fr-FR"/>
        </w:rPr>
        <w:t>’</w:t>
      </w:r>
      <w:r w:rsidRPr="00977E0C">
        <w:rPr>
          <w:sz w:val="24"/>
          <w:lang w:val="fr-FR"/>
        </w:rPr>
        <w:t>UICN dans l</w:t>
      </w:r>
      <w:r w:rsidR="004B2554">
        <w:rPr>
          <w:sz w:val="24"/>
          <w:lang w:val="fr-FR"/>
        </w:rPr>
        <w:t>’</w:t>
      </w:r>
      <w:r w:rsidRPr="00977E0C">
        <w:rPr>
          <w:sz w:val="24"/>
          <w:lang w:val="fr-FR"/>
        </w:rPr>
        <w:t>évaluation des propositions d</w:t>
      </w:r>
      <w:r w:rsidR="004B2554">
        <w:rPr>
          <w:sz w:val="24"/>
          <w:lang w:val="fr-FR"/>
        </w:rPr>
        <w:t>’</w:t>
      </w:r>
      <w:r w:rsidRPr="00977E0C">
        <w:rPr>
          <w:sz w:val="24"/>
          <w:lang w:val="fr-FR"/>
        </w:rPr>
        <w:t xml:space="preserve">inscription </w:t>
      </w:r>
      <w:r w:rsidR="00723BA9">
        <w:rPr>
          <w:sz w:val="24"/>
          <w:lang w:val="fr-FR"/>
        </w:rPr>
        <w:t>aux</w:t>
      </w:r>
      <w:r w:rsidRPr="00977E0C">
        <w:rPr>
          <w:sz w:val="24"/>
          <w:lang w:val="fr-FR"/>
        </w:rPr>
        <w:t xml:space="preserve"> Annexe</w:t>
      </w:r>
      <w:r w:rsidR="00723BA9">
        <w:rPr>
          <w:sz w:val="24"/>
          <w:lang w:val="fr-FR"/>
        </w:rPr>
        <w:t>s</w:t>
      </w:r>
      <w:r w:rsidRPr="00977E0C">
        <w:rPr>
          <w:sz w:val="24"/>
          <w:lang w:val="fr-FR"/>
        </w:rPr>
        <w:t xml:space="preserve"> I et II de la </w:t>
      </w:r>
      <w:r w:rsidR="00446C5C">
        <w:rPr>
          <w:sz w:val="24"/>
          <w:lang w:val="fr-FR"/>
        </w:rPr>
        <w:t>C</w:t>
      </w:r>
      <w:r w:rsidRPr="00977E0C">
        <w:rPr>
          <w:sz w:val="24"/>
          <w:lang w:val="fr-FR"/>
        </w:rPr>
        <w:t>onvention</w:t>
      </w:r>
      <w:r w:rsidR="00446C5C">
        <w:rPr>
          <w:sz w:val="24"/>
          <w:lang w:val="fr-FR"/>
        </w:rPr>
        <w:t>,</w:t>
      </w:r>
      <w:r w:rsidRPr="00977E0C">
        <w:rPr>
          <w:sz w:val="24"/>
          <w:lang w:val="fr-FR"/>
        </w:rPr>
        <w:t xml:space="preserve"> joint à la présente note en </w:t>
      </w:r>
      <w:r w:rsidR="00446C5C" w:rsidRPr="00977E0C">
        <w:rPr>
          <w:sz w:val="24"/>
          <w:lang w:val="fr-FR"/>
        </w:rPr>
        <w:t>ANNEXE I.</w:t>
      </w:r>
    </w:p>
    <w:p w14:paraId="5B28B17E" w14:textId="77777777" w:rsidR="00BB6316" w:rsidRPr="00723BA9" w:rsidRDefault="00BB6316" w:rsidP="00BB6316">
      <w:pPr>
        <w:pStyle w:val="ListParagraph"/>
        <w:ind w:left="0"/>
        <w:jc w:val="both"/>
        <w:rPr>
          <w:sz w:val="24"/>
          <w:lang w:val="fr-FR"/>
        </w:rPr>
      </w:pPr>
    </w:p>
    <w:p w14:paraId="7FBDE442" w14:textId="731DCDD2" w:rsidR="00AE5584" w:rsidRDefault="00977E0C" w:rsidP="001764E6">
      <w:pPr>
        <w:pStyle w:val="ListParagraph"/>
        <w:numPr>
          <w:ilvl w:val="0"/>
          <w:numId w:val="40"/>
        </w:numPr>
        <w:autoSpaceDE/>
        <w:autoSpaceDN/>
        <w:adjustRightInd/>
        <w:jc w:val="both"/>
        <w:rPr>
          <w:sz w:val="24"/>
          <w:lang w:val="fr-FR"/>
        </w:rPr>
      </w:pPr>
      <w:r w:rsidRPr="00977E0C">
        <w:rPr>
          <w:sz w:val="24"/>
          <w:lang w:val="fr-FR"/>
        </w:rPr>
        <w:t>Examiner et adopter le projet de résolution sur les lignes directrices pour l</w:t>
      </w:r>
      <w:r w:rsidR="004B2554">
        <w:rPr>
          <w:sz w:val="24"/>
          <w:lang w:val="fr-FR"/>
        </w:rPr>
        <w:t>’</w:t>
      </w:r>
      <w:r w:rsidRPr="00977E0C">
        <w:rPr>
          <w:sz w:val="24"/>
          <w:lang w:val="fr-FR"/>
        </w:rPr>
        <w:t>évaluation des propositions d</w:t>
      </w:r>
      <w:r w:rsidR="004B2554">
        <w:rPr>
          <w:sz w:val="24"/>
          <w:lang w:val="fr-FR"/>
        </w:rPr>
        <w:t>’</w:t>
      </w:r>
      <w:r w:rsidRPr="00977E0C">
        <w:rPr>
          <w:sz w:val="24"/>
          <w:lang w:val="fr-FR"/>
        </w:rPr>
        <w:t xml:space="preserve">inscription </w:t>
      </w:r>
      <w:r w:rsidR="00723BA9">
        <w:rPr>
          <w:sz w:val="24"/>
          <w:lang w:val="fr-FR"/>
        </w:rPr>
        <w:t xml:space="preserve">aux </w:t>
      </w:r>
      <w:r w:rsidR="00723BA9" w:rsidRPr="00723BA9">
        <w:rPr>
          <w:sz w:val="24"/>
          <w:lang w:val="fr-FR"/>
        </w:rPr>
        <w:t>Annexes I et II</w:t>
      </w:r>
      <w:r w:rsidRPr="00977E0C">
        <w:rPr>
          <w:sz w:val="24"/>
          <w:lang w:val="fr-FR"/>
        </w:rPr>
        <w:t xml:space="preserve"> de la </w:t>
      </w:r>
      <w:r w:rsidR="00446C5C">
        <w:rPr>
          <w:sz w:val="24"/>
          <w:lang w:val="fr-FR"/>
        </w:rPr>
        <w:t>C</w:t>
      </w:r>
      <w:r w:rsidRPr="00977E0C">
        <w:rPr>
          <w:sz w:val="24"/>
          <w:lang w:val="fr-FR"/>
        </w:rPr>
        <w:t>onvention</w:t>
      </w:r>
      <w:r w:rsidR="00446C5C">
        <w:rPr>
          <w:sz w:val="24"/>
          <w:lang w:val="fr-FR"/>
        </w:rPr>
        <w:t>, joint</w:t>
      </w:r>
      <w:r w:rsidRPr="00977E0C">
        <w:rPr>
          <w:sz w:val="24"/>
          <w:lang w:val="fr-FR"/>
        </w:rPr>
        <w:t xml:space="preserve"> à </w:t>
      </w:r>
      <w:r w:rsidR="00446C5C">
        <w:rPr>
          <w:sz w:val="24"/>
          <w:lang w:val="fr-FR"/>
        </w:rPr>
        <w:t>la présente note</w:t>
      </w:r>
      <w:r w:rsidRPr="00977E0C">
        <w:rPr>
          <w:sz w:val="24"/>
          <w:lang w:val="fr-FR"/>
        </w:rPr>
        <w:t xml:space="preserve"> </w:t>
      </w:r>
      <w:r w:rsidR="00446C5C">
        <w:rPr>
          <w:sz w:val="24"/>
          <w:lang w:val="fr-FR"/>
        </w:rPr>
        <w:t xml:space="preserve">en </w:t>
      </w:r>
      <w:r w:rsidR="00446C5C" w:rsidRPr="00977E0C">
        <w:rPr>
          <w:sz w:val="24"/>
          <w:lang w:val="fr-FR"/>
        </w:rPr>
        <w:t>ANNEXE II.</w:t>
      </w:r>
    </w:p>
    <w:p w14:paraId="596DD46B" w14:textId="77777777" w:rsidR="003C0C1A" w:rsidRPr="003C0C1A" w:rsidRDefault="003C0C1A" w:rsidP="001764E6">
      <w:pPr>
        <w:pStyle w:val="ListParagraph"/>
        <w:numPr>
          <w:ilvl w:val="0"/>
          <w:numId w:val="40"/>
        </w:numPr>
        <w:autoSpaceDE/>
        <w:autoSpaceDN/>
        <w:adjustRightInd/>
        <w:jc w:val="both"/>
        <w:rPr>
          <w:sz w:val="24"/>
          <w:lang w:val="fr-FR"/>
        </w:rPr>
        <w:sectPr w:rsidR="003C0C1A" w:rsidRPr="003C0C1A" w:rsidSect="00AE7B21">
          <w:headerReference w:type="default" r:id="rId17"/>
          <w:headerReference w:type="first" r:id="rId18"/>
          <w:footerReference w:type="first" r:id="rId19"/>
          <w:endnotePr>
            <w:numFmt w:val="decimal"/>
          </w:endnotePr>
          <w:pgSz w:w="11905" w:h="16837" w:code="9"/>
          <w:pgMar w:top="1418" w:right="1418" w:bottom="1418" w:left="1418" w:header="510" w:footer="510" w:gutter="0"/>
          <w:cols w:space="720"/>
          <w:noEndnote/>
          <w:titlePg/>
        </w:sectPr>
      </w:pPr>
    </w:p>
    <w:p w14:paraId="254BA49D" w14:textId="5B743E47" w:rsidR="003C0C1A" w:rsidRPr="003C0C1A" w:rsidRDefault="003C0C1A" w:rsidP="003C0C1A">
      <w:pPr>
        <w:jc w:val="right"/>
        <w:rPr>
          <w:b/>
          <w:color w:val="000000"/>
          <w:sz w:val="24"/>
          <w:lang w:val="fr-FR"/>
        </w:rPr>
      </w:pPr>
      <w:r w:rsidRPr="003C0C1A">
        <w:rPr>
          <w:b/>
          <w:color w:val="000000"/>
          <w:sz w:val="24"/>
          <w:lang w:val="fr-FR"/>
        </w:rPr>
        <w:lastRenderedPageBreak/>
        <w:t>ANNEXE I</w:t>
      </w:r>
    </w:p>
    <w:p w14:paraId="61F6D94C" w14:textId="77777777" w:rsidR="003C0C1A" w:rsidRPr="0076643C" w:rsidRDefault="003C0C1A" w:rsidP="003C0C1A">
      <w:pPr>
        <w:rPr>
          <w:color w:val="000000"/>
          <w:lang w:val="fr-FR"/>
        </w:rPr>
      </w:pPr>
    </w:p>
    <w:p w14:paraId="55FB36A3" w14:textId="77777777" w:rsidR="003C0C1A" w:rsidRPr="0076643C" w:rsidRDefault="003C0C1A" w:rsidP="003C0C1A">
      <w:pPr>
        <w:rPr>
          <w:color w:val="000000"/>
          <w:lang w:val="fr-FR"/>
        </w:rPr>
      </w:pPr>
    </w:p>
    <w:p w14:paraId="72914719" w14:textId="77777777" w:rsidR="00EA53A8" w:rsidRDefault="003C0C1A" w:rsidP="00EA53A8">
      <w:pPr>
        <w:spacing w:after="120"/>
        <w:jc w:val="center"/>
        <w:rPr>
          <w:b/>
          <w:sz w:val="24"/>
          <w:lang w:val="fr-FR"/>
        </w:rPr>
      </w:pPr>
      <w:r w:rsidRPr="00EA53A8">
        <w:rPr>
          <w:b/>
          <w:sz w:val="24"/>
          <w:lang w:val="fr-FR"/>
        </w:rPr>
        <w:t xml:space="preserve">UTILISER LES CATÉGORIES DE LA LISTE ROUGE DE L’UICN DANS L’ÉVALUATION DES PROPOSITIONS D’INSCRIPTION AUX ANNEXES I ET II DE LA CONVENTION </w:t>
      </w:r>
    </w:p>
    <w:p w14:paraId="17540EB0" w14:textId="77777777" w:rsidR="00EA53A8" w:rsidRDefault="00EA53A8" w:rsidP="00EA53A8">
      <w:pPr>
        <w:spacing w:after="120"/>
        <w:jc w:val="center"/>
        <w:rPr>
          <w:b/>
          <w:sz w:val="24"/>
          <w:lang w:val="fr-FR"/>
        </w:rPr>
      </w:pPr>
    </w:p>
    <w:p w14:paraId="2E72B96E" w14:textId="4A6171B5" w:rsidR="003C0C1A" w:rsidRDefault="003C0C1A" w:rsidP="00EA53A8">
      <w:pPr>
        <w:spacing w:after="120"/>
        <w:rPr>
          <w:b/>
          <w:bCs/>
          <w:sz w:val="24"/>
          <w:lang w:val="en-GB"/>
        </w:rPr>
      </w:pPr>
      <w:r w:rsidRPr="00EA53A8">
        <w:rPr>
          <w:b/>
          <w:bCs/>
          <w:sz w:val="24"/>
          <w:lang w:val="en-GB"/>
        </w:rPr>
        <w:t>Introduction</w:t>
      </w:r>
    </w:p>
    <w:p w14:paraId="3BCD0AB3" w14:textId="77777777" w:rsidR="00EA53A8" w:rsidRPr="00EA53A8" w:rsidRDefault="00EA53A8" w:rsidP="00EA53A8">
      <w:pPr>
        <w:rPr>
          <w:b/>
          <w:sz w:val="24"/>
          <w:lang w:val="fr-FR"/>
        </w:rPr>
      </w:pPr>
    </w:p>
    <w:p w14:paraId="02408FD3" w14:textId="77777777" w:rsidR="003C0C1A" w:rsidRPr="00EA53A8" w:rsidRDefault="003C0C1A" w:rsidP="00EA53A8">
      <w:pPr>
        <w:numPr>
          <w:ilvl w:val="0"/>
          <w:numId w:val="41"/>
        </w:numPr>
        <w:ind w:left="0" w:firstLine="0"/>
        <w:jc w:val="both"/>
        <w:rPr>
          <w:sz w:val="24"/>
          <w:lang w:val="fr-FR"/>
        </w:rPr>
      </w:pPr>
      <w:r w:rsidRPr="00EA53A8">
        <w:rPr>
          <w:sz w:val="24"/>
          <w:lang w:val="fr-FR"/>
        </w:rPr>
        <w:t>À la COP9, les critères d’inscription des espèces à l’Annexe II ont fait l’objet de débats, lorsque le fondement de l’inscription de plusieurs espèces à l’Annexe II a été mis en question. La préoccupation exprimée se basait sur la proposition d’inscription d’une espèce considérée comme commune et non menacée, et qui ne semblait donc pas nécessiter une coopération internationale pour améliorer son état de conservation. Il était suggéré que les critères d’inscription à l’Annexe II étaient flous et ambigus, et qu’ils devraient être révisés par le Conseil scientifique, pour assurer une cohérence avec les dispositions d’autres conventions internationales.</w:t>
      </w:r>
    </w:p>
    <w:p w14:paraId="01DA437C" w14:textId="77777777" w:rsidR="003C0C1A" w:rsidRPr="00EA53A8" w:rsidRDefault="003C0C1A" w:rsidP="00EA53A8">
      <w:pPr>
        <w:jc w:val="both"/>
        <w:rPr>
          <w:sz w:val="24"/>
          <w:lang w:val="fr-FR"/>
        </w:rPr>
      </w:pPr>
    </w:p>
    <w:p w14:paraId="2D5B9782" w14:textId="77777777" w:rsidR="003C0C1A" w:rsidRPr="00EA53A8" w:rsidRDefault="003C0C1A" w:rsidP="00EA53A8">
      <w:pPr>
        <w:numPr>
          <w:ilvl w:val="0"/>
          <w:numId w:val="41"/>
        </w:numPr>
        <w:ind w:left="0" w:firstLine="0"/>
        <w:jc w:val="both"/>
        <w:rPr>
          <w:sz w:val="24"/>
          <w:lang w:val="fr-FR"/>
        </w:rPr>
      </w:pPr>
      <w:r w:rsidRPr="00EA53A8">
        <w:rPr>
          <w:sz w:val="24"/>
          <w:lang w:val="fr-FR"/>
        </w:rPr>
        <w:t xml:space="preserve">Lorsque les critères d’inscription à l’Annexe II ont été examinés à la ScC16, il a été observé que le texte de la Convention mentionne à la fois un « état de conservation défavorable » et « qui bénéficierait d’une coopération internationale ». Une espèce n’a donc pas besoin d’être dans un état de conservation défavorable pour pouvoir être inscrite à l’Annexe II. Le Conseil a aussi rappelé le document ScC11/Doc.6/Rev.2 (Baker et al. 2002), qui compare les catégories et les critères de la Liste rouge de l’UICN (UICN 2008) et les annexes de la CMS. Ce document a recommandé d’utiliser les catégories de la Liste rouge de l’UICN comme outil d’appui à la prise de décision, dans le cadre de l’évaluation de l’état de conservation des espèces migratrices faisant l’objet de propositions d’inscription aux Annexes I et II de la Convention. </w:t>
      </w:r>
      <w:bookmarkStart w:id="0" w:name="OLE_LINK2"/>
      <w:bookmarkStart w:id="1" w:name="OLE_LINK1"/>
      <w:r w:rsidRPr="00EA53A8">
        <w:rPr>
          <w:sz w:val="24"/>
          <w:lang w:val="fr-FR"/>
        </w:rPr>
        <w:t xml:space="preserve">À la ScC11, le Conseil scientifique a approuvé les recommandations formulées dans ce document, en vue de les transmettre à la septième réunion de la Conférence des Parties. Cependant, ceci n’a pas eu lieu et le rapport de la COP7 ne contient aucune mention de telles recommandations, examinées ou approuvées par la Conférence des Parties. </w:t>
      </w:r>
    </w:p>
    <w:p w14:paraId="2DD02E30" w14:textId="77777777" w:rsidR="003C0C1A" w:rsidRPr="00EA53A8" w:rsidRDefault="003C0C1A" w:rsidP="00EA53A8">
      <w:pPr>
        <w:jc w:val="both"/>
        <w:rPr>
          <w:sz w:val="24"/>
          <w:lang w:val="fr-FR"/>
        </w:rPr>
      </w:pPr>
    </w:p>
    <w:p w14:paraId="2688C314" w14:textId="77777777" w:rsidR="003C0C1A" w:rsidRPr="00EA53A8" w:rsidRDefault="003C0C1A" w:rsidP="00EA53A8">
      <w:pPr>
        <w:numPr>
          <w:ilvl w:val="0"/>
          <w:numId w:val="41"/>
        </w:numPr>
        <w:ind w:left="0" w:firstLine="0"/>
        <w:jc w:val="both"/>
        <w:rPr>
          <w:sz w:val="24"/>
          <w:lang w:val="fr-FR"/>
        </w:rPr>
      </w:pPr>
      <w:r w:rsidRPr="00EA53A8">
        <w:rPr>
          <w:sz w:val="24"/>
          <w:lang w:val="fr-FR"/>
        </w:rPr>
        <w:t>La ScC16 a demandé de réviser le document ScC11/Doc.6/Rev.2, pour examen à la 17</w:t>
      </w:r>
      <w:r w:rsidRPr="00EA53A8">
        <w:rPr>
          <w:sz w:val="24"/>
          <w:vertAlign w:val="superscript"/>
          <w:lang w:val="fr-FR"/>
        </w:rPr>
        <w:t>ème</w:t>
      </w:r>
      <w:r w:rsidRPr="00EA53A8">
        <w:rPr>
          <w:sz w:val="24"/>
          <w:lang w:val="fr-FR"/>
        </w:rPr>
        <w:t xml:space="preserve"> réunion du Conseil. Le document UNEP/CMS/Conf.10.37 qui a été établi en conséquence s’est appuyé sur des précédents travaux, en mettant à jour essentiellement les références faites aux critères de la Liste rouge de l’UICN et en proposant l’adoption d’une procédure en deux temps pour examiner les propositions d’inscription. La procédure décrite a d’abord mis l’accent sur l’état de conservation d’une espèce et a ensuite examiné les avantages qui pourraient découler de l’inscription d’une espèce à l’une des deux annexes de la CMS, en termes de conservation de cette espèce. La ScC17 a convenu que l’adoption d’une procédure en deux temps était une excellente idée, mais elle était d’avis qu’il fallait examiner davantage, en particulier, l’élaboration plus poussée des critères pour la deuxième étape de la procédure. En gardant ceci à l’esprit, la COP10 a demandé au Conseil scientifique de poursuivre les travaux déjà entrepris, conformément au mandat ci-après :</w:t>
      </w:r>
    </w:p>
    <w:p w14:paraId="67B08F5C" w14:textId="77777777" w:rsidR="003C0C1A" w:rsidRPr="00EA53A8" w:rsidRDefault="003C0C1A" w:rsidP="00EA53A8">
      <w:pPr>
        <w:spacing w:after="120"/>
        <w:jc w:val="both"/>
        <w:rPr>
          <w:sz w:val="24"/>
          <w:lang w:val="fr-FR"/>
        </w:rPr>
      </w:pPr>
    </w:p>
    <w:p w14:paraId="7B78A5FE" w14:textId="77777777" w:rsidR="003C0C1A" w:rsidRPr="00EA53A8" w:rsidRDefault="003C0C1A" w:rsidP="00EA53A8">
      <w:pPr>
        <w:spacing w:after="120"/>
        <w:ind w:left="720"/>
        <w:jc w:val="both"/>
        <w:rPr>
          <w:sz w:val="24"/>
          <w:lang w:val="fr-FR"/>
        </w:rPr>
      </w:pPr>
      <w:r w:rsidRPr="00EA53A8">
        <w:rPr>
          <w:i/>
          <w:sz w:val="24"/>
          <w:lang w:val="fr-FR"/>
        </w:rPr>
        <w:t>Élaborer une série de critères pour aider le Conseil scientifique et la Conférence des Parties dans l’évaluation des propositions d’inscription de taxons aux annexes de la Convention et de retrait de taxons inscrits à ces annexes. Les critères proposés devraient être élaborés suffisamment en avance pour pouvoir être examinés par le Conseil scientifique à la SC18, et ultérieurement par la COP11</w:t>
      </w:r>
      <w:r w:rsidRPr="00EA53A8">
        <w:rPr>
          <w:sz w:val="24"/>
          <w:lang w:val="fr-FR"/>
        </w:rPr>
        <w:t>.</w:t>
      </w:r>
    </w:p>
    <w:p w14:paraId="5E84FEDA" w14:textId="77777777" w:rsidR="003C0C1A" w:rsidRPr="00EA53A8" w:rsidRDefault="003C0C1A" w:rsidP="00EA53A8">
      <w:pPr>
        <w:spacing w:after="120"/>
        <w:jc w:val="both"/>
        <w:rPr>
          <w:sz w:val="24"/>
          <w:highlight w:val="yellow"/>
          <w:lang w:val="fr-FR"/>
        </w:rPr>
      </w:pPr>
    </w:p>
    <w:p w14:paraId="21581DF2" w14:textId="77777777" w:rsidR="00EA53A8" w:rsidRDefault="003C0C1A" w:rsidP="00EA53A8">
      <w:pPr>
        <w:jc w:val="both"/>
        <w:rPr>
          <w:sz w:val="24"/>
          <w:lang w:val="fr-FR"/>
        </w:rPr>
      </w:pPr>
      <w:r w:rsidRPr="00EA53A8">
        <w:rPr>
          <w:sz w:val="24"/>
          <w:lang w:val="fr-FR"/>
        </w:rPr>
        <w:t>4.</w:t>
      </w:r>
      <w:r w:rsidRPr="00EA53A8">
        <w:rPr>
          <w:sz w:val="24"/>
          <w:lang w:val="fr-FR"/>
        </w:rPr>
        <w:tab/>
        <w:t xml:space="preserve">Le présent document fournit les résultats de cette étude, et a été établi par un groupe de travail initialement créé dans ce but à la ScC16, et élargi par la suite à la ScC17. </w:t>
      </w:r>
      <w:bookmarkEnd w:id="0"/>
      <w:bookmarkEnd w:id="1"/>
    </w:p>
    <w:p w14:paraId="2074BF00" w14:textId="77777777" w:rsidR="00EA53A8" w:rsidRDefault="00EA53A8" w:rsidP="00EA53A8">
      <w:pPr>
        <w:jc w:val="both"/>
        <w:rPr>
          <w:sz w:val="24"/>
          <w:lang w:val="fr-FR"/>
        </w:rPr>
      </w:pPr>
    </w:p>
    <w:p w14:paraId="140C9BE4" w14:textId="4C818915" w:rsidR="003C0C1A" w:rsidRDefault="003C0C1A" w:rsidP="00EA53A8">
      <w:pPr>
        <w:jc w:val="both"/>
        <w:rPr>
          <w:b/>
          <w:bCs/>
          <w:sz w:val="24"/>
          <w:lang w:val="fr-FR"/>
        </w:rPr>
      </w:pPr>
      <w:r w:rsidRPr="00EA53A8">
        <w:rPr>
          <w:b/>
          <w:bCs/>
          <w:sz w:val="24"/>
          <w:lang w:val="fr-FR"/>
        </w:rPr>
        <w:t>Vue d’ensemble du système de la Liste rouge de l’UICN</w:t>
      </w:r>
    </w:p>
    <w:p w14:paraId="39D02AB5" w14:textId="77777777" w:rsidR="00EA53A8" w:rsidRPr="00EA53A8" w:rsidRDefault="00EA53A8" w:rsidP="00EA53A8">
      <w:pPr>
        <w:jc w:val="both"/>
        <w:rPr>
          <w:sz w:val="24"/>
          <w:lang w:val="fr-FR"/>
        </w:rPr>
      </w:pPr>
    </w:p>
    <w:p w14:paraId="42C52762" w14:textId="02033514" w:rsidR="003C0C1A" w:rsidRPr="00EA53A8" w:rsidRDefault="003C0C1A" w:rsidP="00EA53A8">
      <w:pPr>
        <w:jc w:val="both"/>
        <w:rPr>
          <w:sz w:val="24"/>
          <w:lang w:val="fr-FR"/>
        </w:rPr>
      </w:pPr>
      <w:r w:rsidRPr="00EA53A8">
        <w:rPr>
          <w:sz w:val="24"/>
          <w:lang w:val="fr-FR"/>
        </w:rPr>
        <w:t>5.</w:t>
      </w:r>
      <w:r w:rsidRPr="00EA53A8">
        <w:rPr>
          <w:sz w:val="24"/>
          <w:lang w:val="fr-FR"/>
        </w:rPr>
        <w:tab/>
        <w:t>En l’absence de critères quantitatifs spécifiques applicables pour l’inscription des espèces aux annexes de la CMS, la Liste rouge des espèces menacées de l’UICN est une référence fondamentale en ce qui concerne l’état et les tendances de la faune sauvage mondiale. L’application des ‘</w:t>
      </w:r>
      <w:r w:rsidRPr="00EA53A8">
        <w:rPr>
          <w:i/>
          <w:sz w:val="24"/>
          <w:lang w:val="fr-FR"/>
        </w:rPr>
        <w:t>Lignes directrices pour l’utilisation des catégories et critères de l’UICN’</w:t>
      </w:r>
      <w:r w:rsidRPr="00EA53A8">
        <w:rPr>
          <w:sz w:val="24"/>
          <w:lang w:val="fr-FR"/>
        </w:rPr>
        <w:t xml:space="preserve"> est recommandée, car ces lignes directrices donnent des orientations pour évaluer les propositions d’inscription d’espèces remises par les Parties à la CMS. Le présent document propose d’aligner les catégories de menaces définies par l’UICN et les exigences prescrites en matière d’inscription d’espèces aux Annexes I et II de la Convention, afin de fournir aux conseillers scientifiques des orientations pour l’évaluation des propositions d’inscription.</w:t>
      </w:r>
    </w:p>
    <w:p w14:paraId="2084C53A" w14:textId="77777777" w:rsidR="003C0C1A" w:rsidRPr="00EA53A8" w:rsidRDefault="003C0C1A" w:rsidP="00EA53A8">
      <w:pPr>
        <w:jc w:val="both"/>
        <w:rPr>
          <w:sz w:val="24"/>
          <w:lang w:val="fr-FR"/>
        </w:rPr>
      </w:pPr>
    </w:p>
    <w:p w14:paraId="208F07C2" w14:textId="77777777" w:rsidR="003C0C1A" w:rsidRPr="00EA53A8" w:rsidRDefault="003C0C1A" w:rsidP="00EA53A8">
      <w:pPr>
        <w:jc w:val="both"/>
        <w:rPr>
          <w:sz w:val="24"/>
          <w:lang w:val="fr-FR"/>
        </w:rPr>
      </w:pPr>
      <w:r w:rsidRPr="00EA53A8">
        <w:rPr>
          <w:sz w:val="24"/>
          <w:lang w:val="fr-FR"/>
        </w:rPr>
        <w:t>6.</w:t>
      </w:r>
      <w:r w:rsidRPr="00EA53A8">
        <w:rPr>
          <w:sz w:val="24"/>
          <w:lang w:val="fr-FR"/>
        </w:rPr>
        <w:tab/>
        <w:t>Le système de la Liste rouge de l’UICN est un système de classification hiérarchique, qui a été élaboré pour évaluer et mettre en évidence les espèces animales et végétales dont le risque d’extinction est élevé. Créée en 1963 et utilisée dans un premier temps par la Commission de la sauvegarde des espèces (SSC) de l’UICN, la Liste rouge de l’UICN a créé une norme mondiale pour les efforts d’évaluation concernant l’inscription et la conservation des espèces. Depuis près de 50 ans, la SSC évalue l’état de conservation des espèces et des sous-espèces à l’échelle mondiale – en mettant en évidence celles qui sont menacées d’extinction et en encourageant leur conservation.</w:t>
      </w:r>
    </w:p>
    <w:p w14:paraId="2A294E1B" w14:textId="77777777" w:rsidR="003C0C1A" w:rsidRPr="00EA53A8" w:rsidRDefault="003C0C1A" w:rsidP="00EA53A8">
      <w:pPr>
        <w:jc w:val="both"/>
        <w:rPr>
          <w:sz w:val="24"/>
          <w:lang w:val="fr-FR"/>
        </w:rPr>
      </w:pPr>
    </w:p>
    <w:p w14:paraId="0DA6373B" w14:textId="77777777" w:rsidR="003C0C1A" w:rsidRPr="00EA53A8" w:rsidRDefault="003C0C1A" w:rsidP="00EA53A8">
      <w:pPr>
        <w:jc w:val="both"/>
        <w:rPr>
          <w:sz w:val="24"/>
          <w:lang w:val="fr-FR"/>
        </w:rPr>
      </w:pPr>
      <w:r w:rsidRPr="00EA53A8">
        <w:rPr>
          <w:sz w:val="24"/>
          <w:lang w:val="fr-FR"/>
        </w:rPr>
        <w:t>7.</w:t>
      </w:r>
      <w:r w:rsidRPr="00EA53A8">
        <w:rPr>
          <w:sz w:val="24"/>
          <w:lang w:val="fr-FR"/>
        </w:rPr>
        <w:tab/>
        <w:t>Ce système a été élaboré pour attirer l’attention sur les mesures de conservation conçues pour protéger les espèces en danger. Au fil du temps, l’UICN a reconnu la nécessité d’un système plus objectif et plus scientifique pour déterminer l’état des menaces, ainsi que le besoin d’élaborer un système plus exact, aux fins d’utilisation aux niveaux national et régional. Les catégories de la Liste rouge de l’UICN ont été redéfinies au début des années 1990, dans le cadre d’une vaste consultation et d’essais approfondis, auxquels ont participé plus de 800 membres de la SSC et la communauté scientifique élargie. Cette révision a eu pour résultat une approche plus précise et quantitative, qui a été adoptée par l’UICN en 1994 (UICN 1994).</w:t>
      </w:r>
    </w:p>
    <w:p w14:paraId="3CA1889B" w14:textId="77777777" w:rsidR="003C0C1A" w:rsidRPr="00EA53A8" w:rsidRDefault="003C0C1A" w:rsidP="00EA53A8">
      <w:pPr>
        <w:jc w:val="both"/>
        <w:rPr>
          <w:sz w:val="24"/>
          <w:lang w:val="fr-FR"/>
        </w:rPr>
      </w:pPr>
    </w:p>
    <w:p w14:paraId="1C0288AA" w14:textId="77777777" w:rsidR="003C0C1A" w:rsidRPr="00EA53A8" w:rsidRDefault="003C0C1A" w:rsidP="00EA53A8">
      <w:pPr>
        <w:jc w:val="both"/>
        <w:rPr>
          <w:sz w:val="24"/>
          <w:lang w:val="fr-FR"/>
        </w:rPr>
      </w:pPr>
      <w:r w:rsidRPr="00EA53A8">
        <w:rPr>
          <w:sz w:val="24"/>
          <w:lang w:val="fr-FR"/>
        </w:rPr>
        <w:t>8.</w:t>
      </w:r>
      <w:r w:rsidRPr="00EA53A8">
        <w:rPr>
          <w:sz w:val="24"/>
          <w:lang w:val="fr-FR"/>
        </w:rPr>
        <w:tab/>
        <w:t xml:space="preserve">Depuis leur adoption en 1994, les catégories ont été largement reconnues mondialement et sont désormais utilisées dans une vaste gamme de publications et d’inventaires produits par l’UICN, ainsi que par de nombreuses organisations gouvernementales et non-gouvernementales. Du fait de leur application large et étendue, les critères sont révisés régulièrement, afin de garantir leur applicabilité à un large éventail d’organismes vivants, en particulier aux espèces ayant une longue durée de vie et celles soumises à une exploitation intensive. </w:t>
      </w:r>
    </w:p>
    <w:p w14:paraId="284199E2" w14:textId="77777777" w:rsidR="003C0C1A" w:rsidRPr="00EA53A8" w:rsidRDefault="003C0C1A" w:rsidP="00EA53A8">
      <w:pPr>
        <w:jc w:val="both"/>
        <w:rPr>
          <w:sz w:val="24"/>
          <w:lang w:val="fr-FR"/>
        </w:rPr>
      </w:pPr>
    </w:p>
    <w:p w14:paraId="77B92873" w14:textId="77777777" w:rsidR="003C0C1A" w:rsidRPr="00EA53A8" w:rsidRDefault="003C0C1A" w:rsidP="00EA53A8">
      <w:pPr>
        <w:jc w:val="both"/>
        <w:rPr>
          <w:sz w:val="24"/>
          <w:lang w:val="fr-FR"/>
        </w:rPr>
      </w:pPr>
      <w:r w:rsidRPr="00EA53A8">
        <w:rPr>
          <w:sz w:val="24"/>
          <w:lang w:val="fr-FR"/>
        </w:rPr>
        <w:t>9.</w:t>
      </w:r>
      <w:r w:rsidRPr="00EA53A8">
        <w:rPr>
          <w:sz w:val="24"/>
          <w:lang w:val="fr-FR"/>
        </w:rPr>
        <w:tab/>
        <w:t xml:space="preserve">En 2000, la SSC a procédé à une révision complète des catégories et critères utilisés pour inscrire des espèces sur la Liste rouge de l’UICN. Cette révision a abouti à un système plus clair, plus ouvert et plus facile à utiliser. En s’intéressant tout particulièrement aux espèces marines, aux espèces exploitées et aux fluctuations de population, cette révision a permis d’améliorer l’efficacité des catégories et critères de la Liste rouge, comme indicateurs de risque d’extinction. Une vaste consultation et des essais approfondis lors de l’élaboration du système, suivis d’une large adoption par un grand nombre d’organisations gouvernementales, intergouvernementales et non-gouvernementales, indiquent clairement que </w:t>
      </w:r>
      <w:r w:rsidRPr="00EA53A8">
        <w:rPr>
          <w:sz w:val="24"/>
          <w:lang w:val="fr-FR"/>
        </w:rPr>
        <w:lastRenderedPageBreak/>
        <w:t xml:space="preserve">ce système est désormais bien établi dans la plupart des organismes. </w:t>
      </w:r>
    </w:p>
    <w:p w14:paraId="1551AA35" w14:textId="77777777" w:rsidR="003C0C1A" w:rsidRPr="00EA53A8" w:rsidRDefault="003C0C1A" w:rsidP="00EA53A8">
      <w:pPr>
        <w:jc w:val="both"/>
        <w:rPr>
          <w:sz w:val="24"/>
          <w:lang w:val="fr-FR"/>
        </w:rPr>
      </w:pPr>
    </w:p>
    <w:p w14:paraId="41D792BC" w14:textId="77777777" w:rsidR="00EA53A8" w:rsidRDefault="003C0C1A" w:rsidP="00EA53A8">
      <w:pPr>
        <w:jc w:val="both"/>
        <w:rPr>
          <w:sz w:val="24"/>
          <w:lang w:val="fr-FR"/>
        </w:rPr>
      </w:pPr>
      <w:r w:rsidRPr="00EA53A8">
        <w:rPr>
          <w:sz w:val="24"/>
          <w:lang w:val="fr-FR"/>
        </w:rPr>
        <w:t>10.</w:t>
      </w:r>
      <w:r w:rsidRPr="00EA53A8">
        <w:rPr>
          <w:sz w:val="24"/>
          <w:lang w:val="fr-FR"/>
        </w:rPr>
        <w:tab/>
        <w:t>Les Lignes directrices pour l’utilisation des catégories et critères de l’UICN ont été révisées dernièrement par le Conseil de l’UICN, en février 2014 (UICN 2014). Il convient de noter que pendant plusieurs années, l’UICN n’a pas examiné ou révisé les critères eux-mêmes, mais a affiné les orientations sur la manière de les utiliser.</w:t>
      </w:r>
    </w:p>
    <w:p w14:paraId="53BB64FC" w14:textId="77777777" w:rsidR="00EA53A8" w:rsidRDefault="00EA53A8" w:rsidP="00EA53A8">
      <w:pPr>
        <w:jc w:val="both"/>
        <w:rPr>
          <w:sz w:val="24"/>
          <w:lang w:val="fr-FR"/>
        </w:rPr>
      </w:pPr>
    </w:p>
    <w:p w14:paraId="6D7DCBCA" w14:textId="571E004C" w:rsidR="003C0C1A" w:rsidRDefault="003C0C1A" w:rsidP="00EA53A8">
      <w:pPr>
        <w:jc w:val="both"/>
        <w:rPr>
          <w:b/>
          <w:bCs/>
          <w:sz w:val="24"/>
          <w:lang w:val="fr-FR"/>
        </w:rPr>
      </w:pPr>
      <w:r w:rsidRPr="00EA53A8">
        <w:rPr>
          <w:b/>
          <w:bCs/>
          <w:sz w:val="24"/>
          <w:lang w:val="fr-FR"/>
        </w:rPr>
        <w:t>Description des catégories d’inscription</w:t>
      </w:r>
    </w:p>
    <w:p w14:paraId="34FE3AE7" w14:textId="77777777" w:rsidR="00EA53A8" w:rsidRPr="00EA53A8" w:rsidRDefault="00EA53A8" w:rsidP="00EA53A8">
      <w:pPr>
        <w:jc w:val="both"/>
        <w:rPr>
          <w:sz w:val="24"/>
          <w:lang w:val="fr-FR"/>
        </w:rPr>
      </w:pPr>
    </w:p>
    <w:p w14:paraId="0DFFF4A1" w14:textId="77777777" w:rsidR="003C0C1A" w:rsidRPr="00EA53A8" w:rsidRDefault="003C0C1A" w:rsidP="003C0C1A">
      <w:pPr>
        <w:ind w:left="720" w:hanging="720"/>
        <w:jc w:val="both"/>
        <w:rPr>
          <w:sz w:val="24"/>
          <w:lang w:val="fr-FR"/>
        </w:rPr>
      </w:pPr>
      <w:r w:rsidRPr="00EA53A8">
        <w:rPr>
          <w:sz w:val="24"/>
          <w:lang w:val="fr-FR"/>
        </w:rPr>
        <w:t>11.</w:t>
      </w:r>
      <w:r w:rsidRPr="00EA53A8">
        <w:rPr>
          <w:sz w:val="24"/>
          <w:lang w:val="fr-FR"/>
        </w:rPr>
        <w:tab/>
        <w:t>L’UICN (2014) définit les catégories de menaces suivantes :</w:t>
      </w:r>
    </w:p>
    <w:p w14:paraId="2F587BDD" w14:textId="77777777" w:rsidR="003C0C1A" w:rsidRPr="00EA53A8" w:rsidRDefault="003C0C1A" w:rsidP="003C0C1A">
      <w:pPr>
        <w:ind w:left="720" w:hanging="720"/>
        <w:jc w:val="both"/>
        <w:rPr>
          <w:sz w:val="24"/>
          <w:lang w:val="fr-FR"/>
        </w:rPr>
      </w:pPr>
    </w:p>
    <w:p w14:paraId="709489AD" w14:textId="77777777" w:rsidR="003C0C1A" w:rsidRPr="00EA53A8" w:rsidRDefault="003C0C1A" w:rsidP="003C0C1A">
      <w:pPr>
        <w:spacing w:after="120"/>
        <w:ind w:left="720"/>
        <w:jc w:val="both"/>
        <w:rPr>
          <w:sz w:val="24"/>
          <w:lang w:val="fr-FR"/>
        </w:rPr>
      </w:pPr>
      <w:r w:rsidRPr="00EA53A8">
        <w:rPr>
          <w:b/>
          <w:bCs/>
          <w:sz w:val="24"/>
          <w:lang w:val="fr-FR"/>
        </w:rPr>
        <w:t xml:space="preserve">Éteint (EX) </w:t>
      </w:r>
      <w:r w:rsidRPr="00EA53A8">
        <w:rPr>
          <w:sz w:val="24"/>
          <w:lang w:val="fr-FR"/>
        </w:rPr>
        <w:t xml:space="preserve">– Un taxon est dit </w:t>
      </w:r>
      <w:r w:rsidRPr="00EA53A8">
        <w:rPr>
          <w:i/>
          <w:sz w:val="24"/>
          <w:lang w:val="fr-FR"/>
        </w:rPr>
        <w:t>Éteint</w:t>
      </w:r>
      <w:r w:rsidRPr="00EA53A8">
        <w:rPr>
          <w:sz w:val="24"/>
          <w:lang w:val="fr-FR"/>
        </w:rPr>
        <w:t xml:space="preserve"> lorsqu’il n’y a aucun doute raisonnable sur la mort du dernier individu. </w:t>
      </w:r>
    </w:p>
    <w:p w14:paraId="0D729B20" w14:textId="77777777" w:rsidR="003C0C1A" w:rsidRPr="00EA53A8" w:rsidRDefault="003C0C1A" w:rsidP="003C0C1A">
      <w:pPr>
        <w:spacing w:after="120"/>
        <w:ind w:left="720"/>
        <w:jc w:val="both"/>
        <w:rPr>
          <w:sz w:val="24"/>
          <w:lang w:val="fr-FR"/>
        </w:rPr>
      </w:pPr>
      <w:r w:rsidRPr="00EA53A8">
        <w:rPr>
          <w:b/>
          <w:bCs/>
          <w:sz w:val="24"/>
          <w:lang w:val="fr-FR"/>
        </w:rPr>
        <w:t xml:space="preserve">Éteint à l’état sauvage (EW) </w:t>
      </w:r>
      <w:r w:rsidRPr="00EA53A8">
        <w:rPr>
          <w:sz w:val="24"/>
          <w:lang w:val="fr-FR"/>
        </w:rPr>
        <w:t xml:space="preserve">– Un taxon est dit </w:t>
      </w:r>
      <w:r w:rsidRPr="00EA53A8">
        <w:rPr>
          <w:i/>
          <w:sz w:val="24"/>
          <w:lang w:val="fr-FR"/>
        </w:rPr>
        <w:t>Éteint à l’état sauvage</w:t>
      </w:r>
      <w:r w:rsidRPr="00EA53A8">
        <w:rPr>
          <w:sz w:val="24"/>
          <w:lang w:val="fr-FR"/>
        </w:rPr>
        <w:t xml:space="preserve"> lorsqu’il ne survit qu’en culture, en captivité ou au sein d’une population (ou des populations) naturalisée(s), nettement en dehors de son ancienne aire de répartition.</w:t>
      </w:r>
    </w:p>
    <w:p w14:paraId="00B5D60C" w14:textId="77777777" w:rsidR="003C0C1A" w:rsidRPr="00EA53A8" w:rsidRDefault="003C0C1A" w:rsidP="003C0C1A">
      <w:pPr>
        <w:spacing w:after="120"/>
        <w:ind w:left="720"/>
        <w:jc w:val="both"/>
        <w:rPr>
          <w:sz w:val="24"/>
          <w:lang w:val="fr-FR"/>
        </w:rPr>
      </w:pPr>
      <w:r w:rsidRPr="00EA53A8">
        <w:rPr>
          <w:b/>
          <w:bCs/>
          <w:sz w:val="24"/>
          <w:lang w:val="fr-FR"/>
        </w:rPr>
        <w:t xml:space="preserve">En danger critique d’extinction (CR) </w:t>
      </w:r>
      <w:r w:rsidRPr="00EA53A8">
        <w:rPr>
          <w:sz w:val="24"/>
          <w:lang w:val="fr-FR"/>
        </w:rPr>
        <w:t xml:space="preserve">– Un taxon est dit </w:t>
      </w:r>
      <w:r w:rsidRPr="00EA53A8">
        <w:rPr>
          <w:i/>
          <w:sz w:val="24"/>
          <w:lang w:val="fr-FR"/>
        </w:rPr>
        <w:t>En danger critique d’extinction</w:t>
      </w:r>
      <w:r w:rsidRPr="00EA53A8">
        <w:rPr>
          <w:sz w:val="24"/>
          <w:lang w:val="fr-FR"/>
        </w:rPr>
        <w:t xml:space="preserve"> lorsque les meilleures données disponibles indiquent qu’il remplit l’un des critères A à E correspondant à la catégorie En danger critique d’extinction (UICN 2011, Tableau 2.1) et, en conséquence, qu’il est confronté à un risque extrêmement élevé d’extinction à l’état sauvage.</w:t>
      </w:r>
    </w:p>
    <w:p w14:paraId="5AE13F68" w14:textId="77777777" w:rsidR="003C0C1A" w:rsidRPr="00EA53A8" w:rsidRDefault="003C0C1A" w:rsidP="003C0C1A">
      <w:pPr>
        <w:spacing w:after="120"/>
        <w:ind w:left="720"/>
        <w:jc w:val="both"/>
        <w:rPr>
          <w:sz w:val="24"/>
          <w:lang w:val="fr-FR"/>
        </w:rPr>
      </w:pPr>
      <w:r w:rsidRPr="00EA53A8">
        <w:rPr>
          <w:b/>
          <w:bCs/>
          <w:sz w:val="24"/>
          <w:lang w:val="fr-FR"/>
        </w:rPr>
        <w:t xml:space="preserve">En danger (EN) </w:t>
      </w:r>
      <w:r w:rsidRPr="00EA53A8">
        <w:rPr>
          <w:sz w:val="24"/>
          <w:lang w:val="fr-FR"/>
        </w:rPr>
        <w:t xml:space="preserve">– Un taxon est dit </w:t>
      </w:r>
      <w:r w:rsidRPr="00EA53A8">
        <w:rPr>
          <w:i/>
          <w:sz w:val="24"/>
          <w:lang w:val="fr-FR"/>
        </w:rPr>
        <w:t>En danger</w:t>
      </w:r>
      <w:r w:rsidRPr="00EA53A8">
        <w:rPr>
          <w:sz w:val="24"/>
          <w:lang w:val="fr-FR"/>
        </w:rPr>
        <w:t xml:space="preserve"> lorsque les meilleures données disponibles indiquent qu’il remplit l’un des critères A à E correspondant à la catégorie En danger (UICN 2011, Tableau 2.1) et, en conséquence, qu’il est confronté à un risque très élevé d’extinction à l’état sauvage.</w:t>
      </w:r>
    </w:p>
    <w:p w14:paraId="0E4A69B4" w14:textId="77777777" w:rsidR="003C0C1A" w:rsidRPr="00EA53A8" w:rsidRDefault="003C0C1A" w:rsidP="003C0C1A">
      <w:pPr>
        <w:spacing w:after="120"/>
        <w:ind w:left="720"/>
        <w:jc w:val="both"/>
        <w:rPr>
          <w:sz w:val="24"/>
          <w:lang w:val="fr-FR"/>
        </w:rPr>
      </w:pPr>
      <w:r w:rsidRPr="00EA53A8">
        <w:rPr>
          <w:b/>
          <w:bCs/>
          <w:sz w:val="24"/>
          <w:lang w:val="fr-FR"/>
        </w:rPr>
        <w:t xml:space="preserve">Vulnérable (VU) </w:t>
      </w:r>
      <w:r w:rsidRPr="00EA53A8">
        <w:rPr>
          <w:sz w:val="24"/>
          <w:lang w:val="fr-FR"/>
        </w:rPr>
        <w:t xml:space="preserve">– Un taxon est dit </w:t>
      </w:r>
      <w:r w:rsidRPr="00EA53A8">
        <w:rPr>
          <w:i/>
          <w:sz w:val="24"/>
          <w:lang w:val="fr-FR"/>
        </w:rPr>
        <w:t>Vulnérable</w:t>
      </w:r>
      <w:r w:rsidRPr="00EA53A8">
        <w:rPr>
          <w:sz w:val="24"/>
          <w:lang w:val="fr-FR"/>
        </w:rPr>
        <w:t xml:space="preserve"> lorsque les meilleures données disponibles indiquent qu’il remplit l’un des critères A à E correspondant à la catégorie Vulnérable (UICN 2011, Tableau 2.1) et, en conséquence, qu’il est confronté à un risque élevé d’extinction à l’état sauvage.</w:t>
      </w:r>
    </w:p>
    <w:p w14:paraId="57C5D310" w14:textId="77777777" w:rsidR="003C0C1A" w:rsidRPr="00EA53A8" w:rsidRDefault="003C0C1A" w:rsidP="003C0C1A">
      <w:pPr>
        <w:spacing w:after="120"/>
        <w:ind w:left="720"/>
        <w:jc w:val="both"/>
        <w:rPr>
          <w:sz w:val="24"/>
          <w:lang w:val="fr-FR"/>
        </w:rPr>
      </w:pPr>
      <w:r w:rsidRPr="00EA53A8">
        <w:rPr>
          <w:b/>
          <w:bCs/>
          <w:sz w:val="24"/>
          <w:lang w:val="fr-FR"/>
        </w:rPr>
        <w:t xml:space="preserve">Quasi menacé (NT) </w:t>
      </w:r>
      <w:r w:rsidRPr="00EA53A8">
        <w:rPr>
          <w:sz w:val="24"/>
          <w:lang w:val="fr-FR"/>
        </w:rPr>
        <w:t xml:space="preserve">– Un taxon est dit </w:t>
      </w:r>
      <w:r w:rsidRPr="00EA53A8">
        <w:rPr>
          <w:i/>
          <w:sz w:val="24"/>
          <w:lang w:val="fr-FR"/>
        </w:rPr>
        <w:t>Quasi menacé</w:t>
      </w:r>
      <w:r w:rsidRPr="00EA53A8">
        <w:rPr>
          <w:sz w:val="24"/>
          <w:lang w:val="fr-FR"/>
        </w:rPr>
        <w:t xml:space="preserve"> lorsqu’il a été évalué d’après les critères et ne remplit pas, pour l’instant, les critères des catégories En danger critique d’extinction, En danger ou Vulnérable, mais qu’il est près de remplir les critères correspondant aux catégories du groupe Menacé ou qu’il les remplira probablement dans un proche avenir.</w:t>
      </w:r>
    </w:p>
    <w:p w14:paraId="5B3F0140" w14:textId="77777777" w:rsidR="003C0C1A" w:rsidRPr="00EA53A8" w:rsidRDefault="003C0C1A" w:rsidP="003C0C1A">
      <w:pPr>
        <w:spacing w:after="120"/>
        <w:ind w:left="720"/>
        <w:jc w:val="both"/>
        <w:rPr>
          <w:sz w:val="24"/>
          <w:lang w:val="fr-FR"/>
        </w:rPr>
      </w:pPr>
      <w:r w:rsidRPr="00EA53A8">
        <w:rPr>
          <w:b/>
          <w:bCs/>
          <w:sz w:val="24"/>
          <w:lang w:val="fr-FR"/>
        </w:rPr>
        <w:t xml:space="preserve">Préoccupation mineure (LC) </w:t>
      </w:r>
      <w:r w:rsidRPr="00EA53A8">
        <w:rPr>
          <w:sz w:val="24"/>
          <w:lang w:val="fr-FR"/>
        </w:rPr>
        <w:t xml:space="preserve">– Un taxon est dit de </w:t>
      </w:r>
      <w:r w:rsidRPr="00EA53A8">
        <w:rPr>
          <w:i/>
          <w:sz w:val="24"/>
          <w:lang w:val="fr-FR"/>
        </w:rPr>
        <w:t>Préoccupation mineure</w:t>
      </w:r>
      <w:r w:rsidRPr="00EA53A8">
        <w:rPr>
          <w:sz w:val="24"/>
          <w:lang w:val="fr-FR"/>
        </w:rPr>
        <w:t xml:space="preserve"> lorsqu’il a été évalué d’après les critères et ne remplit pas les critères des catégories En danger critique d’extinction, En danger, Vulnérable ou Quasi menacé. Dans cette catégorie sont inclus les taxons largement répandus et abondants.</w:t>
      </w:r>
    </w:p>
    <w:p w14:paraId="1B1FD86F" w14:textId="77777777" w:rsidR="003C0C1A" w:rsidRPr="00EA53A8" w:rsidRDefault="003C0C1A" w:rsidP="003C0C1A">
      <w:pPr>
        <w:spacing w:after="120"/>
        <w:ind w:left="720"/>
        <w:jc w:val="both"/>
        <w:rPr>
          <w:sz w:val="24"/>
          <w:lang w:val="fr-FR"/>
        </w:rPr>
      </w:pPr>
      <w:r w:rsidRPr="00EA53A8">
        <w:rPr>
          <w:b/>
          <w:bCs/>
          <w:sz w:val="24"/>
          <w:lang w:val="fr-FR"/>
        </w:rPr>
        <w:t xml:space="preserve">Données insuffisantes (DD) </w:t>
      </w:r>
      <w:r w:rsidRPr="00EA53A8">
        <w:rPr>
          <w:sz w:val="24"/>
          <w:lang w:val="fr-FR"/>
        </w:rPr>
        <w:t xml:space="preserve">– Un taxon entre dans la catégorie </w:t>
      </w:r>
      <w:r w:rsidRPr="00EA53A8">
        <w:rPr>
          <w:i/>
          <w:sz w:val="24"/>
          <w:lang w:val="fr-FR"/>
        </w:rPr>
        <w:t>Données insuffisantes</w:t>
      </w:r>
      <w:r w:rsidRPr="00EA53A8">
        <w:rPr>
          <w:sz w:val="24"/>
          <w:lang w:val="fr-FR"/>
        </w:rPr>
        <w:t xml:space="preserve"> lorsqu’on ne dispose pas d’assez de données pour évaluer directement ou indirectement le risque d’extinction en fonction de sa distribution et/ou de l’état de sa population. Un taxon inscrit dans cette catégorie peut avoir fait l’objet d’études approfondies et sa biologie peut être bien connue, sans que l’on dispose pour autant de données pertinentes sur l’abondance et/ou la distribution. Données insuffisantes ne constitue donc une catégorie de menace.</w:t>
      </w:r>
    </w:p>
    <w:p w14:paraId="2FBEC82F" w14:textId="77777777" w:rsidR="003C0C1A" w:rsidRPr="00EA53A8" w:rsidRDefault="003C0C1A" w:rsidP="003C0C1A">
      <w:pPr>
        <w:ind w:left="720"/>
        <w:jc w:val="both"/>
        <w:rPr>
          <w:sz w:val="24"/>
          <w:lang w:val="fr-FR"/>
        </w:rPr>
      </w:pPr>
      <w:r w:rsidRPr="00EA53A8">
        <w:rPr>
          <w:b/>
          <w:bCs/>
          <w:sz w:val="24"/>
          <w:lang w:val="fr-FR"/>
        </w:rPr>
        <w:t xml:space="preserve">Non évalué (NE) </w:t>
      </w:r>
      <w:r w:rsidRPr="00EA53A8">
        <w:rPr>
          <w:sz w:val="24"/>
          <w:lang w:val="fr-FR"/>
        </w:rPr>
        <w:t xml:space="preserve">– Un taxon est dit </w:t>
      </w:r>
      <w:r w:rsidRPr="00EA53A8">
        <w:rPr>
          <w:i/>
          <w:sz w:val="24"/>
          <w:lang w:val="fr-FR"/>
        </w:rPr>
        <w:t>Non évalué</w:t>
      </w:r>
      <w:r w:rsidRPr="00EA53A8">
        <w:rPr>
          <w:sz w:val="24"/>
          <w:lang w:val="fr-FR"/>
        </w:rPr>
        <w:t xml:space="preserve"> lorsqu’il n’a pas encore été évalué au regard des critères.</w:t>
      </w:r>
    </w:p>
    <w:p w14:paraId="45126CD8" w14:textId="77777777" w:rsidR="003C0C1A" w:rsidRPr="00EA53A8" w:rsidRDefault="003C0C1A" w:rsidP="003C0C1A">
      <w:pPr>
        <w:ind w:left="720"/>
        <w:jc w:val="both"/>
        <w:rPr>
          <w:sz w:val="24"/>
          <w:lang w:val="fr-FR"/>
        </w:rPr>
      </w:pPr>
    </w:p>
    <w:p w14:paraId="6EE67607" w14:textId="77777777" w:rsidR="003C0C1A" w:rsidRPr="00EA53A8" w:rsidRDefault="003C0C1A" w:rsidP="0052367D">
      <w:pPr>
        <w:spacing w:after="120"/>
        <w:jc w:val="both"/>
        <w:rPr>
          <w:sz w:val="24"/>
          <w:lang w:val="fr-FR"/>
        </w:rPr>
      </w:pPr>
      <w:r w:rsidRPr="00EA53A8">
        <w:rPr>
          <w:sz w:val="24"/>
          <w:lang w:val="fr-FR"/>
        </w:rPr>
        <w:lastRenderedPageBreak/>
        <w:t>12.</w:t>
      </w:r>
      <w:r w:rsidRPr="00EA53A8">
        <w:rPr>
          <w:sz w:val="24"/>
          <w:lang w:val="fr-FR"/>
        </w:rPr>
        <w:tab/>
        <w:t>Pour être inscrit dans une des catégories susmentionnées, un taxon doit être évalué  au regard de cinq critères quantitatifs – s’il remplit l’un de ces critères, le taxon est inscrit dans la catégorie de menace correspondante. Les cinq critères font l’objet d’une description détaillée dans le document de l’UICN (2011), et sont les suivants :</w:t>
      </w:r>
    </w:p>
    <w:p w14:paraId="1A4AE966" w14:textId="12BF306B" w:rsidR="003C0C1A" w:rsidRPr="00EA53A8" w:rsidRDefault="00EA53A8" w:rsidP="003C0C1A">
      <w:pPr>
        <w:tabs>
          <w:tab w:val="left" w:pos="1134"/>
        </w:tabs>
        <w:ind w:firstLine="720"/>
        <w:jc w:val="both"/>
        <w:rPr>
          <w:sz w:val="24"/>
          <w:lang w:val="fr-FR"/>
        </w:rPr>
      </w:pPr>
      <w:r>
        <w:rPr>
          <w:sz w:val="24"/>
          <w:lang w:val="fr-FR"/>
        </w:rPr>
        <w:t>A.</w:t>
      </w:r>
      <w:r>
        <w:rPr>
          <w:sz w:val="24"/>
          <w:lang w:val="fr-FR"/>
        </w:rPr>
        <w:tab/>
      </w:r>
      <w:r w:rsidR="003C0C1A" w:rsidRPr="00EA53A8">
        <w:rPr>
          <w:sz w:val="24"/>
          <w:lang w:val="fr-FR"/>
        </w:rPr>
        <w:t>Réduction de la taille de la population;</w:t>
      </w:r>
    </w:p>
    <w:p w14:paraId="46E8B576" w14:textId="77777777" w:rsidR="003C0C1A" w:rsidRPr="00EA53A8" w:rsidRDefault="003C0C1A" w:rsidP="003C0C1A">
      <w:pPr>
        <w:tabs>
          <w:tab w:val="left" w:pos="1134"/>
        </w:tabs>
        <w:ind w:firstLine="720"/>
        <w:jc w:val="both"/>
        <w:rPr>
          <w:sz w:val="24"/>
          <w:lang w:val="fr-FR"/>
        </w:rPr>
      </w:pPr>
    </w:p>
    <w:p w14:paraId="68864DAD" w14:textId="77777777" w:rsidR="003C0C1A" w:rsidRPr="00EA53A8" w:rsidRDefault="003C0C1A" w:rsidP="003C0C1A">
      <w:pPr>
        <w:tabs>
          <w:tab w:val="left" w:pos="1134"/>
        </w:tabs>
        <w:ind w:left="1166" w:hanging="446"/>
        <w:jc w:val="both"/>
        <w:rPr>
          <w:sz w:val="24"/>
          <w:lang w:val="fr-FR"/>
        </w:rPr>
      </w:pPr>
      <w:r w:rsidRPr="00EA53A8">
        <w:rPr>
          <w:sz w:val="24"/>
          <w:lang w:val="fr-FR"/>
        </w:rPr>
        <w:t xml:space="preserve">B. </w:t>
      </w:r>
      <w:r w:rsidRPr="00EA53A8">
        <w:rPr>
          <w:sz w:val="24"/>
          <w:lang w:val="fr-FR"/>
        </w:rPr>
        <w:tab/>
        <w:t>Répartition géographique limitée en termes soit d’occurrence, soit de zone d’occupation;</w:t>
      </w:r>
    </w:p>
    <w:p w14:paraId="035ECF93" w14:textId="77777777" w:rsidR="003C0C1A" w:rsidRPr="00EA53A8" w:rsidRDefault="003C0C1A" w:rsidP="003C0C1A">
      <w:pPr>
        <w:tabs>
          <w:tab w:val="left" w:pos="1134"/>
        </w:tabs>
        <w:ind w:left="1166" w:hanging="446"/>
        <w:jc w:val="both"/>
        <w:rPr>
          <w:sz w:val="24"/>
          <w:lang w:val="fr-FR"/>
        </w:rPr>
      </w:pPr>
    </w:p>
    <w:p w14:paraId="674DF931" w14:textId="77777777" w:rsidR="003C0C1A" w:rsidRPr="00EA53A8" w:rsidRDefault="003C0C1A" w:rsidP="003C0C1A">
      <w:pPr>
        <w:tabs>
          <w:tab w:val="left" w:pos="1134"/>
        </w:tabs>
        <w:ind w:firstLine="720"/>
        <w:jc w:val="both"/>
        <w:rPr>
          <w:sz w:val="24"/>
          <w:lang w:val="fr-FR"/>
        </w:rPr>
      </w:pPr>
      <w:r w:rsidRPr="00EA53A8">
        <w:rPr>
          <w:sz w:val="24"/>
          <w:lang w:val="fr-FR"/>
        </w:rPr>
        <w:t xml:space="preserve">C. </w:t>
      </w:r>
      <w:r w:rsidRPr="00EA53A8">
        <w:rPr>
          <w:sz w:val="24"/>
          <w:lang w:val="fr-FR"/>
        </w:rPr>
        <w:tab/>
        <w:t>Réduction des effectifs;</w:t>
      </w:r>
    </w:p>
    <w:p w14:paraId="355DAEE2" w14:textId="77777777" w:rsidR="003C0C1A" w:rsidRPr="00EA53A8" w:rsidRDefault="003C0C1A" w:rsidP="003C0C1A">
      <w:pPr>
        <w:tabs>
          <w:tab w:val="left" w:pos="1134"/>
        </w:tabs>
        <w:ind w:firstLine="720"/>
        <w:jc w:val="both"/>
        <w:rPr>
          <w:sz w:val="24"/>
          <w:lang w:val="fr-FR"/>
        </w:rPr>
      </w:pPr>
    </w:p>
    <w:p w14:paraId="660AE506" w14:textId="77777777" w:rsidR="003C0C1A" w:rsidRPr="00EA53A8" w:rsidRDefault="003C0C1A" w:rsidP="003C0C1A">
      <w:pPr>
        <w:tabs>
          <w:tab w:val="left" w:pos="1134"/>
        </w:tabs>
        <w:ind w:firstLine="720"/>
        <w:jc w:val="both"/>
        <w:rPr>
          <w:sz w:val="24"/>
          <w:lang w:val="fr-FR"/>
        </w:rPr>
      </w:pPr>
      <w:r w:rsidRPr="00EA53A8">
        <w:rPr>
          <w:sz w:val="24"/>
          <w:lang w:val="fr-FR"/>
        </w:rPr>
        <w:t xml:space="preserve">D. </w:t>
      </w:r>
      <w:r w:rsidRPr="00EA53A8">
        <w:rPr>
          <w:sz w:val="24"/>
          <w:lang w:val="fr-FR"/>
        </w:rPr>
        <w:tab/>
        <w:t>Population réduite;</w:t>
      </w:r>
    </w:p>
    <w:p w14:paraId="4B00F79D" w14:textId="77777777" w:rsidR="003C0C1A" w:rsidRPr="00EA53A8" w:rsidRDefault="003C0C1A" w:rsidP="003C0C1A">
      <w:pPr>
        <w:tabs>
          <w:tab w:val="left" w:pos="1134"/>
        </w:tabs>
        <w:ind w:firstLine="720"/>
        <w:jc w:val="both"/>
        <w:rPr>
          <w:sz w:val="24"/>
          <w:lang w:val="fr-FR"/>
        </w:rPr>
      </w:pPr>
    </w:p>
    <w:p w14:paraId="7F28131B" w14:textId="77777777" w:rsidR="003C0C1A" w:rsidRPr="00EA53A8" w:rsidRDefault="003C0C1A" w:rsidP="003C0C1A">
      <w:pPr>
        <w:tabs>
          <w:tab w:val="left" w:pos="1134"/>
        </w:tabs>
        <w:ind w:firstLine="720"/>
        <w:jc w:val="both"/>
        <w:rPr>
          <w:sz w:val="24"/>
          <w:lang w:val="fr-FR"/>
        </w:rPr>
      </w:pPr>
      <w:r w:rsidRPr="00EA53A8">
        <w:rPr>
          <w:sz w:val="24"/>
          <w:lang w:val="fr-FR"/>
        </w:rPr>
        <w:t xml:space="preserve">E. </w:t>
      </w:r>
      <w:r w:rsidRPr="00EA53A8">
        <w:rPr>
          <w:sz w:val="24"/>
          <w:lang w:val="fr-FR"/>
        </w:rPr>
        <w:tab/>
        <w:t>Probabilité d’extinction élevée.</w:t>
      </w:r>
    </w:p>
    <w:p w14:paraId="3F71E12E" w14:textId="77777777" w:rsidR="003C0C1A" w:rsidRPr="00EA53A8" w:rsidRDefault="003C0C1A" w:rsidP="003C0C1A">
      <w:pPr>
        <w:tabs>
          <w:tab w:val="left" w:pos="1134"/>
        </w:tabs>
        <w:ind w:firstLine="720"/>
        <w:jc w:val="both"/>
        <w:rPr>
          <w:sz w:val="24"/>
          <w:lang w:val="fr-FR"/>
        </w:rPr>
      </w:pPr>
    </w:p>
    <w:p w14:paraId="793F4AFC" w14:textId="77777777" w:rsidR="0052367D" w:rsidRDefault="003C0C1A" w:rsidP="0052367D">
      <w:pPr>
        <w:spacing w:after="240"/>
        <w:jc w:val="both"/>
        <w:rPr>
          <w:sz w:val="24"/>
          <w:lang w:val="fr-FR"/>
        </w:rPr>
      </w:pPr>
      <w:r w:rsidRPr="00EA53A8">
        <w:rPr>
          <w:sz w:val="24"/>
          <w:lang w:val="fr-FR"/>
        </w:rPr>
        <w:t>13.</w:t>
      </w:r>
      <w:r w:rsidRPr="00EA53A8">
        <w:rPr>
          <w:sz w:val="24"/>
          <w:lang w:val="fr-FR"/>
        </w:rPr>
        <w:tab/>
        <w:t>Les critères peuvent être appliqués à toute unité taxonomique, au niveau de l’espèce ou à un niveau inférieur. Les catégories de la Liste rouge de l’UICN sont conçues comme un système facile à comprendre par un vaste public, afin de classer les espèces dont le risque d’extinction est élevé à l’échelle mondiale. L’objectif général du système est de fournir un cadre explicite et objectif pour la classification d’un éventail de taxons le plus large possible, selon leur risque d’extinction.</w:t>
      </w:r>
    </w:p>
    <w:p w14:paraId="1F7EFF20" w14:textId="0C2CA35B" w:rsidR="003C0C1A" w:rsidRPr="0052367D" w:rsidRDefault="003C0C1A" w:rsidP="0052367D">
      <w:pPr>
        <w:spacing w:after="240"/>
        <w:ind w:left="720" w:hanging="720"/>
        <w:jc w:val="both"/>
        <w:rPr>
          <w:sz w:val="24"/>
          <w:lang w:val="fr-FR"/>
        </w:rPr>
      </w:pPr>
      <w:r w:rsidRPr="00EA53A8">
        <w:rPr>
          <w:b/>
          <w:bCs/>
          <w:sz w:val="24"/>
          <w:lang w:val="fr-FR"/>
        </w:rPr>
        <w:t>Conséquences pour la CMS</w:t>
      </w:r>
    </w:p>
    <w:p w14:paraId="660E2C4A" w14:textId="77777777" w:rsidR="003C0C1A" w:rsidRPr="001442FB" w:rsidRDefault="003C0C1A" w:rsidP="0052367D">
      <w:pPr>
        <w:jc w:val="both"/>
        <w:rPr>
          <w:sz w:val="24"/>
          <w:lang w:val="fr-FR"/>
        </w:rPr>
      </w:pPr>
      <w:r w:rsidRPr="00EA53A8">
        <w:rPr>
          <w:sz w:val="24"/>
          <w:lang w:val="fr-FR"/>
        </w:rPr>
        <w:t>14.</w:t>
      </w:r>
      <w:r w:rsidRPr="00EA53A8">
        <w:rPr>
          <w:sz w:val="24"/>
          <w:lang w:val="fr-FR"/>
        </w:rPr>
        <w:tab/>
        <w:t xml:space="preserve">La Convention prévoit l’inscription d’espèces à l’Annexe I et à l’Annexe II, indiquant clairement que les deux listes ont été conçues pour générer des mesures de conservation différentes par les Parties. L’Annexe I souligne le besoin de conservation des habitats, de retrait des obstacles à la migration et de gestion des menaces (paragraphe 4 de l’Article III) par une Partie ou des Parties, tandis que l’Annexe II met en avant la coopération internationale et la conclusion d’accords internationaux. </w:t>
      </w:r>
      <w:r w:rsidRPr="001442FB">
        <w:rPr>
          <w:sz w:val="24"/>
          <w:lang w:val="fr-FR"/>
        </w:rPr>
        <w:t xml:space="preserve">L’avantage en matière de conservation n’est pas explicitement mentionné dans le texte de la Convention comme étant un critère d’inscription sur l’Annexe I. Néanmoins, le fait que toutes les espèces migratrices ne </w:t>
      </w:r>
      <w:proofErr w:type="spellStart"/>
      <w:r w:rsidRPr="001442FB">
        <w:rPr>
          <w:sz w:val="24"/>
          <w:lang w:val="fr-FR"/>
        </w:rPr>
        <w:t>soientpas</w:t>
      </w:r>
      <w:proofErr w:type="spellEnd"/>
      <w:r w:rsidRPr="001442FB">
        <w:rPr>
          <w:sz w:val="24"/>
          <w:lang w:val="fr-FR"/>
        </w:rPr>
        <w:t xml:space="preserve"> inscrites sur la liste de l’Annexe I implique que les Parties implicitement portent un jugement sur l’avantage en matière de conservation lorsqu’elles proposent ou actualisent l’inscription d’espèces à l’Annexe I. Sur cette base, et pour clarifier le processus d’inscription, il serait bon de </w:t>
      </w:r>
      <w:proofErr w:type="spellStart"/>
      <w:r w:rsidRPr="001442FB">
        <w:rPr>
          <w:sz w:val="24"/>
          <w:lang w:val="fr-FR"/>
        </w:rPr>
        <w:t>solliciterdes</w:t>
      </w:r>
      <w:proofErr w:type="spellEnd"/>
      <w:r w:rsidRPr="001442FB">
        <w:rPr>
          <w:sz w:val="24"/>
          <w:lang w:val="fr-FR"/>
        </w:rPr>
        <w:t xml:space="preserve"> informations explicites sur les avantages anticipés en matière de conservation pour l’inscription de toutes les propositions –que ce soit pour l’Annexe I ou l’Annexe II.</w:t>
      </w:r>
    </w:p>
    <w:p w14:paraId="48C5FF87" w14:textId="77777777" w:rsidR="003C0C1A" w:rsidRPr="001442FB" w:rsidRDefault="003C0C1A" w:rsidP="0052367D">
      <w:pPr>
        <w:jc w:val="both"/>
        <w:rPr>
          <w:sz w:val="24"/>
          <w:lang w:val="fr-FR"/>
        </w:rPr>
      </w:pPr>
    </w:p>
    <w:p w14:paraId="6EE8C66A" w14:textId="77777777" w:rsidR="003C0C1A" w:rsidRPr="001442FB" w:rsidRDefault="003C0C1A" w:rsidP="0052367D">
      <w:pPr>
        <w:jc w:val="both"/>
        <w:rPr>
          <w:sz w:val="24"/>
          <w:lang w:val="fr-FR"/>
        </w:rPr>
      </w:pPr>
      <w:r w:rsidRPr="001442FB">
        <w:rPr>
          <w:sz w:val="24"/>
          <w:lang w:val="fr-FR"/>
        </w:rPr>
        <w:t>15.</w:t>
      </w:r>
      <w:r w:rsidRPr="001442FB">
        <w:rPr>
          <w:sz w:val="24"/>
          <w:lang w:val="fr-FR"/>
        </w:rPr>
        <w:tab/>
      </w:r>
      <w:r w:rsidRPr="00EA53A8">
        <w:rPr>
          <w:rStyle w:val="hps"/>
          <w:sz w:val="24"/>
          <w:lang w:val="fr-FR"/>
        </w:rPr>
        <w:t>Pour</w:t>
      </w:r>
      <w:r w:rsidRPr="00EA53A8">
        <w:rPr>
          <w:sz w:val="24"/>
          <w:lang w:val="fr-FR"/>
        </w:rPr>
        <w:t xml:space="preserve"> </w:t>
      </w:r>
      <w:r w:rsidRPr="00EA53A8">
        <w:rPr>
          <w:rStyle w:val="hps"/>
          <w:sz w:val="24"/>
          <w:lang w:val="fr-FR"/>
        </w:rPr>
        <w:t>éviter tout doute</w:t>
      </w:r>
      <w:r w:rsidRPr="00EA53A8">
        <w:rPr>
          <w:sz w:val="24"/>
          <w:lang w:val="fr-FR"/>
        </w:rPr>
        <w:t xml:space="preserve">, </w:t>
      </w:r>
      <w:r w:rsidRPr="00EA53A8">
        <w:rPr>
          <w:rStyle w:val="hps"/>
          <w:sz w:val="24"/>
          <w:lang w:val="fr-FR"/>
        </w:rPr>
        <w:t>cette nouvelle proposition</w:t>
      </w:r>
      <w:r w:rsidRPr="00EA53A8">
        <w:rPr>
          <w:sz w:val="24"/>
          <w:lang w:val="fr-FR"/>
        </w:rPr>
        <w:t xml:space="preserve"> </w:t>
      </w:r>
      <w:r w:rsidRPr="00EA53A8">
        <w:rPr>
          <w:rStyle w:val="hps"/>
          <w:sz w:val="24"/>
          <w:lang w:val="fr-FR"/>
        </w:rPr>
        <w:t>ne vise pas à</w:t>
      </w:r>
      <w:r w:rsidRPr="00EA53A8">
        <w:rPr>
          <w:sz w:val="24"/>
          <w:lang w:val="fr-FR"/>
        </w:rPr>
        <w:t xml:space="preserve"> </w:t>
      </w:r>
      <w:r w:rsidRPr="00EA53A8">
        <w:rPr>
          <w:rStyle w:val="hps"/>
          <w:sz w:val="24"/>
          <w:lang w:val="fr-FR"/>
        </w:rPr>
        <w:t>être</w:t>
      </w:r>
      <w:r w:rsidRPr="00EA53A8">
        <w:rPr>
          <w:sz w:val="24"/>
          <w:lang w:val="fr-FR"/>
        </w:rPr>
        <w:t xml:space="preserve"> </w:t>
      </w:r>
      <w:r w:rsidRPr="00EA53A8">
        <w:rPr>
          <w:rStyle w:val="hps"/>
          <w:sz w:val="24"/>
          <w:lang w:val="fr-FR"/>
        </w:rPr>
        <w:t>rétrospective ou</w:t>
      </w:r>
      <w:r w:rsidRPr="00EA53A8">
        <w:rPr>
          <w:sz w:val="24"/>
          <w:lang w:val="fr-FR"/>
        </w:rPr>
        <w:t xml:space="preserve"> </w:t>
      </w:r>
      <w:r w:rsidRPr="00EA53A8">
        <w:rPr>
          <w:rStyle w:val="hps"/>
          <w:sz w:val="24"/>
          <w:lang w:val="fr-FR"/>
        </w:rPr>
        <w:t>conduire</w:t>
      </w:r>
      <w:r w:rsidRPr="00EA53A8">
        <w:rPr>
          <w:sz w:val="24"/>
          <w:lang w:val="fr-FR"/>
        </w:rPr>
        <w:t xml:space="preserve"> </w:t>
      </w:r>
      <w:r w:rsidRPr="00EA53A8">
        <w:rPr>
          <w:rStyle w:val="hps"/>
          <w:sz w:val="24"/>
          <w:lang w:val="fr-FR"/>
        </w:rPr>
        <w:t>à une révision</w:t>
      </w:r>
      <w:r w:rsidRPr="00EA53A8">
        <w:rPr>
          <w:sz w:val="24"/>
          <w:lang w:val="fr-FR"/>
        </w:rPr>
        <w:t xml:space="preserve"> </w:t>
      </w:r>
      <w:r w:rsidRPr="00EA53A8">
        <w:rPr>
          <w:rStyle w:val="hps"/>
          <w:sz w:val="24"/>
          <w:lang w:val="fr-FR"/>
        </w:rPr>
        <w:t>des</w:t>
      </w:r>
      <w:r w:rsidRPr="00EA53A8">
        <w:rPr>
          <w:sz w:val="24"/>
          <w:lang w:val="fr-FR"/>
        </w:rPr>
        <w:t xml:space="preserve"> </w:t>
      </w:r>
      <w:r w:rsidRPr="00EA53A8">
        <w:rPr>
          <w:rStyle w:val="hps"/>
          <w:sz w:val="24"/>
          <w:lang w:val="fr-FR"/>
        </w:rPr>
        <w:t>listes</w:t>
      </w:r>
      <w:r w:rsidRPr="00EA53A8">
        <w:rPr>
          <w:sz w:val="24"/>
          <w:lang w:val="fr-FR"/>
        </w:rPr>
        <w:t xml:space="preserve"> </w:t>
      </w:r>
      <w:r w:rsidRPr="00EA53A8">
        <w:rPr>
          <w:rStyle w:val="hps"/>
          <w:sz w:val="24"/>
          <w:lang w:val="fr-FR"/>
        </w:rPr>
        <w:t>existantes</w:t>
      </w:r>
      <w:r w:rsidRPr="00EA53A8">
        <w:rPr>
          <w:sz w:val="24"/>
          <w:lang w:val="fr-FR"/>
        </w:rPr>
        <w:t xml:space="preserve"> </w:t>
      </w:r>
      <w:r w:rsidRPr="00EA53A8">
        <w:rPr>
          <w:rStyle w:val="hps"/>
          <w:sz w:val="24"/>
          <w:lang w:val="fr-FR"/>
        </w:rPr>
        <w:t xml:space="preserve">aux Annexes </w:t>
      </w:r>
      <w:r w:rsidRPr="00EA53A8">
        <w:rPr>
          <w:sz w:val="24"/>
          <w:lang w:val="fr-FR"/>
        </w:rPr>
        <w:t xml:space="preserve">I ou </w:t>
      </w:r>
      <w:r w:rsidRPr="00EA53A8">
        <w:rPr>
          <w:rStyle w:val="hps"/>
          <w:sz w:val="24"/>
          <w:lang w:val="fr-FR"/>
        </w:rPr>
        <w:t>II</w:t>
      </w:r>
    </w:p>
    <w:p w14:paraId="7310D1AE" w14:textId="77777777" w:rsidR="003C0C1A" w:rsidRPr="00EA53A8" w:rsidRDefault="003C0C1A" w:rsidP="003C0C1A">
      <w:pPr>
        <w:spacing w:before="120" w:after="240"/>
        <w:jc w:val="both"/>
        <w:rPr>
          <w:i/>
          <w:sz w:val="24"/>
          <w:lang w:val="fr-FR"/>
        </w:rPr>
      </w:pPr>
      <w:r w:rsidRPr="00EA53A8">
        <w:rPr>
          <w:i/>
          <w:sz w:val="24"/>
          <w:lang w:val="fr-FR"/>
        </w:rPr>
        <w:t>Critères de l’Annexe I</w:t>
      </w:r>
    </w:p>
    <w:p w14:paraId="6749061B" w14:textId="77777777" w:rsidR="003C0C1A" w:rsidRPr="00EA53A8" w:rsidRDefault="003C0C1A" w:rsidP="0052367D">
      <w:pPr>
        <w:jc w:val="both"/>
        <w:rPr>
          <w:sz w:val="24"/>
          <w:lang w:val="fr-FR"/>
        </w:rPr>
      </w:pPr>
      <w:r w:rsidRPr="00EA53A8">
        <w:rPr>
          <w:sz w:val="24"/>
          <w:lang w:val="fr-FR"/>
        </w:rPr>
        <w:t>16.</w:t>
      </w:r>
      <w:r w:rsidRPr="00EA53A8">
        <w:rPr>
          <w:sz w:val="24"/>
          <w:lang w:val="fr-FR"/>
        </w:rPr>
        <w:tab/>
        <w:t xml:space="preserve">Les exigences prescrites par la CMS pour inscrire des espèces ou des populations à l’Annexe I sont énoncées </w:t>
      </w:r>
      <w:proofErr w:type="gramStart"/>
      <w:r w:rsidRPr="00EA53A8">
        <w:rPr>
          <w:sz w:val="24"/>
          <w:lang w:val="fr-FR"/>
        </w:rPr>
        <w:t>aux paragraphes</w:t>
      </w:r>
      <w:proofErr w:type="gramEnd"/>
      <w:r w:rsidRPr="00EA53A8">
        <w:rPr>
          <w:sz w:val="24"/>
          <w:lang w:val="fr-FR"/>
        </w:rPr>
        <w:t xml:space="preserve"> 1 et 2 de l’Article III :</w:t>
      </w:r>
    </w:p>
    <w:p w14:paraId="777C2A6C" w14:textId="77777777" w:rsidR="003C0C1A" w:rsidRPr="00EA53A8" w:rsidRDefault="003C0C1A" w:rsidP="003C0C1A">
      <w:pPr>
        <w:ind w:left="720" w:hanging="720"/>
        <w:jc w:val="both"/>
        <w:rPr>
          <w:sz w:val="24"/>
          <w:lang w:val="fr-FR"/>
        </w:rPr>
      </w:pPr>
    </w:p>
    <w:p w14:paraId="717471A9" w14:textId="77777777" w:rsidR="003C0C1A" w:rsidRPr="00EA53A8" w:rsidRDefault="003C0C1A" w:rsidP="003C0C1A">
      <w:pPr>
        <w:ind w:left="720" w:hanging="720"/>
        <w:jc w:val="both"/>
        <w:rPr>
          <w:i/>
          <w:sz w:val="24"/>
          <w:lang w:val="fr-FR"/>
        </w:rPr>
      </w:pPr>
      <w:r w:rsidRPr="00EA53A8">
        <w:rPr>
          <w:sz w:val="24"/>
          <w:lang w:val="fr-FR"/>
        </w:rPr>
        <w:tab/>
      </w:r>
      <w:r w:rsidRPr="00EA53A8">
        <w:rPr>
          <w:i/>
          <w:sz w:val="24"/>
          <w:lang w:val="fr-FR"/>
        </w:rPr>
        <w:t>« </w:t>
      </w:r>
      <w:r w:rsidRPr="00EA53A8">
        <w:rPr>
          <w:i/>
          <w:iCs/>
          <w:sz w:val="24"/>
          <w:lang w:val="fr-FR"/>
        </w:rPr>
        <w:t>L'Annexe I énumère des espèces migratrices en danger. Une espèce migratrice peut figurer à l'Annexe I à condition qu'il soit établi sur la base de données probantes, notamment des meilleures données scientifiques disponibles, que cette espèce est en danger.</w:t>
      </w:r>
      <w:r w:rsidRPr="00EA53A8">
        <w:rPr>
          <w:i/>
          <w:sz w:val="24"/>
          <w:lang w:val="fr-FR"/>
        </w:rPr>
        <w:t> »</w:t>
      </w:r>
    </w:p>
    <w:p w14:paraId="1B394720" w14:textId="77777777" w:rsidR="003C0C1A" w:rsidRPr="00EA53A8" w:rsidRDefault="003C0C1A" w:rsidP="003C0C1A">
      <w:pPr>
        <w:ind w:left="720" w:hanging="720"/>
        <w:jc w:val="both"/>
        <w:rPr>
          <w:i/>
          <w:sz w:val="24"/>
          <w:lang w:val="fr-FR"/>
        </w:rPr>
      </w:pPr>
    </w:p>
    <w:p w14:paraId="7F6A4B4C" w14:textId="77777777" w:rsidR="003C0C1A" w:rsidRPr="00EA53A8" w:rsidRDefault="003C0C1A" w:rsidP="0052367D">
      <w:pPr>
        <w:jc w:val="both"/>
        <w:rPr>
          <w:sz w:val="24"/>
          <w:lang w:val="fr-FR"/>
        </w:rPr>
      </w:pPr>
      <w:r w:rsidRPr="00EA53A8">
        <w:rPr>
          <w:sz w:val="24"/>
          <w:lang w:val="fr-FR"/>
        </w:rPr>
        <w:lastRenderedPageBreak/>
        <w:t>17.</w:t>
      </w:r>
      <w:r w:rsidRPr="00EA53A8">
        <w:rPr>
          <w:sz w:val="24"/>
          <w:lang w:val="fr-FR"/>
        </w:rPr>
        <w:tab/>
        <w:t>Le paragraphe 1 e) de l’Article I inclut la définition suivante du terme « </w:t>
      </w:r>
      <w:r w:rsidRPr="00EA53A8">
        <w:rPr>
          <w:i/>
          <w:sz w:val="24"/>
          <w:lang w:val="fr-FR"/>
        </w:rPr>
        <w:t>en danger »</w:t>
      </w:r>
      <w:r w:rsidRPr="00EA53A8">
        <w:rPr>
          <w:sz w:val="24"/>
          <w:lang w:val="fr-FR"/>
        </w:rPr>
        <w:t xml:space="preserve"> pour l’application de la Convention :</w:t>
      </w:r>
    </w:p>
    <w:p w14:paraId="2BD7970D" w14:textId="77777777" w:rsidR="003C0C1A" w:rsidRPr="00EA53A8" w:rsidRDefault="003C0C1A" w:rsidP="003C0C1A">
      <w:pPr>
        <w:ind w:left="720" w:hanging="720"/>
        <w:jc w:val="both"/>
        <w:rPr>
          <w:sz w:val="24"/>
          <w:lang w:val="fr-FR"/>
        </w:rPr>
      </w:pPr>
    </w:p>
    <w:p w14:paraId="08CA8BB1" w14:textId="77777777" w:rsidR="003C0C1A" w:rsidRPr="00EA53A8" w:rsidRDefault="003C0C1A" w:rsidP="003C0C1A">
      <w:pPr>
        <w:ind w:left="720" w:hanging="720"/>
        <w:jc w:val="both"/>
        <w:rPr>
          <w:i/>
          <w:sz w:val="24"/>
          <w:lang w:val="fr-FR"/>
        </w:rPr>
      </w:pPr>
      <w:r w:rsidRPr="00EA53A8">
        <w:rPr>
          <w:sz w:val="24"/>
          <w:lang w:val="fr-FR"/>
        </w:rPr>
        <w:tab/>
      </w:r>
      <w:r w:rsidRPr="00EA53A8">
        <w:rPr>
          <w:i/>
          <w:sz w:val="24"/>
          <w:lang w:val="fr-FR"/>
        </w:rPr>
        <w:t>« « En danger » signifie, pour une espèce migratrice donnée, que celle-ci est en danger d'extinction sur l'ensemble ou sur une partie importante de son aire de répartition. »</w:t>
      </w:r>
    </w:p>
    <w:p w14:paraId="5D5DC118" w14:textId="77777777" w:rsidR="003C0C1A" w:rsidRPr="00EA53A8" w:rsidRDefault="003C0C1A" w:rsidP="003C0C1A">
      <w:pPr>
        <w:ind w:left="720" w:hanging="720"/>
        <w:jc w:val="both"/>
        <w:rPr>
          <w:i/>
          <w:sz w:val="24"/>
          <w:lang w:val="fr-FR"/>
        </w:rPr>
      </w:pPr>
    </w:p>
    <w:p w14:paraId="70C58D9B" w14:textId="77777777" w:rsidR="003C0C1A" w:rsidRPr="00EA53A8" w:rsidRDefault="003C0C1A" w:rsidP="0052367D">
      <w:pPr>
        <w:jc w:val="both"/>
        <w:rPr>
          <w:sz w:val="24"/>
          <w:lang w:val="fr-FR"/>
        </w:rPr>
      </w:pPr>
      <w:r w:rsidRPr="00EA53A8">
        <w:rPr>
          <w:sz w:val="24"/>
          <w:lang w:val="fr-FR"/>
        </w:rPr>
        <w:t>18.</w:t>
      </w:r>
      <w:r w:rsidRPr="00EA53A8">
        <w:rPr>
          <w:sz w:val="24"/>
          <w:lang w:val="fr-FR"/>
        </w:rPr>
        <w:tab/>
        <w:t>La Convention semble avoir eu du mal à interpréter cette définition depuis son adoption. En 1997, la Résolution 5.3 a été approuvée par la COP5, suite à une recommandation du Conseil scientifique et du Comité permanent, qui ont interprété le terme « </w:t>
      </w:r>
      <w:r w:rsidRPr="00EA53A8">
        <w:rPr>
          <w:i/>
          <w:sz w:val="24"/>
          <w:lang w:val="fr-FR"/>
        </w:rPr>
        <w:t xml:space="preserve">en danger » </w:t>
      </w:r>
      <w:r w:rsidRPr="00EA53A8">
        <w:rPr>
          <w:sz w:val="24"/>
          <w:lang w:val="fr-FR"/>
        </w:rPr>
        <w:t>du paragraphe 1 e) de l’Article I de la Convention comme signifiant :</w:t>
      </w:r>
    </w:p>
    <w:p w14:paraId="65D675FB" w14:textId="77777777" w:rsidR="003C0C1A" w:rsidRPr="00EA53A8" w:rsidRDefault="003C0C1A" w:rsidP="003C0C1A">
      <w:pPr>
        <w:ind w:left="720" w:hanging="720"/>
        <w:jc w:val="both"/>
        <w:rPr>
          <w:sz w:val="24"/>
          <w:lang w:val="fr-FR"/>
        </w:rPr>
      </w:pPr>
    </w:p>
    <w:p w14:paraId="6F7915FE" w14:textId="77777777" w:rsidR="003C0C1A" w:rsidRDefault="003C0C1A" w:rsidP="003C0C1A">
      <w:pPr>
        <w:ind w:left="720"/>
        <w:jc w:val="both"/>
        <w:rPr>
          <w:i/>
          <w:sz w:val="24"/>
          <w:lang w:val="fr-FR"/>
        </w:rPr>
      </w:pPr>
      <w:r w:rsidRPr="00EA53A8">
        <w:rPr>
          <w:i/>
          <w:sz w:val="24"/>
          <w:lang w:val="fr-FR"/>
        </w:rPr>
        <w:t>« …exposé à l’état sauvage à un risque d’extinction très élevé et à court terme. »</w:t>
      </w:r>
    </w:p>
    <w:p w14:paraId="4EC5C1FD" w14:textId="77777777" w:rsidR="0052367D" w:rsidRPr="00EA53A8" w:rsidRDefault="0052367D" w:rsidP="003C0C1A">
      <w:pPr>
        <w:ind w:left="720"/>
        <w:jc w:val="both"/>
        <w:rPr>
          <w:i/>
          <w:sz w:val="24"/>
          <w:lang w:val="fr-FR"/>
        </w:rPr>
      </w:pPr>
    </w:p>
    <w:p w14:paraId="134D9C20" w14:textId="77777777" w:rsidR="003C0C1A" w:rsidRPr="00EA53A8" w:rsidRDefault="003C0C1A" w:rsidP="003C0C1A">
      <w:pPr>
        <w:ind w:left="720"/>
        <w:jc w:val="both"/>
        <w:rPr>
          <w:sz w:val="24"/>
          <w:lang w:val="fr-FR"/>
        </w:rPr>
      </w:pPr>
      <w:r w:rsidRPr="00EA53A8">
        <w:rPr>
          <w:sz w:val="24"/>
          <w:lang w:val="fr-FR"/>
        </w:rPr>
        <w:t>La Résolution 5.3 dispose en outre que la Convention :</w:t>
      </w:r>
    </w:p>
    <w:p w14:paraId="236B2C00" w14:textId="77777777" w:rsidR="003C0C1A" w:rsidRPr="00EA53A8" w:rsidRDefault="003C0C1A" w:rsidP="003C0C1A">
      <w:pPr>
        <w:ind w:left="720"/>
        <w:jc w:val="both"/>
        <w:rPr>
          <w:sz w:val="24"/>
          <w:lang w:val="fr-FR"/>
        </w:rPr>
      </w:pPr>
    </w:p>
    <w:p w14:paraId="6183D490" w14:textId="77777777" w:rsidR="003C0C1A" w:rsidRPr="00EA53A8" w:rsidRDefault="003C0C1A" w:rsidP="003C0C1A">
      <w:pPr>
        <w:ind w:left="720"/>
        <w:jc w:val="both"/>
        <w:rPr>
          <w:i/>
          <w:sz w:val="24"/>
          <w:lang w:val="fr-FR"/>
        </w:rPr>
      </w:pPr>
      <w:r w:rsidRPr="00EA53A8">
        <w:rPr>
          <w:i/>
          <w:sz w:val="24"/>
          <w:lang w:val="fr-FR"/>
        </w:rPr>
        <w:t>« Se fondera, pour évaluer ce danger aux fins d'inscription de l'espèce à l'Annexe I, sur les conclusions auxquelles a abouti le Conseil de l'UICN à sa quarantième réunion ou sur une évaluation indépendante faite par le Conseil scientifique à partir des meilleures données disponibles. »</w:t>
      </w:r>
    </w:p>
    <w:p w14:paraId="197E8CFB" w14:textId="77777777" w:rsidR="003C0C1A" w:rsidRPr="00EA53A8" w:rsidRDefault="003C0C1A" w:rsidP="003C0C1A">
      <w:pPr>
        <w:ind w:left="720"/>
        <w:jc w:val="both"/>
        <w:rPr>
          <w:i/>
          <w:sz w:val="24"/>
          <w:lang w:val="fr-FR"/>
        </w:rPr>
      </w:pPr>
    </w:p>
    <w:p w14:paraId="26F3258B" w14:textId="77777777" w:rsidR="003C0C1A" w:rsidRPr="00EA53A8" w:rsidRDefault="003C0C1A" w:rsidP="0052367D">
      <w:pPr>
        <w:jc w:val="both"/>
        <w:rPr>
          <w:sz w:val="24"/>
          <w:lang w:val="fr-FR"/>
        </w:rPr>
      </w:pPr>
      <w:r w:rsidRPr="00EA53A8">
        <w:rPr>
          <w:sz w:val="24"/>
          <w:lang w:val="fr-FR"/>
        </w:rPr>
        <w:t>19.</w:t>
      </w:r>
      <w:r w:rsidRPr="00EA53A8">
        <w:rPr>
          <w:sz w:val="24"/>
          <w:lang w:val="fr-FR"/>
        </w:rPr>
        <w:tab/>
        <w:t xml:space="preserve">Cette définition donnée dans la Résolution 5.3 est très proche de la définition du terme « en danger » retenue dans les Lignes directrices pour l’utilisation des catégories et critères de l’UICN (UICN 2014). Lorsqu’on y ajoute la reconnaissance, par la ScC11, de l’utilité d’utiliser les critères de l’UICN pour l’application des annexes de la CMS, on peut raisonnablement penser que ce principe est largement accepté par la Convention, certainement, au moins, en ce qui concerne l’inscription d’espèces à l’Annexe I. </w:t>
      </w:r>
    </w:p>
    <w:p w14:paraId="58F40D5A" w14:textId="77777777" w:rsidR="003C0C1A" w:rsidRPr="00EA53A8" w:rsidRDefault="003C0C1A" w:rsidP="0052367D">
      <w:pPr>
        <w:jc w:val="both"/>
        <w:rPr>
          <w:sz w:val="24"/>
          <w:lang w:val="fr-FR"/>
        </w:rPr>
      </w:pPr>
    </w:p>
    <w:p w14:paraId="25B116F4" w14:textId="36DEDCEB" w:rsidR="003C0C1A" w:rsidRDefault="003C0C1A" w:rsidP="0052367D">
      <w:pPr>
        <w:jc w:val="both"/>
        <w:rPr>
          <w:sz w:val="24"/>
          <w:lang w:val="fr-FR"/>
        </w:rPr>
      </w:pPr>
      <w:r w:rsidRPr="00EA53A8">
        <w:rPr>
          <w:sz w:val="24"/>
          <w:lang w:val="fr-FR"/>
        </w:rPr>
        <w:t>20.</w:t>
      </w:r>
      <w:r w:rsidRPr="00EA53A8">
        <w:rPr>
          <w:sz w:val="24"/>
          <w:lang w:val="fr-FR"/>
        </w:rPr>
        <w:tab/>
        <w:t xml:space="preserve">On peut considérer que les catégories et critères de l’UICN sont suffisamment développés et largement compris pour recommander leur utilisation dans le cadre de l’évaluation du bien-fondé de l’inscription d’un taxon à l’Annexe I de la CMS. </w:t>
      </w:r>
      <w:r w:rsidRPr="00EA53A8">
        <w:rPr>
          <w:sz w:val="24"/>
          <w:u w:val="single"/>
          <w:lang w:val="fr-FR"/>
        </w:rPr>
        <w:t>Il est suggéré qu’un taxon qui a été évalué comme « Éteint à l’état sauvage », « En danger critique d’extinction », « En danger » ou « Vulnérable » d’après les critères de la Liste rouge de l’UICN et qui fait l’objet d’une proposition d’inscription à l’Annexe I, soit envisagé pour une inscription à l’Annexe I</w:t>
      </w:r>
      <w:r w:rsidR="0052367D">
        <w:rPr>
          <w:sz w:val="24"/>
          <w:lang w:val="fr-FR"/>
        </w:rPr>
        <w:t>.</w:t>
      </w:r>
    </w:p>
    <w:p w14:paraId="1ECDF306" w14:textId="77777777" w:rsidR="0052367D" w:rsidRPr="00EA53A8" w:rsidRDefault="0052367D" w:rsidP="0052367D">
      <w:pPr>
        <w:jc w:val="both"/>
        <w:rPr>
          <w:sz w:val="24"/>
          <w:lang w:val="fr-FR"/>
        </w:rPr>
      </w:pPr>
    </w:p>
    <w:p w14:paraId="15CA5FA4" w14:textId="77777777" w:rsidR="003C0C1A" w:rsidRPr="00EA53A8" w:rsidRDefault="003C0C1A" w:rsidP="0052367D">
      <w:pPr>
        <w:jc w:val="both"/>
        <w:rPr>
          <w:sz w:val="24"/>
          <w:lang w:val="fr-FR"/>
        </w:rPr>
      </w:pPr>
      <w:r w:rsidRPr="00EA53A8">
        <w:rPr>
          <w:sz w:val="24"/>
          <w:lang w:val="fr-FR"/>
        </w:rPr>
        <w:t>21.</w:t>
      </w:r>
      <w:r w:rsidRPr="00EA53A8">
        <w:rPr>
          <w:sz w:val="24"/>
          <w:lang w:val="fr-FR"/>
        </w:rPr>
        <w:tab/>
        <w:t xml:space="preserve">Le fait d’inclure le terme « vulnérable » dans cette « définition » n’est pas conforme à la Résolution 5.3, mais le principe a déjà été validé par la Conférence des Parties dans sa Résolution 9.20, laquelle a recommandé que le Faucon sacre soit inscrit à l’Annexe I, à moins qu’il ne soit plus considéré par l’UICN comme étant « en danger critique d’extinction, « en danger » ou « vulnérable ». </w:t>
      </w:r>
    </w:p>
    <w:p w14:paraId="0FC3D79F" w14:textId="77777777" w:rsidR="003C0C1A" w:rsidRPr="00EA53A8" w:rsidRDefault="003C0C1A" w:rsidP="0052367D">
      <w:pPr>
        <w:jc w:val="both"/>
        <w:rPr>
          <w:sz w:val="24"/>
          <w:lang w:val="fr-FR"/>
        </w:rPr>
      </w:pPr>
    </w:p>
    <w:p w14:paraId="67339559" w14:textId="2D629F20" w:rsidR="003C0C1A" w:rsidRPr="00EA53A8" w:rsidRDefault="003C0C1A" w:rsidP="0052367D">
      <w:pPr>
        <w:jc w:val="both"/>
        <w:rPr>
          <w:sz w:val="24"/>
          <w:lang w:val="fr-FR"/>
        </w:rPr>
      </w:pPr>
      <w:r w:rsidRPr="00EA53A8">
        <w:rPr>
          <w:sz w:val="24"/>
          <w:lang w:val="fr-FR"/>
        </w:rPr>
        <w:t>22.</w:t>
      </w:r>
      <w:r w:rsidRPr="00EA53A8">
        <w:rPr>
          <w:sz w:val="24"/>
          <w:lang w:val="fr-FR"/>
        </w:rPr>
        <w:tab/>
        <w:t>Dans de nombreux cas, des évaluations indépendantes de la Liste rouge sont effectuées et régulièrement mises à jour par d’autres organisations. Lorsque ces évaluations sont réalisées par des groupes reconnus comme étant des experts dans ce domaine par l’UICN, elles pourraient être utilisées à titre d’information supplémentaire par le Conseil scientifique, lorsqu’il examine</w:t>
      </w:r>
      <w:r w:rsidR="0029594F">
        <w:rPr>
          <w:sz w:val="24"/>
          <w:lang w:val="fr-FR"/>
        </w:rPr>
        <w:t xml:space="preserve"> une proposition d’inscription.</w:t>
      </w:r>
    </w:p>
    <w:p w14:paraId="40F56614" w14:textId="77777777" w:rsidR="003C0C1A" w:rsidRPr="00EA53A8" w:rsidRDefault="003C0C1A" w:rsidP="003C0C1A">
      <w:pPr>
        <w:ind w:left="720" w:hanging="720"/>
        <w:jc w:val="both"/>
        <w:rPr>
          <w:sz w:val="24"/>
          <w:lang w:val="fr-FR"/>
        </w:rPr>
      </w:pPr>
    </w:p>
    <w:p w14:paraId="2159D294" w14:textId="77777777" w:rsidR="003C0C1A" w:rsidRPr="00EA53A8" w:rsidRDefault="003C0C1A" w:rsidP="0029594F">
      <w:pPr>
        <w:jc w:val="both"/>
        <w:rPr>
          <w:sz w:val="24"/>
          <w:lang w:val="fr-FR"/>
        </w:rPr>
      </w:pPr>
      <w:r w:rsidRPr="00EA53A8">
        <w:rPr>
          <w:sz w:val="24"/>
          <w:lang w:val="fr-FR"/>
        </w:rPr>
        <w:t>23.</w:t>
      </w:r>
      <w:r w:rsidRPr="00EA53A8">
        <w:rPr>
          <w:sz w:val="24"/>
          <w:lang w:val="fr-FR"/>
        </w:rPr>
        <w:tab/>
        <w:t xml:space="preserve">Les catégories de l’UICN reconnaissent les situations où un taxon peut être évalué comme « Données insuffisante » ou « Non évalué » (voir le paragraphe 11). Lorsqu’une évaluation de la Liste rouge applicable pour un ou plusieurs taxons n’est pas disponible au </w:t>
      </w:r>
      <w:r w:rsidRPr="00EA53A8">
        <w:rPr>
          <w:sz w:val="24"/>
          <w:lang w:val="fr-FR"/>
        </w:rPr>
        <w:lastRenderedPageBreak/>
        <w:t>moment où une proposition d’inscription est examinée, une décision d’inscrire ce taxon à l’Annexe I peut néanmoins être prise, après que le Conseil scientifique a effectué une évaluation quantitative, sur la base des meilleures données disponibles.</w:t>
      </w:r>
    </w:p>
    <w:p w14:paraId="0DF02BEB" w14:textId="77777777" w:rsidR="003C0C1A" w:rsidRPr="00EA53A8" w:rsidRDefault="003C0C1A" w:rsidP="0029594F">
      <w:pPr>
        <w:jc w:val="both"/>
        <w:rPr>
          <w:sz w:val="24"/>
          <w:lang w:val="fr-FR"/>
        </w:rPr>
      </w:pPr>
    </w:p>
    <w:p w14:paraId="51D19A08" w14:textId="77777777" w:rsidR="003C0C1A" w:rsidRPr="00EA53A8" w:rsidRDefault="003C0C1A" w:rsidP="0029594F">
      <w:pPr>
        <w:jc w:val="both"/>
        <w:rPr>
          <w:sz w:val="24"/>
          <w:u w:val="single"/>
          <w:lang w:val="fr-FR"/>
        </w:rPr>
      </w:pPr>
      <w:r w:rsidRPr="00EA53A8">
        <w:rPr>
          <w:sz w:val="24"/>
          <w:lang w:val="fr-FR"/>
        </w:rPr>
        <w:t>24.</w:t>
      </w:r>
      <w:r w:rsidRPr="00EA53A8">
        <w:rPr>
          <w:sz w:val="24"/>
          <w:lang w:val="fr-FR"/>
        </w:rPr>
        <w:tab/>
        <w:t xml:space="preserve">Si l’approche proposée au paragraphe 19 est adoptée par la CMS, il s’ensuivra </w:t>
      </w:r>
      <w:r w:rsidRPr="00EA53A8">
        <w:rPr>
          <w:sz w:val="24"/>
          <w:u w:val="single"/>
          <w:lang w:val="fr-FR"/>
        </w:rPr>
        <w:t>qu’un taxon qui ne remplit pas les critères de l’UICN pour les catégories de menaces EW, CR, EN ou VU ne devrait pas, en principe, être considéré comme un candidat approprié pour une inscription à l’Annexe I.</w:t>
      </w:r>
    </w:p>
    <w:p w14:paraId="710EFF91" w14:textId="77777777" w:rsidR="003C0C1A" w:rsidRPr="00EA53A8" w:rsidRDefault="003C0C1A" w:rsidP="003C0C1A">
      <w:pPr>
        <w:ind w:left="720" w:hanging="720"/>
        <w:jc w:val="both"/>
        <w:rPr>
          <w:sz w:val="24"/>
          <w:u w:val="single"/>
          <w:lang w:val="fr-FR"/>
        </w:rPr>
      </w:pPr>
    </w:p>
    <w:p w14:paraId="676F55A2" w14:textId="77777777" w:rsidR="003C0C1A" w:rsidRPr="00EA53A8" w:rsidRDefault="003C0C1A" w:rsidP="003C0C1A">
      <w:pPr>
        <w:jc w:val="both"/>
        <w:rPr>
          <w:i/>
          <w:sz w:val="24"/>
          <w:lang w:val="fr-FR"/>
        </w:rPr>
      </w:pPr>
      <w:r w:rsidRPr="00EA53A8">
        <w:rPr>
          <w:i/>
          <w:sz w:val="24"/>
          <w:lang w:val="fr-FR"/>
        </w:rPr>
        <w:t>Critères de l’Annexe II</w:t>
      </w:r>
    </w:p>
    <w:p w14:paraId="353520B6" w14:textId="77777777" w:rsidR="003C0C1A" w:rsidRPr="00EA53A8" w:rsidRDefault="003C0C1A" w:rsidP="003C0C1A">
      <w:pPr>
        <w:jc w:val="both"/>
        <w:rPr>
          <w:i/>
          <w:sz w:val="24"/>
          <w:lang w:val="fr-FR"/>
        </w:rPr>
      </w:pPr>
    </w:p>
    <w:p w14:paraId="5234BF6E" w14:textId="77777777" w:rsidR="003C0C1A" w:rsidRPr="00EA53A8" w:rsidRDefault="003C0C1A" w:rsidP="0029594F">
      <w:pPr>
        <w:jc w:val="both"/>
        <w:rPr>
          <w:sz w:val="24"/>
          <w:lang w:val="fr-FR"/>
        </w:rPr>
      </w:pPr>
      <w:r w:rsidRPr="00EA53A8">
        <w:rPr>
          <w:sz w:val="24"/>
          <w:lang w:val="fr-FR"/>
        </w:rPr>
        <w:t>25.</w:t>
      </w:r>
      <w:r w:rsidRPr="00EA53A8">
        <w:rPr>
          <w:sz w:val="24"/>
          <w:lang w:val="fr-FR"/>
        </w:rPr>
        <w:tab/>
        <w:t xml:space="preserve">Les exigences prescrites par la CMS pour inscrire des espèces ou des populations à l’Annexe II sont énoncées </w:t>
      </w:r>
      <w:proofErr w:type="gramStart"/>
      <w:r w:rsidRPr="00EA53A8">
        <w:rPr>
          <w:sz w:val="24"/>
          <w:lang w:val="fr-FR"/>
        </w:rPr>
        <w:t>aux paragraphes</w:t>
      </w:r>
      <w:proofErr w:type="gramEnd"/>
      <w:r w:rsidRPr="00EA53A8">
        <w:rPr>
          <w:sz w:val="24"/>
          <w:lang w:val="fr-FR"/>
        </w:rPr>
        <w:t xml:space="preserve"> 1 et 2 de l’article IV, et nécessitent que trois « tests »,  les deux premiers étant liés, soient satisfaits pour qu’une proposition d’inscription aboutisse à un succès :</w:t>
      </w:r>
    </w:p>
    <w:p w14:paraId="4CA0CC95" w14:textId="77777777" w:rsidR="003C0C1A" w:rsidRPr="00EA53A8" w:rsidRDefault="003C0C1A" w:rsidP="003C0C1A">
      <w:pPr>
        <w:ind w:left="720" w:hanging="720"/>
        <w:jc w:val="both"/>
        <w:rPr>
          <w:sz w:val="24"/>
          <w:lang w:val="fr-FR"/>
        </w:rPr>
      </w:pPr>
    </w:p>
    <w:p w14:paraId="4FD54000" w14:textId="77777777" w:rsidR="003C0C1A" w:rsidRPr="00EA53A8" w:rsidRDefault="003C0C1A" w:rsidP="003C0C1A">
      <w:pPr>
        <w:ind w:left="720"/>
        <w:jc w:val="both"/>
        <w:rPr>
          <w:sz w:val="24"/>
          <w:lang w:val="fr-FR"/>
        </w:rPr>
      </w:pPr>
      <w:r w:rsidRPr="00EA53A8">
        <w:rPr>
          <w:i/>
          <w:sz w:val="24"/>
          <w:lang w:val="fr-FR"/>
        </w:rPr>
        <w:t>« </w:t>
      </w:r>
      <w:r w:rsidRPr="00EA53A8">
        <w:rPr>
          <w:i/>
          <w:iCs/>
          <w:sz w:val="24"/>
          <w:lang w:val="fr-FR"/>
        </w:rPr>
        <w:t xml:space="preserve">L'Annexe II énumère des espèces migratrices dont </w:t>
      </w:r>
      <w:r w:rsidRPr="00EA53A8">
        <w:rPr>
          <w:i/>
          <w:iCs/>
          <w:sz w:val="24"/>
          <w:u w:val="single"/>
          <w:lang w:val="fr-FR"/>
        </w:rPr>
        <w:t>l'état de conservation est défavorable</w:t>
      </w:r>
      <w:r w:rsidRPr="00EA53A8">
        <w:rPr>
          <w:i/>
          <w:iCs/>
          <w:sz w:val="24"/>
          <w:lang w:val="fr-FR"/>
        </w:rPr>
        <w:t xml:space="preserve"> et qui nécessitent la conclusion d'accords internationaux pour leur conservation et leur gestion, ainsi que celles dont </w:t>
      </w:r>
      <w:r w:rsidRPr="00EA53A8">
        <w:rPr>
          <w:i/>
          <w:iCs/>
          <w:sz w:val="24"/>
          <w:u w:val="single"/>
          <w:lang w:val="fr-FR"/>
        </w:rPr>
        <w:t>l'état de conservation bénéficierait d'une manière significative de la coopération internationale</w:t>
      </w:r>
      <w:r w:rsidRPr="00EA53A8">
        <w:rPr>
          <w:i/>
          <w:iCs/>
          <w:sz w:val="24"/>
          <w:lang w:val="fr-FR"/>
        </w:rPr>
        <w:t xml:space="preserve"> qui résulterait d'un accord international</w:t>
      </w:r>
      <w:r w:rsidRPr="00EA53A8">
        <w:rPr>
          <w:i/>
          <w:sz w:val="24"/>
          <w:lang w:val="fr-FR"/>
        </w:rPr>
        <w:t>»</w:t>
      </w:r>
      <w:r w:rsidRPr="00EA53A8">
        <w:rPr>
          <w:sz w:val="24"/>
          <w:lang w:val="fr-FR"/>
        </w:rPr>
        <w:t>.</w:t>
      </w:r>
    </w:p>
    <w:p w14:paraId="430531F7" w14:textId="77777777" w:rsidR="003C0C1A" w:rsidRPr="00EA53A8" w:rsidRDefault="003C0C1A" w:rsidP="003C0C1A">
      <w:pPr>
        <w:ind w:left="720"/>
        <w:jc w:val="both"/>
        <w:rPr>
          <w:sz w:val="24"/>
          <w:lang w:val="fr-FR"/>
        </w:rPr>
      </w:pPr>
    </w:p>
    <w:p w14:paraId="395AB523" w14:textId="77777777" w:rsidR="003C0C1A" w:rsidRPr="0018560D" w:rsidRDefault="003C0C1A" w:rsidP="0029594F">
      <w:pPr>
        <w:jc w:val="both"/>
        <w:rPr>
          <w:sz w:val="24"/>
          <w:lang w:val="fr-FR"/>
        </w:rPr>
      </w:pPr>
      <w:r w:rsidRPr="00EA53A8">
        <w:rPr>
          <w:sz w:val="24"/>
          <w:lang w:val="fr-FR"/>
        </w:rPr>
        <w:t>26.</w:t>
      </w:r>
      <w:r w:rsidRPr="00EA53A8">
        <w:rPr>
          <w:sz w:val="24"/>
          <w:lang w:val="fr-FR"/>
        </w:rPr>
        <w:tab/>
        <w:t xml:space="preserve">Lors de l’évaluation de l’état de conservation d’un taxon (Test 1), il semble raisonnable de conclure que toute espèce considérée comme menacée d’extinction est dans un état de conservation défavorable, tandis que celles qui ne sont pas menacées d’extinction sont dans un état de conservation favorable. En appliquant une telle définition, tout taxon évalué comme étant  « Éteint à l’état sauvage », « En danger critique d’extinction », « En danger », « Vulnérable » ou « Quasi menacé » selon les critères de la Liste rouge de l’UICN pourrait certainement être considéré comme étant dans </w:t>
      </w:r>
      <w:r w:rsidRPr="00EA53A8">
        <w:rPr>
          <w:i/>
          <w:iCs/>
          <w:sz w:val="24"/>
          <w:lang w:val="fr-FR"/>
        </w:rPr>
        <w:t xml:space="preserve">« un état de conservation défavorable » </w:t>
      </w:r>
      <w:r w:rsidRPr="00EA53A8">
        <w:rPr>
          <w:sz w:val="24"/>
          <w:lang w:val="fr-FR"/>
        </w:rPr>
        <w:t xml:space="preserve">et satisfaire en conséquence le Test 1. Seule l’inclusion de la catégorie « Quasi menacé » pourrait sembler un peu contestable mais, étant donné que l’UICN définit un taxon de la catégorie « Quasi menacé » comme étant </w:t>
      </w:r>
      <w:r w:rsidRPr="00EA53A8">
        <w:rPr>
          <w:i/>
          <w:iCs/>
          <w:sz w:val="24"/>
          <w:lang w:val="fr-FR"/>
        </w:rPr>
        <w:t xml:space="preserve">« près de remplir les critères correspondant aux catégories du groupe Menacé ou qu’il les remplira probablement dans un proche avenir », </w:t>
      </w:r>
      <w:r w:rsidRPr="00EA53A8">
        <w:rPr>
          <w:sz w:val="24"/>
          <w:lang w:val="fr-FR"/>
        </w:rPr>
        <w:t>une telle classification indique de façon raisonnable un état de conversation non optimal.</w:t>
      </w:r>
      <w:r w:rsidRPr="0018560D">
        <w:rPr>
          <w:sz w:val="24"/>
          <w:lang w:val="fr-FR"/>
        </w:rPr>
        <w:t xml:space="preserve"> Tel que pour les inscriptions à l’Annexe I, l’échelle d’évaluation de la liste rouge doit correspondre à l’échelle des propositions d’inscription (voir paragraphe 20). Il serait utile aussi de fournir une interprétation du concept «future proche», une décennie semble être l’espace-temps pour lequel des prédictions peuvent être faites de manière réaliste</w:t>
      </w:r>
    </w:p>
    <w:p w14:paraId="67E3C279" w14:textId="77777777" w:rsidR="003C0C1A" w:rsidRPr="00EA53A8" w:rsidRDefault="003C0C1A" w:rsidP="0029594F">
      <w:pPr>
        <w:jc w:val="both"/>
        <w:rPr>
          <w:sz w:val="24"/>
          <w:lang w:val="fr-FR"/>
        </w:rPr>
      </w:pPr>
    </w:p>
    <w:p w14:paraId="27A89618" w14:textId="77777777" w:rsidR="003C0C1A" w:rsidRPr="00EA53A8" w:rsidRDefault="003C0C1A" w:rsidP="0029594F">
      <w:pPr>
        <w:jc w:val="both"/>
        <w:rPr>
          <w:sz w:val="24"/>
          <w:lang w:val="fr-FR"/>
        </w:rPr>
      </w:pPr>
      <w:r w:rsidRPr="00EA53A8">
        <w:rPr>
          <w:sz w:val="24"/>
          <w:lang w:val="fr-FR"/>
        </w:rPr>
        <w:t>27.</w:t>
      </w:r>
      <w:r w:rsidRPr="00EA53A8">
        <w:rPr>
          <w:sz w:val="24"/>
          <w:lang w:val="fr-FR"/>
        </w:rPr>
        <w:tab/>
        <w:t xml:space="preserve">Il convient de noter que pour pouvoir être inscrit à l’Annexe II, un taxon doit être dans un état de conservation défavorable </w:t>
      </w:r>
      <w:r w:rsidRPr="00EA53A8">
        <w:rPr>
          <w:b/>
          <w:sz w:val="24"/>
          <w:lang w:val="fr-FR"/>
        </w:rPr>
        <w:t>et</w:t>
      </w:r>
      <w:r w:rsidRPr="00EA53A8">
        <w:rPr>
          <w:sz w:val="24"/>
          <w:lang w:val="fr-FR"/>
        </w:rPr>
        <w:t xml:space="preserve"> nécessiter la conclusion d’accords internationaux pour sa conservation et sa gestion. En conséquence, même si un taxon répond aux critères des catégories de l’UICN, les conseillers scientifiques devront déterminer si le taxon nécessite un accord international pour sa conservation et sa gestion (Test 2). </w:t>
      </w:r>
    </w:p>
    <w:p w14:paraId="0992CD0C" w14:textId="77777777" w:rsidR="003C0C1A" w:rsidRPr="00EA53A8" w:rsidRDefault="003C0C1A" w:rsidP="0029594F">
      <w:pPr>
        <w:jc w:val="both"/>
        <w:rPr>
          <w:sz w:val="24"/>
          <w:lang w:val="fr-FR"/>
        </w:rPr>
      </w:pPr>
    </w:p>
    <w:p w14:paraId="5FD0ECEB" w14:textId="77777777" w:rsidR="003C0C1A" w:rsidRPr="00EA53A8" w:rsidRDefault="003C0C1A" w:rsidP="0029594F">
      <w:pPr>
        <w:jc w:val="both"/>
        <w:rPr>
          <w:sz w:val="24"/>
        </w:rPr>
      </w:pPr>
      <w:r w:rsidRPr="00EA53A8">
        <w:rPr>
          <w:sz w:val="24"/>
          <w:lang w:val="fr-FR"/>
        </w:rPr>
        <w:t>28.</w:t>
      </w:r>
      <w:r w:rsidRPr="00EA53A8">
        <w:rPr>
          <w:sz w:val="24"/>
          <w:lang w:val="fr-FR"/>
        </w:rPr>
        <w:tab/>
        <w:t xml:space="preserve">Les catégories et critères de l’UICN ne fournissent pas nécessairement des orientations pour déterminer si un taxon </w:t>
      </w:r>
      <w:r w:rsidRPr="00EA53A8">
        <w:rPr>
          <w:i/>
          <w:iCs/>
          <w:sz w:val="24"/>
          <w:lang w:val="fr-FR"/>
        </w:rPr>
        <w:t xml:space="preserve">« bénéficierait d'une manière significative de la coopération internationale qui résulterait d'un accord international </w:t>
      </w:r>
      <w:proofErr w:type="gramStart"/>
      <w:r w:rsidRPr="00EA53A8">
        <w:rPr>
          <w:i/>
          <w:iCs/>
          <w:sz w:val="24"/>
          <w:lang w:val="fr-FR"/>
        </w:rPr>
        <w:t>»(</w:t>
      </w:r>
      <w:proofErr w:type="gramEnd"/>
      <w:r w:rsidRPr="00EA53A8">
        <w:rPr>
          <w:iCs/>
          <w:sz w:val="24"/>
          <w:lang w:val="fr-FR"/>
        </w:rPr>
        <w:t>Test 3).</w:t>
      </w:r>
      <w:r w:rsidRPr="00EA53A8">
        <w:rPr>
          <w:i/>
          <w:iCs/>
          <w:sz w:val="24"/>
          <w:lang w:val="fr-FR"/>
        </w:rPr>
        <w:t xml:space="preserve"> </w:t>
      </w:r>
      <w:r w:rsidRPr="00EA53A8">
        <w:rPr>
          <w:sz w:val="24"/>
          <w:lang w:val="fr-FR"/>
        </w:rPr>
        <w:t xml:space="preserve">Une telle décision nécessite d’appliquer d’autres critères que ceux qui ont été élaborés pour évaluer l’état de conservation d’un taxon, et variera en fonction de différents facteurs propres au taxon. La meilleure solution consistera probablement à effectuer une évaluation au cas par </w:t>
      </w:r>
      <w:r w:rsidRPr="00EA53A8">
        <w:rPr>
          <w:sz w:val="24"/>
          <w:lang w:val="fr-FR"/>
        </w:rPr>
        <w:lastRenderedPageBreak/>
        <w:t>cas.</w:t>
      </w:r>
      <w:r w:rsidRPr="0018560D">
        <w:rPr>
          <w:sz w:val="24"/>
          <w:lang w:val="fr-FR"/>
        </w:rPr>
        <w:t xml:space="preserve"> </w:t>
      </w:r>
      <w:proofErr w:type="spellStart"/>
      <w:r w:rsidRPr="00EA53A8">
        <w:rPr>
          <w:sz w:val="24"/>
        </w:rPr>
        <w:t>Quelques</w:t>
      </w:r>
      <w:proofErr w:type="spellEnd"/>
      <w:r w:rsidRPr="00EA53A8">
        <w:rPr>
          <w:sz w:val="24"/>
        </w:rPr>
        <w:t xml:space="preserve"> </w:t>
      </w:r>
      <w:proofErr w:type="spellStart"/>
      <w:proofErr w:type="gramStart"/>
      <w:r w:rsidRPr="00EA53A8">
        <w:rPr>
          <w:sz w:val="24"/>
        </w:rPr>
        <w:t>principes</w:t>
      </w:r>
      <w:proofErr w:type="spellEnd"/>
      <w:proofErr w:type="gramEnd"/>
      <w:r w:rsidRPr="00EA53A8">
        <w:rPr>
          <w:sz w:val="24"/>
        </w:rPr>
        <w:t xml:space="preserve"> qui </w:t>
      </w:r>
      <w:proofErr w:type="spellStart"/>
      <w:r w:rsidRPr="00EA53A8">
        <w:rPr>
          <w:sz w:val="24"/>
        </w:rPr>
        <w:t>pourraient</w:t>
      </w:r>
      <w:proofErr w:type="spellEnd"/>
      <w:r w:rsidRPr="00EA53A8">
        <w:rPr>
          <w:sz w:val="24"/>
        </w:rPr>
        <w:t xml:space="preserve"> </w:t>
      </w:r>
      <w:proofErr w:type="spellStart"/>
      <w:r w:rsidRPr="00EA53A8">
        <w:rPr>
          <w:sz w:val="24"/>
        </w:rPr>
        <w:t>être</w:t>
      </w:r>
      <w:proofErr w:type="spellEnd"/>
      <w:r w:rsidRPr="00EA53A8">
        <w:rPr>
          <w:sz w:val="24"/>
        </w:rPr>
        <w:t xml:space="preserve"> appliqués </w:t>
      </w:r>
      <w:proofErr w:type="spellStart"/>
      <w:r w:rsidRPr="00EA53A8">
        <w:rPr>
          <w:sz w:val="24"/>
        </w:rPr>
        <w:t>si</w:t>
      </w:r>
      <w:proofErr w:type="spellEnd"/>
      <w:r w:rsidRPr="00EA53A8">
        <w:rPr>
          <w:sz w:val="24"/>
        </w:rPr>
        <w:t>:</w:t>
      </w:r>
    </w:p>
    <w:p w14:paraId="6D1DEFF9" w14:textId="77777777" w:rsidR="003C0C1A" w:rsidRPr="00EA53A8" w:rsidRDefault="003C0C1A" w:rsidP="003C0C1A">
      <w:pPr>
        <w:ind w:left="720" w:hanging="720"/>
        <w:jc w:val="both"/>
        <w:rPr>
          <w:sz w:val="24"/>
        </w:rPr>
      </w:pPr>
    </w:p>
    <w:p w14:paraId="308C2648" w14:textId="3B7F5DE6" w:rsidR="003C0C1A" w:rsidRPr="001442FB" w:rsidRDefault="003C0C1A" w:rsidP="003C0C1A">
      <w:pPr>
        <w:pStyle w:val="ListParagraph"/>
        <w:widowControl/>
        <w:numPr>
          <w:ilvl w:val="0"/>
          <w:numId w:val="50"/>
        </w:numPr>
        <w:autoSpaceDE/>
        <w:autoSpaceDN/>
        <w:adjustRightInd/>
        <w:contextualSpacing w:val="0"/>
        <w:jc w:val="both"/>
        <w:rPr>
          <w:sz w:val="24"/>
          <w:lang w:val="fr-FR"/>
        </w:rPr>
      </w:pPr>
      <w:r w:rsidRPr="001442FB">
        <w:rPr>
          <w:sz w:val="24"/>
          <w:lang w:val="fr-FR"/>
        </w:rPr>
        <w:t>une législation existante dans</w:t>
      </w:r>
      <w:r w:rsidR="0029594F" w:rsidRPr="001442FB">
        <w:rPr>
          <w:sz w:val="24"/>
          <w:lang w:val="fr-FR"/>
        </w:rPr>
        <w:t xml:space="preserve"> </w:t>
      </w:r>
      <w:r w:rsidRPr="001442FB">
        <w:rPr>
          <w:sz w:val="24"/>
          <w:lang w:val="fr-FR"/>
        </w:rPr>
        <w:t>les États de l’aire de répartition est suffisante, ou si une plus ample protection est nécessaire;</w:t>
      </w:r>
    </w:p>
    <w:p w14:paraId="0BA577B1" w14:textId="77777777" w:rsidR="003C0C1A" w:rsidRPr="001442FB" w:rsidRDefault="003C0C1A" w:rsidP="003C0C1A">
      <w:pPr>
        <w:pStyle w:val="ListParagraph"/>
        <w:widowControl/>
        <w:numPr>
          <w:ilvl w:val="0"/>
          <w:numId w:val="50"/>
        </w:numPr>
        <w:autoSpaceDE/>
        <w:autoSpaceDN/>
        <w:adjustRightInd/>
        <w:contextualSpacing w:val="0"/>
        <w:jc w:val="both"/>
        <w:rPr>
          <w:sz w:val="24"/>
          <w:lang w:val="fr-FR"/>
        </w:rPr>
      </w:pPr>
      <w:r w:rsidRPr="001442FB">
        <w:rPr>
          <w:sz w:val="24"/>
          <w:lang w:val="fr-FR"/>
        </w:rPr>
        <w:t>la majorité de la population de l’espèce concernée est migratrice ou sédentaire;</w:t>
      </w:r>
    </w:p>
    <w:p w14:paraId="65ED8B7A" w14:textId="77777777" w:rsidR="003C0C1A" w:rsidRPr="001442FB" w:rsidRDefault="003C0C1A" w:rsidP="003C0C1A">
      <w:pPr>
        <w:pStyle w:val="ListParagraph"/>
        <w:widowControl/>
        <w:numPr>
          <w:ilvl w:val="0"/>
          <w:numId w:val="50"/>
        </w:numPr>
        <w:autoSpaceDE/>
        <w:autoSpaceDN/>
        <w:adjustRightInd/>
        <w:contextualSpacing w:val="0"/>
        <w:jc w:val="both"/>
        <w:rPr>
          <w:sz w:val="24"/>
          <w:lang w:val="fr-FR"/>
        </w:rPr>
      </w:pPr>
      <w:r w:rsidRPr="001442FB">
        <w:rPr>
          <w:sz w:val="24"/>
          <w:lang w:val="fr-FR"/>
        </w:rPr>
        <w:t>les facteurs qui ont menés à un état de conservation défavorable sont anthropiques ou naturels;</w:t>
      </w:r>
    </w:p>
    <w:p w14:paraId="650CC0C7" w14:textId="77777777" w:rsidR="003C0C1A" w:rsidRPr="001442FB" w:rsidRDefault="003C0C1A" w:rsidP="003C0C1A">
      <w:pPr>
        <w:pStyle w:val="ListParagraph"/>
        <w:widowControl/>
        <w:numPr>
          <w:ilvl w:val="0"/>
          <w:numId w:val="50"/>
        </w:numPr>
        <w:autoSpaceDE/>
        <w:autoSpaceDN/>
        <w:adjustRightInd/>
        <w:contextualSpacing w:val="0"/>
        <w:jc w:val="both"/>
        <w:rPr>
          <w:sz w:val="24"/>
          <w:lang w:val="fr-FR"/>
        </w:rPr>
      </w:pPr>
      <w:r w:rsidRPr="001442FB">
        <w:rPr>
          <w:sz w:val="24"/>
          <w:lang w:val="fr-FR"/>
        </w:rPr>
        <w:t>des mesures/accords bilatéraux ou multilatéraux existants doivent être relancés ou modifiés;</w:t>
      </w:r>
    </w:p>
    <w:p w14:paraId="354C7CFE" w14:textId="77777777" w:rsidR="003C0C1A" w:rsidRPr="001442FB" w:rsidRDefault="003C0C1A" w:rsidP="003C0C1A">
      <w:pPr>
        <w:pStyle w:val="ListParagraph"/>
        <w:widowControl/>
        <w:numPr>
          <w:ilvl w:val="0"/>
          <w:numId w:val="50"/>
        </w:numPr>
        <w:autoSpaceDE/>
        <w:autoSpaceDN/>
        <w:adjustRightInd/>
        <w:contextualSpacing w:val="0"/>
        <w:jc w:val="both"/>
        <w:rPr>
          <w:sz w:val="24"/>
          <w:lang w:val="fr-FR"/>
        </w:rPr>
      </w:pPr>
      <w:r w:rsidRPr="001442FB">
        <w:rPr>
          <w:sz w:val="24"/>
          <w:lang w:val="fr-FR"/>
        </w:rPr>
        <w:t>tous les Etats de l’aire de répartition protègent déjà les espèces ou ont des plans de gestion et de reconstitution en place;</w:t>
      </w:r>
    </w:p>
    <w:p w14:paraId="5263E8ED" w14:textId="77777777" w:rsidR="003C0C1A" w:rsidRPr="0018560D" w:rsidRDefault="003C0C1A" w:rsidP="003C0C1A">
      <w:pPr>
        <w:pStyle w:val="ListParagraph"/>
        <w:widowControl/>
        <w:numPr>
          <w:ilvl w:val="0"/>
          <w:numId w:val="50"/>
        </w:numPr>
        <w:autoSpaceDE/>
        <w:autoSpaceDN/>
        <w:adjustRightInd/>
        <w:contextualSpacing w:val="0"/>
        <w:jc w:val="both"/>
        <w:rPr>
          <w:sz w:val="24"/>
          <w:lang w:val="fr-FR"/>
        </w:rPr>
      </w:pPr>
      <w:r w:rsidRPr="0018560D">
        <w:rPr>
          <w:sz w:val="24"/>
          <w:lang w:val="fr-FR"/>
        </w:rPr>
        <w:t>une inscription sur une Annexe de la CMS soutiendrait (ou compliquerait/perturberait) les discussions dans d’autres forums multilatéraux.</w:t>
      </w:r>
    </w:p>
    <w:p w14:paraId="5DEB9EF8" w14:textId="77777777" w:rsidR="003C0C1A" w:rsidRPr="0018560D" w:rsidRDefault="003C0C1A" w:rsidP="003C0C1A">
      <w:pPr>
        <w:ind w:left="720" w:hanging="720"/>
        <w:jc w:val="both"/>
        <w:rPr>
          <w:sz w:val="24"/>
          <w:lang w:val="fr-FR"/>
        </w:rPr>
      </w:pPr>
    </w:p>
    <w:p w14:paraId="333E65E3" w14:textId="4EAC2879" w:rsidR="003C0C1A" w:rsidRPr="00EA53A8" w:rsidRDefault="003C0C1A" w:rsidP="0029594F">
      <w:pPr>
        <w:jc w:val="both"/>
        <w:rPr>
          <w:sz w:val="24"/>
          <w:lang w:val="fr-FR"/>
        </w:rPr>
      </w:pPr>
      <w:r w:rsidRPr="00EA53A8">
        <w:rPr>
          <w:sz w:val="24"/>
          <w:lang w:val="fr-FR"/>
        </w:rPr>
        <w:t>29.</w:t>
      </w:r>
      <w:r w:rsidRPr="00EA53A8">
        <w:rPr>
          <w:sz w:val="24"/>
          <w:lang w:val="fr-FR"/>
        </w:rPr>
        <w:tab/>
        <w:t xml:space="preserve">Il est suggéré que toute proposition d’inscription à l’Annexe II soit considérée comme une procédure en trois étapes. La première étape devrait être basée sur l’état de conservation, tel que défini par les critères de la Liste rouge de l’UICN, et les taxons migrateurs classés comme « Éteint à l’état sauvage », « En danger critique d’extinction », « En danger », « Vulnérable » ou « Quasi menacé » seront admissibles pour une inscription à l’Annexe II. Ceux qui proposent l’inscription d’un taxon à l’Annexe II devront ensuite indiquer clairement comment cette inscription et la mise en place ultérieure d’une coopération internationale profiteront au taxon, et exprimer leur intention concernant la conclusion d’un accord international. Quelques-uns des avantages en matière de conservation pourraient être qu’un accord a) aiderait à empêcher les espèces à devenir éligible pour l’inscription à l’Annexe I dans un futur proche et/ou b) un accord pourrait aider au rétablissement d’une espèce et/ou minimiser son risque d’extinction </w:t>
      </w:r>
      <w:r w:rsidRPr="0018560D">
        <w:rPr>
          <w:sz w:val="24"/>
          <w:lang w:val="fr-FR"/>
        </w:rPr>
        <w:t xml:space="preserve">(tel que </w:t>
      </w:r>
      <w:proofErr w:type="spellStart"/>
      <w:r w:rsidRPr="0018560D">
        <w:rPr>
          <w:sz w:val="24"/>
          <w:lang w:val="fr-FR"/>
        </w:rPr>
        <w:t>define</w:t>
      </w:r>
      <w:proofErr w:type="spellEnd"/>
      <w:r w:rsidRPr="0018560D">
        <w:rPr>
          <w:sz w:val="24"/>
          <w:lang w:val="fr-FR"/>
        </w:rPr>
        <w:t xml:space="preserve"> par les catégories de la liste rouge). Il est attendu que celui qui propose une espèce fournit des détails dans la nomination. </w:t>
      </w:r>
      <w:r w:rsidRPr="001442FB">
        <w:rPr>
          <w:sz w:val="24"/>
          <w:lang w:val="fr-FR"/>
        </w:rPr>
        <w:t xml:space="preserve">Idéalement, celui qui propose l’inscription assumera le </w:t>
      </w:r>
      <w:r w:rsidR="001206A2" w:rsidRPr="001442FB">
        <w:rPr>
          <w:sz w:val="24"/>
          <w:lang w:val="fr-FR"/>
        </w:rPr>
        <w:t>rô</w:t>
      </w:r>
      <w:r w:rsidRPr="001442FB">
        <w:rPr>
          <w:sz w:val="24"/>
          <w:lang w:val="fr-FR"/>
        </w:rPr>
        <w:t>le de correspondant du taxon considéré</w:t>
      </w:r>
    </w:p>
    <w:p w14:paraId="7BD78E7A" w14:textId="77777777" w:rsidR="003C0C1A" w:rsidRPr="00EA53A8" w:rsidRDefault="003C0C1A" w:rsidP="0029594F">
      <w:pPr>
        <w:jc w:val="both"/>
        <w:rPr>
          <w:sz w:val="24"/>
          <w:lang w:val="fr-FR"/>
        </w:rPr>
      </w:pPr>
    </w:p>
    <w:p w14:paraId="1781D66F" w14:textId="77777777" w:rsidR="003C0C1A" w:rsidRPr="00EA53A8" w:rsidRDefault="003C0C1A" w:rsidP="0029594F">
      <w:pPr>
        <w:jc w:val="both"/>
        <w:rPr>
          <w:sz w:val="24"/>
          <w:lang w:val="fr-FR"/>
        </w:rPr>
      </w:pPr>
      <w:r w:rsidRPr="00EA53A8">
        <w:rPr>
          <w:sz w:val="24"/>
          <w:lang w:val="fr-FR"/>
        </w:rPr>
        <w:t>30.</w:t>
      </w:r>
      <w:r w:rsidRPr="00EA53A8">
        <w:rPr>
          <w:sz w:val="24"/>
          <w:lang w:val="fr-FR"/>
        </w:rPr>
        <w:tab/>
        <w:t>L’Annexe II de la CMS inclut à l’heure actuelle des inscriptions d’unités taxonomiques au-dessus du niveau de l’espèce, bien qu’il n’y ait pas eu de propositions d’inscription au niveau taxonomique supérieur au cours des 15 dernières années. De telles inscriptions, en particulier dans les cas où l’unité taxonomique regroupe plusieurs espèces, se sont révélées problématiques dans certaines juridictions, car elles incluent certaines espèces considérées comme communes, non confrontées à une menace apparente et, dans certains cas, non migratrices. C’est pourquoi des futures propositions d’inscription à un niveau taxonomique supérieur à celui de l’espèce ne sont pas recommandées.</w:t>
      </w:r>
    </w:p>
    <w:p w14:paraId="6B0C1A64" w14:textId="77777777" w:rsidR="003C0C1A" w:rsidRPr="00EA53A8" w:rsidRDefault="003C0C1A" w:rsidP="0029594F">
      <w:pPr>
        <w:jc w:val="both"/>
        <w:rPr>
          <w:sz w:val="24"/>
          <w:lang w:val="fr-FR"/>
        </w:rPr>
      </w:pPr>
    </w:p>
    <w:p w14:paraId="4A5D65C3" w14:textId="77777777" w:rsidR="003C0C1A" w:rsidRPr="00EA53A8" w:rsidRDefault="003C0C1A" w:rsidP="0029594F">
      <w:pPr>
        <w:jc w:val="both"/>
        <w:rPr>
          <w:sz w:val="24"/>
          <w:lang w:val="fr-FR"/>
        </w:rPr>
      </w:pPr>
      <w:r w:rsidRPr="00EA53A8">
        <w:rPr>
          <w:sz w:val="24"/>
          <w:lang w:val="fr-FR"/>
        </w:rPr>
        <w:t>31.</w:t>
      </w:r>
      <w:r w:rsidRPr="00EA53A8">
        <w:rPr>
          <w:sz w:val="24"/>
          <w:lang w:val="fr-FR"/>
        </w:rPr>
        <w:tab/>
        <w:t>Il convient de noter également que les dispositions de la Convention prévoient que les espèces peuvent être inscrites à la fois à l’Annexe I et à l’Annexe II. Une telle inscription double est appropriée dans les cas où une espèce considérée en danger et nécessitant des mesures de conservation strictes (telles qu’une interdiction de capture directe et une protection des habitats) pourrait aussi retirer des avantages grâce à des mesures de coopération internationale. Il est préférable que ces cas soient déterminés par le Conseil scientifique au cas par cas.</w:t>
      </w:r>
    </w:p>
    <w:p w14:paraId="7C15D85B" w14:textId="77777777" w:rsidR="003C0C1A" w:rsidRPr="00EA53A8" w:rsidRDefault="003C0C1A" w:rsidP="003C0C1A">
      <w:pPr>
        <w:ind w:left="720" w:hanging="720"/>
        <w:jc w:val="both"/>
        <w:rPr>
          <w:sz w:val="24"/>
          <w:lang w:val="fr-FR"/>
        </w:rPr>
      </w:pPr>
    </w:p>
    <w:p w14:paraId="6D1A1830" w14:textId="77777777" w:rsidR="003C0C1A" w:rsidRPr="00EA53A8" w:rsidRDefault="003C0C1A" w:rsidP="003C0C1A">
      <w:pPr>
        <w:jc w:val="both"/>
        <w:rPr>
          <w:i/>
          <w:sz w:val="24"/>
          <w:lang w:val="fr-FR"/>
        </w:rPr>
      </w:pPr>
      <w:r w:rsidRPr="00EA53A8">
        <w:rPr>
          <w:i/>
          <w:sz w:val="24"/>
          <w:lang w:val="fr-FR"/>
        </w:rPr>
        <w:t xml:space="preserve">Retrait de taxons inscrits aux annexes de la Convention </w:t>
      </w:r>
    </w:p>
    <w:p w14:paraId="1D1ED077" w14:textId="77777777" w:rsidR="003C0C1A" w:rsidRPr="00EA53A8" w:rsidRDefault="003C0C1A" w:rsidP="003C0C1A">
      <w:pPr>
        <w:jc w:val="both"/>
        <w:rPr>
          <w:i/>
          <w:sz w:val="24"/>
          <w:lang w:val="fr-FR"/>
        </w:rPr>
      </w:pPr>
    </w:p>
    <w:p w14:paraId="423035C7" w14:textId="77777777" w:rsidR="003C0C1A" w:rsidRPr="00EA53A8" w:rsidRDefault="003C0C1A" w:rsidP="0029594F">
      <w:pPr>
        <w:jc w:val="both"/>
        <w:rPr>
          <w:sz w:val="24"/>
          <w:lang w:val="fr-FR"/>
        </w:rPr>
      </w:pPr>
      <w:r w:rsidRPr="00EA53A8">
        <w:rPr>
          <w:sz w:val="24"/>
          <w:lang w:val="fr-FR"/>
        </w:rPr>
        <w:t>32.</w:t>
      </w:r>
      <w:r w:rsidRPr="00EA53A8">
        <w:rPr>
          <w:sz w:val="24"/>
          <w:lang w:val="fr-FR"/>
        </w:rPr>
        <w:tab/>
        <w:t>L’Article XI, sur les amendements aux Annexes, décrit la procédure d’amendement des annexes à la Convention. En particulier :</w:t>
      </w:r>
    </w:p>
    <w:p w14:paraId="4E8BF73F" w14:textId="77777777" w:rsidR="003C0C1A" w:rsidRPr="00EA53A8" w:rsidRDefault="003C0C1A" w:rsidP="003C0C1A">
      <w:pPr>
        <w:ind w:left="720" w:hanging="720"/>
        <w:jc w:val="both"/>
        <w:rPr>
          <w:sz w:val="24"/>
          <w:lang w:val="fr-FR"/>
        </w:rPr>
      </w:pPr>
    </w:p>
    <w:p w14:paraId="6A991190" w14:textId="77777777" w:rsidR="003C0C1A" w:rsidRPr="00EA53A8" w:rsidRDefault="003C0C1A" w:rsidP="003C0C1A">
      <w:pPr>
        <w:ind w:left="1440" w:hanging="720"/>
        <w:jc w:val="both"/>
        <w:rPr>
          <w:i/>
          <w:sz w:val="24"/>
          <w:lang w:val="fr-FR"/>
        </w:rPr>
      </w:pPr>
      <w:r w:rsidRPr="00EA53A8">
        <w:rPr>
          <w:i/>
          <w:sz w:val="24"/>
          <w:lang w:val="fr-FR"/>
        </w:rPr>
        <w:lastRenderedPageBreak/>
        <w:t>2. Toute Partie peut présenter une proposition d’amendement.</w:t>
      </w:r>
    </w:p>
    <w:p w14:paraId="0D43ADD0" w14:textId="77777777" w:rsidR="003C0C1A" w:rsidRPr="00EA53A8" w:rsidRDefault="003C0C1A" w:rsidP="003C0C1A">
      <w:pPr>
        <w:ind w:left="709" w:firstLine="11"/>
        <w:jc w:val="both"/>
        <w:rPr>
          <w:i/>
          <w:sz w:val="24"/>
          <w:lang w:val="fr-FR"/>
        </w:rPr>
      </w:pPr>
      <w:r w:rsidRPr="00EA53A8">
        <w:rPr>
          <w:i/>
          <w:sz w:val="24"/>
          <w:lang w:val="fr-FR"/>
        </w:rPr>
        <w:t xml:space="preserve">3. Le </w:t>
      </w:r>
      <w:r w:rsidRPr="00EA53A8">
        <w:rPr>
          <w:i/>
          <w:w w:val="105"/>
          <w:sz w:val="24"/>
          <w:lang w:val="fr-FR"/>
        </w:rPr>
        <w:t>texte</w:t>
      </w:r>
      <w:r w:rsidRPr="00EA53A8">
        <w:rPr>
          <w:i/>
          <w:spacing w:val="39"/>
          <w:w w:val="105"/>
          <w:sz w:val="24"/>
          <w:lang w:val="fr-FR"/>
        </w:rPr>
        <w:t xml:space="preserve"> </w:t>
      </w:r>
      <w:r w:rsidRPr="00EA53A8">
        <w:rPr>
          <w:i/>
          <w:w w:val="105"/>
          <w:sz w:val="24"/>
          <w:lang w:val="fr-FR"/>
        </w:rPr>
        <w:t>de</w:t>
      </w:r>
      <w:r w:rsidRPr="00EA53A8">
        <w:rPr>
          <w:i/>
          <w:spacing w:val="38"/>
          <w:w w:val="105"/>
          <w:sz w:val="24"/>
          <w:lang w:val="fr-FR"/>
        </w:rPr>
        <w:t xml:space="preserve"> </w:t>
      </w:r>
      <w:r w:rsidRPr="00EA53A8">
        <w:rPr>
          <w:i/>
          <w:w w:val="105"/>
          <w:sz w:val="24"/>
          <w:lang w:val="fr-FR"/>
        </w:rPr>
        <w:t>toute</w:t>
      </w:r>
      <w:r w:rsidRPr="00EA53A8">
        <w:rPr>
          <w:i/>
          <w:spacing w:val="39"/>
          <w:w w:val="105"/>
          <w:sz w:val="24"/>
          <w:lang w:val="fr-FR"/>
        </w:rPr>
        <w:t xml:space="preserve"> </w:t>
      </w:r>
      <w:r w:rsidRPr="00EA53A8">
        <w:rPr>
          <w:i/>
          <w:w w:val="105"/>
          <w:sz w:val="24"/>
          <w:lang w:val="fr-FR"/>
        </w:rPr>
        <w:t>proposition</w:t>
      </w:r>
      <w:r w:rsidRPr="00EA53A8">
        <w:rPr>
          <w:i/>
          <w:spacing w:val="38"/>
          <w:w w:val="105"/>
          <w:sz w:val="24"/>
          <w:lang w:val="fr-FR"/>
        </w:rPr>
        <w:t xml:space="preserve"> </w:t>
      </w:r>
      <w:r w:rsidRPr="00EA53A8">
        <w:rPr>
          <w:i/>
          <w:w w:val="105"/>
          <w:sz w:val="24"/>
          <w:lang w:val="fr-FR"/>
        </w:rPr>
        <w:t>d'amendement,</w:t>
      </w:r>
      <w:r w:rsidRPr="00EA53A8">
        <w:rPr>
          <w:i/>
          <w:sz w:val="24"/>
          <w:lang w:val="fr-FR"/>
        </w:rPr>
        <w:t xml:space="preserve"> </w:t>
      </w:r>
      <w:r w:rsidRPr="00EA53A8">
        <w:rPr>
          <w:i/>
          <w:w w:val="105"/>
          <w:sz w:val="24"/>
          <w:lang w:val="fr-FR"/>
        </w:rPr>
        <w:t>accompagné</w:t>
      </w:r>
      <w:r w:rsidRPr="00EA53A8">
        <w:rPr>
          <w:i/>
          <w:spacing w:val="-5"/>
          <w:w w:val="105"/>
          <w:sz w:val="24"/>
          <w:lang w:val="fr-FR"/>
        </w:rPr>
        <w:t xml:space="preserve"> </w:t>
      </w:r>
      <w:r w:rsidRPr="00EA53A8">
        <w:rPr>
          <w:i/>
          <w:w w:val="105"/>
          <w:sz w:val="24"/>
          <w:lang w:val="fr-FR"/>
        </w:rPr>
        <w:t>de</w:t>
      </w:r>
      <w:r w:rsidRPr="00EA53A8">
        <w:rPr>
          <w:i/>
          <w:spacing w:val="-4"/>
          <w:w w:val="105"/>
          <w:sz w:val="24"/>
          <w:lang w:val="fr-FR"/>
        </w:rPr>
        <w:t xml:space="preserve"> </w:t>
      </w:r>
      <w:r w:rsidRPr="00EA53A8">
        <w:rPr>
          <w:i/>
          <w:w w:val="105"/>
          <w:sz w:val="24"/>
          <w:lang w:val="fr-FR"/>
        </w:rPr>
        <w:t>son</w:t>
      </w:r>
      <w:r w:rsidRPr="00EA53A8">
        <w:rPr>
          <w:i/>
          <w:spacing w:val="-5"/>
          <w:w w:val="105"/>
          <w:sz w:val="24"/>
          <w:lang w:val="fr-FR"/>
        </w:rPr>
        <w:t xml:space="preserve"> </w:t>
      </w:r>
      <w:r w:rsidRPr="00EA53A8">
        <w:rPr>
          <w:i/>
          <w:w w:val="105"/>
          <w:sz w:val="24"/>
          <w:lang w:val="fr-FR"/>
        </w:rPr>
        <w:t>exposé</w:t>
      </w:r>
      <w:r w:rsidRPr="00EA53A8">
        <w:rPr>
          <w:i/>
          <w:spacing w:val="-4"/>
          <w:w w:val="105"/>
          <w:sz w:val="24"/>
          <w:lang w:val="fr-FR"/>
        </w:rPr>
        <w:t xml:space="preserve"> </w:t>
      </w:r>
      <w:r w:rsidRPr="00EA53A8">
        <w:rPr>
          <w:i/>
          <w:w w:val="105"/>
          <w:sz w:val="24"/>
          <w:lang w:val="fr-FR"/>
        </w:rPr>
        <w:t>des</w:t>
      </w:r>
      <w:r w:rsidRPr="00EA53A8">
        <w:rPr>
          <w:i/>
          <w:spacing w:val="34"/>
          <w:w w:val="105"/>
          <w:sz w:val="24"/>
          <w:lang w:val="fr-FR"/>
        </w:rPr>
        <w:t xml:space="preserve"> </w:t>
      </w:r>
      <w:r w:rsidRPr="00EA53A8">
        <w:rPr>
          <w:i/>
          <w:w w:val="105"/>
          <w:sz w:val="24"/>
          <w:lang w:val="fr-FR"/>
        </w:rPr>
        <w:t>motifs</w:t>
      </w:r>
      <w:r w:rsidRPr="00EA53A8">
        <w:rPr>
          <w:i/>
          <w:spacing w:val="-4"/>
          <w:w w:val="105"/>
          <w:sz w:val="24"/>
          <w:lang w:val="fr-FR"/>
        </w:rPr>
        <w:t xml:space="preserve"> </w:t>
      </w:r>
      <w:r w:rsidRPr="00EA53A8">
        <w:rPr>
          <w:i/>
          <w:w w:val="105"/>
          <w:sz w:val="24"/>
          <w:lang w:val="fr-FR"/>
        </w:rPr>
        <w:t>fondé</w:t>
      </w:r>
      <w:r w:rsidRPr="00EA53A8">
        <w:rPr>
          <w:i/>
          <w:spacing w:val="-5"/>
          <w:w w:val="105"/>
          <w:sz w:val="24"/>
          <w:lang w:val="fr-FR"/>
        </w:rPr>
        <w:t xml:space="preserve"> </w:t>
      </w:r>
      <w:r w:rsidRPr="00EA53A8">
        <w:rPr>
          <w:i/>
          <w:w w:val="105"/>
          <w:sz w:val="24"/>
          <w:lang w:val="fr-FR"/>
        </w:rPr>
        <w:t>sur</w:t>
      </w:r>
      <w:r w:rsidRPr="00EA53A8">
        <w:rPr>
          <w:i/>
          <w:spacing w:val="-4"/>
          <w:w w:val="105"/>
          <w:sz w:val="24"/>
          <w:lang w:val="fr-FR"/>
        </w:rPr>
        <w:t xml:space="preserve"> </w:t>
      </w:r>
      <w:r w:rsidRPr="00EA53A8">
        <w:rPr>
          <w:i/>
          <w:w w:val="105"/>
          <w:sz w:val="24"/>
          <w:lang w:val="fr-FR"/>
        </w:rPr>
        <w:t>les</w:t>
      </w:r>
      <w:r w:rsidRPr="00EA53A8">
        <w:rPr>
          <w:i/>
          <w:sz w:val="24"/>
          <w:lang w:val="fr-FR"/>
        </w:rPr>
        <w:t xml:space="preserve"> </w:t>
      </w:r>
      <w:r w:rsidRPr="00EA53A8">
        <w:rPr>
          <w:i/>
          <w:w w:val="105"/>
          <w:sz w:val="24"/>
          <w:lang w:val="fr-FR"/>
        </w:rPr>
        <w:t>meilleures</w:t>
      </w:r>
      <w:r w:rsidRPr="00EA53A8">
        <w:rPr>
          <w:i/>
          <w:spacing w:val="-3"/>
          <w:w w:val="105"/>
          <w:sz w:val="24"/>
          <w:lang w:val="fr-FR"/>
        </w:rPr>
        <w:t xml:space="preserve"> </w:t>
      </w:r>
      <w:r w:rsidRPr="00EA53A8">
        <w:rPr>
          <w:i/>
          <w:w w:val="105"/>
          <w:sz w:val="24"/>
          <w:lang w:val="fr-FR"/>
        </w:rPr>
        <w:t>données</w:t>
      </w:r>
      <w:r w:rsidRPr="00EA53A8">
        <w:rPr>
          <w:i/>
          <w:spacing w:val="37"/>
          <w:w w:val="105"/>
          <w:sz w:val="24"/>
          <w:lang w:val="fr-FR"/>
        </w:rPr>
        <w:t xml:space="preserve"> </w:t>
      </w:r>
      <w:r w:rsidRPr="00EA53A8">
        <w:rPr>
          <w:i/>
          <w:w w:val="105"/>
          <w:sz w:val="24"/>
          <w:lang w:val="fr-FR"/>
        </w:rPr>
        <w:t>scientifiques</w:t>
      </w:r>
      <w:r w:rsidRPr="00EA53A8">
        <w:rPr>
          <w:i/>
          <w:spacing w:val="36"/>
          <w:w w:val="105"/>
          <w:sz w:val="24"/>
          <w:lang w:val="fr-FR"/>
        </w:rPr>
        <w:t xml:space="preserve"> </w:t>
      </w:r>
      <w:r w:rsidRPr="00EA53A8">
        <w:rPr>
          <w:i/>
          <w:w w:val="105"/>
          <w:sz w:val="24"/>
          <w:lang w:val="fr-FR"/>
        </w:rPr>
        <w:t>disponibles,</w:t>
      </w:r>
      <w:r w:rsidRPr="00EA53A8">
        <w:rPr>
          <w:i/>
          <w:spacing w:val="36"/>
          <w:w w:val="105"/>
          <w:sz w:val="24"/>
          <w:lang w:val="fr-FR"/>
        </w:rPr>
        <w:t xml:space="preserve"> </w:t>
      </w:r>
      <w:r w:rsidRPr="00EA53A8">
        <w:rPr>
          <w:i/>
          <w:w w:val="105"/>
          <w:sz w:val="24"/>
          <w:lang w:val="fr-FR"/>
        </w:rPr>
        <w:t>est</w:t>
      </w:r>
      <w:r w:rsidRPr="00EA53A8">
        <w:rPr>
          <w:i/>
          <w:sz w:val="24"/>
          <w:lang w:val="fr-FR"/>
        </w:rPr>
        <w:t xml:space="preserve">  </w:t>
      </w:r>
      <w:r w:rsidRPr="00EA53A8">
        <w:rPr>
          <w:i/>
          <w:w w:val="105"/>
          <w:sz w:val="24"/>
          <w:lang w:val="fr-FR"/>
        </w:rPr>
        <w:t>communiqué</w:t>
      </w:r>
      <w:r w:rsidRPr="00EA53A8">
        <w:rPr>
          <w:i/>
          <w:spacing w:val="35"/>
          <w:w w:val="105"/>
          <w:sz w:val="24"/>
          <w:lang w:val="fr-FR"/>
        </w:rPr>
        <w:t xml:space="preserve"> </w:t>
      </w:r>
      <w:r w:rsidRPr="00EA53A8">
        <w:rPr>
          <w:i/>
          <w:w w:val="105"/>
          <w:sz w:val="24"/>
          <w:lang w:val="fr-FR"/>
        </w:rPr>
        <w:t>au</w:t>
      </w:r>
      <w:r w:rsidRPr="00EA53A8">
        <w:rPr>
          <w:i/>
          <w:spacing w:val="-2"/>
          <w:w w:val="105"/>
          <w:sz w:val="24"/>
          <w:lang w:val="fr-FR"/>
        </w:rPr>
        <w:t xml:space="preserve"> </w:t>
      </w:r>
      <w:r w:rsidRPr="00EA53A8">
        <w:rPr>
          <w:i/>
          <w:w w:val="105"/>
          <w:sz w:val="24"/>
          <w:lang w:val="fr-FR"/>
        </w:rPr>
        <w:t>Secrétariat</w:t>
      </w:r>
      <w:r w:rsidRPr="00EA53A8">
        <w:rPr>
          <w:i/>
          <w:spacing w:val="-5"/>
          <w:w w:val="105"/>
          <w:sz w:val="24"/>
          <w:lang w:val="fr-FR"/>
        </w:rPr>
        <w:t xml:space="preserve"> </w:t>
      </w:r>
      <w:r w:rsidRPr="00EA53A8">
        <w:rPr>
          <w:i/>
          <w:w w:val="105"/>
          <w:sz w:val="24"/>
          <w:lang w:val="fr-FR"/>
        </w:rPr>
        <w:t>cent</w:t>
      </w:r>
      <w:r w:rsidRPr="00EA53A8">
        <w:rPr>
          <w:i/>
          <w:spacing w:val="-4"/>
          <w:w w:val="105"/>
          <w:sz w:val="24"/>
          <w:lang w:val="fr-FR"/>
        </w:rPr>
        <w:t xml:space="preserve"> </w:t>
      </w:r>
      <w:r w:rsidRPr="00EA53A8">
        <w:rPr>
          <w:i/>
          <w:w w:val="105"/>
          <w:sz w:val="24"/>
          <w:lang w:val="fr-FR"/>
        </w:rPr>
        <w:t>cinquante</w:t>
      </w:r>
      <w:r w:rsidRPr="00EA53A8">
        <w:rPr>
          <w:i/>
          <w:spacing w:val="-4"/>
          <w:w w:val="105"/>
          <w:sz w:val="24"/>
          <w:lang w:val="fr-FR"/>
        </w:rPr>
        <w:t xml:space="preserve"> </w:t>
      </w:r>
      <w:r w:rsidRPr="00EA53A8">
        <w:rPr>
          <w:i/>
          <w:w w:val="105"/>
          <w:sz w:val="24"/>
          <w:lang w:val="fr-FR"/>
        </w:rPr>
        <w:t>jours</w:t>
      </w:r>
      <w:r w:rsidRPr="00EA53A8">
        <w:rPr>
          <w:i/>
          <w:spacing w:val="36"/>
          <w:w w:val="105"/>
          <w:sz w:val="24"/>
          <w:lang w:val="fr-FR"/>
        </w:rPr>
        <w:t xml:space="preserve"> </w:t>
      </w:r>
      <w:r w:rsidRPr="00EA53A8">
        <w:rPr>
          <w:i/>
          <w:w w:val="105"/>
          <w:sz w:val="24"/>
          <w:lang w:val="fr-FR"/>
        </w:rPr>
        <w:t>au</w:t>
      </w:r>
      <w:r w:rsidRPr="00EA53A8">
        <w:rPr>
          <w:i/>
          <w:sz w:val="24"/>
          <w:lang w:val="fr-FR"/>
        </w:rPr>
        <w:t xml:space="preserve"> </w:t>
      </w:r>
      <w:r w:rsidRPr="00EA53A8">
        <w:rPr>
          <w:i/>
          <w:w w:val="105"/>
          <w:sz w:val="24"/>
          <w:lang w:val="fr-FR"/>
        </w:rPr>
        <w:t>moins</w:t>
      </w:r>
      <w:r w:rsidRPr="00EA53A8">
        <w:rPr>
          <w:i/>
          <w:spacing w:val="38"/>
          <w:w w:val="105"/>
          <w:sz w:val="24"/>
          <w:lang w:val="fr-FR"/>
        </w:rPr>
        <w:t xml:space="preserve"> </w:t>
      </w:r>
      <w:r w:rsidRPr="00EA53A8">
        <w:rPr>
          <w:i/>
          <w:w w:val="105"/>
          <w:sz w:val="24"/>
          <w:lang w:val="fr-FR"/>
        </w:rPr>
        <w:t>avant</w:t>
      </w:r>
      <w:r w:rsidRPr="00EA53A8">
        <w:rPr>
          <w:i/>
          <w:spacing w:val="-1"/>
          <w:w w:val="105"/>
          <w:sz w:val="24"/>
          <w:lang w:val="fr-FR"/>
        </w:rPr>
        <w:t xml:space="preserve"> </w:t>
      </w:r>
      <w:r w:rsidRPr="00EA53A8">
        <w:rPr>
          <w:i/>
          <w:w w:val="105"/>
          <w:sz w:val="24"/>
          <w:lang w:val="fr-FR"/>
        </w:rPr>
        <w:t>la</w:t>
      </w:r>
      <w:r w:rsidRPr="00EA53A8">
        <w:rPr>
          <w:i/>
          <w:spacing w:val="-2"/>
          <w:w w:val="105"/>
          <w:sz w:val="24"/>
          <w:lang w:val="fr-FR"/>
        </w:rPr>
        <w:t xml:space="preserve"> </w:t>
      </w:r>
      <w:r w:rsidRPr="00EA53A8">
        <w:rPr>
          <w:i/>
          <w:w w:val="105"/>
          <w:sz w:val="24"/>
          <w:lang w:val="fr-FR"/>
        </w:rPr>
        <w:t>session,</w:t>
      </w:r>
      <w:r w:rsidRPr="00EA53A8">
        <w:rPr>
          <w:i/>
          <w:spacing w:val="-1"/>
          <w:w w:val="105"/>
          <w:sz w:val="24"/>
          <w:lang w:val="fr-FR"/>
        </w:rPr>
        <w:t xml:space="preserve"> </w:t>
      </w:r>
      <w:r w:rsidRPr="00EA53A8">
        <w:rPr>
          <w:i/>
          <w:w w:val="105"/>
          <w:sz w:val="24"/>
          <w:lang w:val="fr-FR"/>
        </w:rPr>
        <w:t>et</w:t>
      </w:r>
      <w:r w:rsidRPr="00EA53A8">
        <w:rPr>
          <w:i/>
          <w:spacing w:val="-2"/>
          <w:w w:val="105"/>
          <w:sz w:val="24"/>
          <w:lang w:val="fr-FR"/>
        </w:rPr>
        <w:t xml:space="preserve"> </w:t>
      </w:r>
      <w:r w:rsidRPr="00EA53A8">
        <w:rPr>
          <w:i/>
          <w:w w:val="105"/>
          <w:sz w:val="24"/>
          <w:lang w:val="fr-FR"/>
        </w:rPr>
        <w:t>fait</w:t>
      </w:r>
      <w:r w:rsidRPr="00EA53A8">
        <w:rPr>
          <w:i/>
          <w:spacing w:val="-1"/>
          <w:w w:val="105"/>
          <w:sz w:val="24"/>
          <w:lang w:val="fr-FR"/>
        </w:rPr>
        <w:t xml:space="preserve"> </w:t>
      </w:r>
      <w:r w:rsidRPr="00EA53A8">
        <w:rPr>
          <w:i/>
          <w:w w:val="105"/>
          <w:sz w:val="24"/>
          <w:lang w:val="fr-FR"/>
        </w:rPr>
        <w:t>l'objet,</w:t>
      </w:r>
      <w:r w:rsidRPr="00EA53A8">
        <w:rPr>
          <w:i/>
          <w:spacing w:val="-2"/>
          <w:w w:val="105"/>
          <w:sz w:val="24"/>
          <w:lang w:val="fr-FR"/>
        </w:rPr>
        <w:t xml:space="preserve"> </w:t>
      </w:r>
      <w:r w:rsidRPr="00EA53A8">
        <w:rPr>
          <w:i/>
          <w:w w:val="105"/>
          <w:sz w:val="24"/>
          <w:lang w:val="fr-FR"/>
        </w:rPr>
        <w:t>dans</w:t>
      </w:r>
      <w:r w:rsidRPr="00EA53A8">
        <w:rPr>
          <w:i/>
          <w:spacing w:val="-1"/>
          <w:w w:val="105"/>
          <w:sz w:val="24"/>
          <w:lang w:val="fr-FR"/>
        </w:rPr>
        <w:t xml:space="preserve"> </w:t>
      </w:r>
      <w:r w:rsidRPr="00EA53A8">
        <w:rPr>
          <w:i/>
          <w:w w:val="105"/>
          <w:sz w:val="24"/>
          <w:lang w:val="fr-FR"/>
        </w:rPr>
        <w:t>les</w:t>
      </w:r>
      <w:r w:rsidRPr="00EA53A8">
        <w:rPr>
          <w:i/>
          <w:spacing w:val="-2"/>
          <w:w w:val="105"/>
          <w:sz w:val="24"/>
          <w:lang w:val="fr-FR"/>
        </w:rPr>
        <w:t xml:space="preserve"> </w:t>
      </w:r>
      <w:r w:rsidRPr="00EA53A8">
        <w:rPr>
          <w:i/>
          <w:w w:val="105"/>
          <w:sz w:val="24"/>
          <w:lang w:val="fr-FR"/>
        </w:rPr>
        <w:t>plus</w:t>
      </w:r>
      <w:r w:rsidRPr="00EA53A8">
        <w:rPr>
          <w:i/>
          <w:sz w:val="24"/>
          <w:lang w:val="fr-FR"/>
        </w:rPr>
        <w:t xml:space="preserve"> </w:t>
      </w:r>
      <w:r w:rsidRPr="00EA53A8">
        <w:rPr>
          <w:i/>
          <w:w w:val="105"/>
          <w:sz w:val="24"/>
          <w:lang w:val="fr-FR"/>
        </w:rPr>
        <w:t>brefs</w:t>
      </w:r>
      <w:r w:rsidRPr="00EA53A8">
        <w:rPr>
          <w:i/>
          <w:spacing w:val="-5"/>
          <w:w w:val="105"/>
          <w:sz w:val="24"/>
          <w:lang w:val="fr-FR"/>
        </w:rPr>
        <w:t xml:space="preserve"> </w:t>
      </w:r>
      <w:r w:rsidRPr="00EA53A8">
        <w:rPr>
          <w:i/>
          <w:w w:val="105"/>
          <w:sz w:val="24"/>
          <w:lang w:val="fr-FR"/>
        </w:rPr>
        <w:t>délais,</w:t>
      </w:r>
      <w:r w:rsidRPr="00EA53A8">
        <w:rPr>
          <w:i/>
          <w:spacing w:val="-4"/>
          <w:w w:val="105"/>
          <w:sz w:val="24"/>
          <w:lang w:val="fr-FR"/>
        </w:rPr>
        <w:t xml:space="preserve"> </w:t>
      </w:r>
      <w:r w:rsidRPr="00EA53A8">
        <w:rPr>
          <w:i/>
          <w:w w:val="105"/>
          <w:sz w:val="24"/>
          <w:lang w:val="fr-FR"/>
        </w:rPr>
        <w:t>d'une</w:t>
      </w:r>
      <w:r w:rsidRPr="00EA53A8">
        <w:rPr>
          <w:i/>
          <w:spacing w:val="-4"/>
          <w:w w:val="105"/>
          <w:sz w:val="24"/>
          <w:lang w:val="fr-FR"/>
        </w:rPr>
        <w:t xml:space="preserve"> </w:t>
      </w:r>
      <w:r w:rsidRPr="00EA53A8">
        <w:rPr>
          <w:i/>
          <w:w w:val="105"/>
          <w:sz w:val="24"/>
          <w:lang w:val="fr-FR"/>
        </w:rPr>
        <w:t>communication</w:t>
      </w:r>
      <w:r w:rsidRPr="00EA53A8">
        <w:rPr>
          <w:i/>
          <w:spacing w:val="-4"/>
          <w:w w:val="105"/>
          <w:sz w:val="24"/>
          <w:lang w:val="fr-FR"/>
        </w:rPr>
        <w:t xml:space="preserve"> </w:t>
      </w:r>
      <w:r w:rsidRPr="00EA53A8">
        <w:rPr>
          <w:i/>
          <w:w w:val="105"/>
          <w:sz w:val="24"/>
          <w:lang w:val="fr-FR"/>
        </w:rPr>
        <w:t>du</w:t>
      </w:r>
      <w:r w:rsidRPr="00EA53A8">
        <w:rPr>
          <w:i/>
          <w:spacing w:val="-4"/>
          <w:w w:val="105"/>
          <w:sz w:val="24"/>
          <w:lang w:val="fr-FR"/>
        </w:rPr>
        <w:t xml:space="preserve"> </w:t>
      </w:r>
      <w:r w:rsidRPr="00EA53A8">
        <w:rPr>
          <w:i/>
          <w:w w:val="105"/>
          <w:sz w:val="24"/>
          <w:lang w:val="fr-FR"/>
        </w:rPr>
        <w:t>Secrétariat</w:t>
      </w:r>
      <w:r w:rsidRPr="00EA53A8">
        <w:rPr>
          <w:i/>
          <w:spacing w:val="-4"/>
          <w:w w:val="105"/>
          <w:sz w:val="24"/>
          <w:lang w:val="fr-FR"/>
        </w:rPr>
        <w:t xml:space="preserve"> </w:t>
      </w:r>
      <w:r w:rsidRPr="00EA53A8">
        <w:rPr>
          <w:i/>
          <w:w w:val="105"/>
          <w:sz w:val="24"/>
          <w:lang w:val="fr-FR"/>
        </w:rPr>
        <w:t>à</w:t>
      </w:r>
      <w:r w:rsidRPr="00EA53A8">
        <w:rPr>
          <w:i/>
          <w:sz w:val="24"/>
          <w:lang w:val="fr-FR"/>
        </w:rPr>
        <w:t xml:space="preserve"> </w:t>
      </w:r>
      <w:r w:rsidRPr="00EA53A8">
        <w:rPr>
          <w:i/>
          <w:w w:val="105"/>
          <w:sz w:val="24"/>
          <w:lang w:val="fr-FR"/>
        </w:rPr>
        <w:t>toutes</w:t>
      </w:r>
      <w:r w:rsidRPr="00EA53A8">
        <w:rPr>
          <w:i/>
          <w:spacing w:val="-4"/>
          <w:w w:val="105"/>
          <w:sz w:val="24"/>
          <w:lang w:val="fr-FR"/>
        </w:rPr>
        <w:t xml:space="preserve"> </w:t>
      </w:r>
      <w:r w:rsidRPr="00EA53A8">
        <w:rPr>
          <w:i/>
          <w:w w:val="105"/>
          <w:sz w:val="24"/>
          <w:lang w:val="fr-FR"/>
        </w:rPr>
        <w:t>les</w:t>
      </w:r>
      <w:r w:rsidRPr="00EA53A8">
        <w:rPr>
          <w:i/>
          <w:spacing w:val="-4"/>
          <w:w w:val="105"/>
          <w:sz w:val="24"/>
          <w:lang w:val="fr-FR"/>
        </w:rPr>
        <w:t xml:space="preserve"> </w:t>
      </w:r>
      <w:r w:rsidRPr="00EA53A8">
        <w:rPr>
          <w:i/>
          <w:w w:val="105"/>
          <w:sz w:val="24"/>
          <w:lang w:val="fr-FR"/>
        </w:rPr>
        <w:t>Parties</w:t>
      </w:r>
      <w:r w:rsidRPr="00EA53A8">
        <w:rPr>
          <w:i/>
          <w:sz w:val="24"/>
          <w:lang w:val="fr-FR"/>
        </w:rPr>
        <w:t>.</w:t>
      </w:r>
    </w:p>
    <w:p w14:paraId="786FB8A2" w14:textId="77777777" w:rsidR="003C0C1A" w:rsidRPr="00EA53A8" w:rsidRDefault="003C0C1A" w:rsidP="003C0C1A">
      <w:pPr>
        <w:ind w:left="709" w:firstLine="11"/>
        <w:jc w:val="both"/>
        <w:rPr>
          <w:i/>
          <w:sz w:val="24"/>
          <w:lang w:val="fr-FR"/>
        </w:rPr>
      </w:pPr>
    </w:p>
    <w:p w14:paraId="710B2844" w14:textId="77777777" w:rsidR="003C0C1A" w:rsidRPr="00EA53A8" w:rsidRDefault="003C0C1A" w:rsidP="0029594F">
      <w:pPr>
        <w:jc w:val="both"/>
        <w:rPr>
          <w:sz w:val="24"/>
          <w:lang w:val="fr-FR"/>
        </w:rPr>
      </w:pPr>
      <w:r w:rsidRPr="00EA53A8">
        <w:rPr>
          <w:sz w:val="24"/>
          <w:lang w:val="fr-FR"/>
        </w:rPr>
        <w:t xml:space="preserve">33. </w:t>
      </w:r>
      <w:r w:rsidRPr="00EA53A8">
        <w:rPr>
          <w:sz w:val="24"/>
          <w:lang w:val="fr-FR"/>
        </w:rPr>
        <w:tab/>
        <w:t>Ainsi, toute proposition de désinscription d’une espèce devrait suivre la même procédure que pour une proposition d’inscription aux annexes à la Convention.</w:t>
      </w:r>
    </w:p>
    <w:p w14:paraId="5414BE00" w14:textId="77777777" w:rsidR="003C0C1A" w:rsidRPr="00EA53A8" w:rsidRDefault="003C0C1A" w:rsidP="003C0C1A">
      <w:pPr>
        <w:ind w:left="720" w:hanging="720"/>
        <w:jc w:val="both"/>
        <w:rPr>
          <w:sz w:val="24"/>
          <w:lang w:val="fr-FR"/>
        </w:rPr>
      </w:pPr>
    </w:p>
    <w:p w14:paraId="3AC9E53C" w14:textId="77777777" w:rsidR="003C0C1A" w:rsidRPr="00EA53A8" w:rsidRDefault="003C0C1A" w:rsidP="0029594F">
      <w:pPr>
        <w:jc w:val="both"/>
        <w:rPr>
          <w:sz w:val="24"/>
          <w:lang w:val="fr-FR"/>
        </w:rPr>
      </w:pPr>
      <w:r w:rsidRPr="00EA53A8">
        <w:rPr>
          <w:sz w:val="24"/>
          <w:lang w:val="fr-FR"/>
        </w:rPr>
        <w:t>34.</w:t>
      </w:r>
      <w:r w:rsidRPr="00EA53A8">
        <w:rPr>
          <w:sz w:val="24"/>
          <w:lang w:val="fr-FR"/>
        </w:rPr>
        <w:tab/>
        <w:t xml:space="preserve">Cependant, le paragraphe 3 de l’Article III contient des dispositions supplémentaires, prévoyant qu’une espèce qui n’est plus considérée comme étant en danger peut être retirée de l’Annexe 1. </w:t>
      </w:r>
    </w:p>
    <w:p w14:paraId="6E6C0377" w14:textId="77777777" w:rsidR="003C0C1A" w:rsidRPr="00EA53A8" w:rsidRDefault="003C0C1A" w:rsidP="003C0C1A">
      <w:pPr>
        <w:ind w:left="720" w:hanging="720"/>
        <w:jc w:val="both"/>
        <w:rPr>
          <w:sz w:val="24"/>
          <w:lang w:val="fr-FR"/>
        </w:rPr>
      </w:pPr>
    </w:p>
    <w:p w14:paraId="40CDCFCF" w14:textId="77777777" w:rsidR="003C0C1A" w:rsidRPr="00EA53A8" w:rsidRDefault="003C0C1A" w:rsidP="003C0C1A">
      <w:pPr>
        <w:ind w:left="720" w:hanging="720"/>
        <w:jc w:val="both"/>
        <w:rPr>
          <w:i/>
          <w:sz w:val="24"/>
          <w:lang w:val="fr-FR"/>
        </w:rPr>
      </w:pPr>
      <w:r w:rsidRPr="00EA53A8">
        <w:rPr>
          <w:i/>
          <w:sz w:val="24"/>
          <w:lang w:val="fr-FR"/>
        </w:rPr>
        <w:tab/>
        <w:t>« Une espèce migratrice peut être supprimée de l'Annexe I lorsque la Conférence des Parties constate :</w:t>
      </w:r>
    </w:p>
    <w:p w14:paraId="32AA2179" w14:textId="77777777" w:rsidR="003C0C1A" w:rsidRPr="00EA53A8" w:rsidRDefault="003C0C1A" w:rsidP="003C0C1A">
      <w:pPr>
        <w:ind w:left="720" w:hanging="720"/>
        <w:jc w:val="both"/>
        <w:rPr>
          <w:i/>
          <w:sz w:val="24"/>
          <w:lang w:val="fr-FR"/>
        </w:rPr>
      </w:pPr>
    </w:p>
    <w:p w14:paraId="43D300AA" w14:textId="77777777" w:rsidR="003C0C1A" w:rsidRPr="00EA53A8" w:rsidRDefault="003C0C1A" w:rsidP="003C0C1A">
      <w:pPr>
        <w:ind w:left="720"/>
        <w:jc w:val="both"/>
        <w:rPr>
          <w:i/>
          <w:sz w:val="24"/>
          <w:lang w:val="fr-FR"/>
        </w:rPr>
      </w:pPr>
      <w:r w:rsidRPr="00EA53A8">
        <w:rPr>
          <w:i/>
          <w:sz w:val="24"/>
          <w:lang w:val="fr-FR"/>
        </w:rPr>
        <w:t>a)</w:t>
      </w:r>
      <w:r w:rsidRPr="00EA53A8">
        <w:rPr>
          <w:i/>
          <w:sz w:val="24"/>
          <w:lang w:val="fr-FR"/>
        </w:rPr>
        <w:tab/>
        <w:t>que des données probantes, notamment les meilleures données scientifiques disponibles, indiquent que ladite espèce n'est plus en danger;</w:t>
      </w:r>
    </w:p>
    <w:p w14:paraId="10CD4E35" w14:textId="77777777" w:rsidR="003C0C1A" w:rsidRPr="00EA53A8" w:rsidRDefault="003C0C1A" w:rsidP="003C0C1A">
      <w:pPr>
        <w:ind w:left="720"/>
        <w:jc w:val="both"/>
        <w:rPr>
          <w:i/>
          <w:sz w:val="24"/>
          <w:lang w:val="fr-FR"/>
        </w:rPr>
      </w:pPr>
    </w:p>
    <w:p w14:paraId="2F3DEF91" w14:textId="77777777" w:rsidR="003C0C1A" w:rsidRPr="00EA53A8" w:rsidRDefault="003C0C1A" w:rsidP="003C0C1A">
      <w:pPr>
        <w:ind w:left="720"/>
        <w:jc w:val="both"/>
        <w:rPr>
          <w:i/>
          <w:sz w:val="24"/>
          <w:lang w:val="fr-FR"/>
        </w:rPr>
      </w:pPr>
      <w:proofErr w:type="gramStart"/>
      <w:r w:rsidRPr="00EA53A8">
        <w:rPr>
          <w:i/>
          <w:sz w:val="24"/>
          <w:lang w:val="fr-FR"/>
        </w:rPr>
        <w:t>b</w:t>
      </w:r>
      <w:proofErr w:type="gramEnd"/>
      <w:r w:rsidRPr="00EA53A8">
        <w:rPr>
          <w:i/>
          <w:sz w:val="24"/>
          <w:lang w:val="fr-FR"/>
        </w:rPr>
        <w:t>)</w:t>
      </w:r>
      <w:r w:rsidRPr="00EA53A8">
        <w:rPr>
          <w:i/>
          <w:sz w:val="24"/>
          <w:lang w:val="fr-FR"/>
        </w:rPr>
        <w:tab/>
        <w:t>que ladite espèce ne risque pas d'être à nouveau mise en danger en raison du défaut de protection résultant de sa suppression de l'Annexe I.»</w:t>
      </w:r>
    </w:p>
    <w:p w14:paraId="761C5CDF" w14:textId="77777777" w:rsidR="003C0C1A" w:rsidRPr="00EA53A8" w:rsidRDefault="003C0C1A" w:rsidP="003C0C1A">
      <w:pPr>
        <w:ind w:left="720"/>
        <w:jc w:val="both"/>
        <w:rPr>
          <w:i/>
          <w:sz w:val="24"/>
          <w:lang w:val="fr-FR"/>
        </w:rPr>
      </w:pPr>
    </w:p>
    <w:p w14:paraId="3923D6FD" w14:textId="77777777" w:rsidR="003C0C1A" w:rsidRDefault="003C0C1A" w:rsidP="003C0C1A">
      <w:pPr>
        <w:ind w:left="720" w:hanging="720"/>
        <w:jc w:val="both"/>
        <w:rPr>
          <w:sz w:val="24"/>
          <w:lang w:val="fr-FR"/>
        </w:rPr>
      </w:pPr>
      <w:r w:rsidRPr="00EA53A8">
        <w:rPr>
          <w:sz w:val="24"/>
          <w:lang w:val="fr-FR"/>
        </w:rPr>
        <w:tab/>
        <w:t xml:space="preserve">En conséquence, deux conditions doivent être réunies pour pouvoir retirer une espèce ou taxon de l’Annexe 1. </w:t>
      </w:r>
    </w:p>
    <w:p w14:paraId="20422124" w14:textId="77777777" w:rsidR="0029594F" w:rsidRPr="00EA53A8" w:rsidRDefault="0029594F" w:rsidP="003C0C1A">
      <w:pPr>
        <w:ind w:left="720" w:hanging="720"/>
        <w:jc w:val="both"/>
        <w:rPr>
          <w:sz w:val="24"/>
          <w:lang w:val="fr-FR"/>
        </w:rPr>
      </w:pPr>
    </w:p>
    <w:p w14:paraId="2EFB8B0B" w14:textId="77777777" w:rsidR="003C0C1A" w:rsidRPr="00EA53A8" w:rsidRDefault="003C0C1A" w:rsidP="0029594F">
      <w:pPr>
        <w:jc w:val="both"/>
        <w:rPr>
          <w:sz w:val="24"/>
          <w:lang w:val="fr-FR"/>
        </w:rPr>
      </w:pPr>
      <w:r w:rsidRPr="00EA53A8">
        <w:rPr>
          <w:sz w:val="24"/>
          <w:lang w:val="fr-FR"/>
        </w:rPr>
        <w:t>35.</w:t>
      </w:r>
      <w:r w:rsidRPr="00EA53A8">
        <w:rPr>
          <w:sz w:val="24"/>
          <w:lang w:val="fr-FR"/>
        </w:rPr>
        <w:tab/>
        <w:t xml:space="preserve">Pour déterminer si une espèce ne risque pas d’être à nouveau mise en danger en raison du défaut de protection résultant de sa suppression de l’Annexe, remplissant ainsi la deuxième condition énoncée au paragraphe 3 a) de l’Article III, il semble qu’une évaluation au cas par cas, utilisant les meilleures informations disponibles, soit la solution la plus appropriée. </w:t>
      </w:r>
    </w:p>
    <w:p w14:paraId="0311E464" w14:textId="77777777" w:rsidR="003C0C1A" w:rsidRPr="00EA53A8" w:rsidRDefault="003C0C1A" w:rsidP="0029594F">
      <w:pPr>
        <w:jc w:val="both"/>
        <w:rPr>
          <w:sz w:val="24"/>
          <w:lang w:val="fr-FR"/>
        </w:rPr>
      </w:pPr>
    </w:p>
    <w:p w14:paraId="60737710" w14:textId="77777777" w:rsidR="003C0C1A" w:rsidRPr="00EA53A8" w:rsidRDefault="003C0C1A" w:rsidP="0029594F">
      <w:pPr>
        <w:jc w:val="both"/>
        <w:rPr>
          <w:sz w:val="24"/>
          <w:lang w:val="fr-FR"/>
        </w:rPr>
      </w:pPr>
      <w:r w:rsidRPr="00EA53A8">
        <w:rPr>
          <w:sz w:val="24"/>
          <w:lang w:val="fr-FR"/>
        </w:rPr>
        <w:t>36.</w:t>
      </w:r>
      <w:r w:rsidRPr="00EA53A8">
        <w:rPr>
          <w:sz w:val="24"/>
          <w:lang w:val="fr-FR"/>
        </w:rPr>
        <w:tab/>
        <w:t>Cependant, il convient de noter que dans les situations où des espèces faisant l’objet d’une proposition de désinscription sont aussi visées par les systèmes de gestion d’autres conventions, les organes de ces conventions devraient être consultés lors de l’évaluation du bien-fondé du retrait de la protection conférée par les annexes de la CMS. Une telle consultation permettra de faire en sorte qu’une évaluation complète ait été faite des conséquences de la désinscription d’une espèce visée par la CMS, dans le contexte de l’ensemble de la gestion de cette espèce.</w:t>
      </w:r>
    </w:p>
    <w:p w14:paraId="48AB9D7F" w14:textId="77777777" w:rsidR="003C0C1A" w:rsidRPr="00EA53A8" w:rsidRDefault="003C0C1A" w:rsidP="0029594F">
      <w:pPr>
        <w:jc w:val="both"/>
        <w:rPr>
          <w:sz w:val="24"/>
          <w:vertAlign w:val="superscript"/>
          <w:lang w:val="fr-FR"/>
        </w:rPr>
      </w:pPr>
    </w:p>
    <w:p w14:paraId="66541155" w14:textId="77777777" w:rsidR="0029594F" w:rsidRDefault="003C0C1A" w:rsidP="0029594F">
      <w:pPr>
        <w:jc w:val="both"/>
        <w:rPr>
          <w:sz w:val="24"/>
          <w:lang w:val="fr-FR"/>
        </w:rPr>
      </w:pPr>
      <w:r w:rsidRPr="00EA53A8">
        <w:rPr>
          <w:sz w:val="24"/>
          <w:lang w:val="fr-FR"/>
        </w:rPr>
        <w:t>37.</w:t>
      </w:r>
      <w:r w:rsidRPr="00EA53A8">
        <w:rPr>
          <w:sz w:val="24"/>
          <w:lang w:val="fr-FR"/>
        </w:rPr>
        <w:tab/>
        <w:t>L’Article IV, qui concerne les espèces inscrites à l’Annexe II, ne mentionne pas le retrait d’espèces inscrites à cette annexe, et cette question n’a pas été examinée plus avant par le groupe de travail.</w:t>
      </w:r>
    </w:p>
    <w:p w14:paraId="5A96355D" w14:textId="77777777" w:rsidR="0029594F" w:rsidRDefault="0029594F" w:rsidP="0029594F">
      <w:pPr>
        <w:jc w:val="both"/>
        <w:rPr>
          <w:sz w:val="24"/>
          <w:lang w:val="fr-FR"/>
        </w:rPr>
      </w:pPr>
    </w:p>
    <w:p w14:paraId="610CC3A8" w14:textId="4F8A1616" w:rsidR="003C0C1A" w:rsidRDefault="003C0C1A" w:rsidP="0029594F">
      <w:pPr>
        <w:jc w:val="both"/>
        <w:rPr>
          <w:b/>
          <w:bCs/>
          <w:sz w:val="24"/>
          <w:lang w:val="fr-FR"/>
        </w:rPr>
      </w:pPr>
      <w:r w:rsidRPr="00EA53A8">
        <w:rPr>
          <w:b/>
          <w:bCs/>
          <w:sz w:val="24"/>
          <w:lang w:val="fr-FR"/>
        </w:rPr>
        <w:t>Recommandations</w:t>
      </w:r>
    </w:p>
    <w:p w14:paraId="7F7E3A02" w14:textId="77777777" w:rsidR="0029594F" w:rsidRPr="0029594F" w:rsidRDefault="0029594F" w:rsidP="0029594F">
      <w:pPr>
        <w:jc w:val="both"/>
        <w:rPr>
          <w:sz w:val="24"/>
          <w:lang w:val="fr-FR"/>
        </w:rPr>
      </w:pPr>
    </w:p>
    <w:p w14:paraId="41BAE2BE" w14:textId="77777777" w:rsidR="003C0C1A" w:rsidRPr="00EA53A8" w:rsidRDefault="003C0C1A" w:rsidP="0029594F">
      <w:pPr>
        <w:jc w:val="both"/>
        <w:rPr>
          <w:sz w:val="24"/>
          <w:lang w:val="fr-FR"/>
        </w:rPr>
      </w:pPr>
      <w:r w:rsidRPr="00EA53A8">
        <w:rPr>
          <w:sz w:val="24"/>
          <w:lang w:val="fr-FR"/>
        </w:rPr>
        <w:t>38.</w:t>
      </w:r>
      <w:r w:rsidRPr="00EA53A8">
        <w:rPr>
          <w:sz w:val="24"/>
          <w:lang w:val="fr-FR"/>
        </w:rPr>
        <w:tab/>
        <w:t>Il est recommandé que la Conférence des Parties examine les suggestions faites dans le présent document et accepte d’utiliser les catégories et critères de la Liste rouge de l’UICN comme outil d’aide à la prise de décision, dans l’évaluation de l’état de conservation des espèces migratrices faisant l’objet de propositions d’inscription aux Annexes I et II de la Convention, comme suit :</w:t>
      </w:r>
    </w:p>
    <w:p w14:paraId="39995D47" w14:textId="77777777" w:rsidR="003C0C1A" w:rsidRPr="00EA53A8" w:rsidRDefault="003C0C1A" w:rsidP="003C0C1A">
      <w:pPr>
        <w:ind w:left="720" w:hanging="720"/>
        <w:jc w:val="both"/>
        <w:rPr>
          <w:sz w:val="24"/>
          <w:lang w:val="fr-FR"/>
        </w:rPr>
      </w:pPr>
    </w:p>
    <w:p w14:paraId="4B9C46DB" w14:textId="255CF056" w:rsidR="003C0C1A" w:rsidRPr="00EA53A8" w:rsidRDefault="0029594F" w:rsidP="0029594F">
      <w:pPr>
        <w:tabs>
          <w:tab w:val="left" w:pos="1080"/>
        </w:tabs>
        <w:ind w:left="720" w:hanging="720"/>
        <w:jc w:val="both"/>
        <w:rPr>
          <w:sz w:val="24"/>
          <w:lang w:val="fr-FR"/>
        </w:rPr>
      </w:pPr>
      <w:r>
        <w:rPr>
          <w:sz w:val="24"/>
          <w:lang w:val="fr-FR"/>
        </w:rPr>
        <w:lastRenderedPageBreak/>
        <w:t xml:space="preserve">a) </w:t>
      </w:r>
      <w:r>
        <w:rPr>
          <w:sz w:val="24"/>
          <w:lang w:val="fr-FR"/>
        </w:rPr>
        <w:tab/>
        <w:t>u</w:t>
      </w:r>
      <w:r w:rsidR="003C0C1A" w:rsidRPr="00EA53A8">
        <w:rPr>
          <w:sz w:val="24"/>
          <w:lang w:val="fr-FR"/>
        </w:rPr>
        <w:t>n taxon évalué comme « Éteint à l’état sauvage », « En danger critique d’extinction », « En danger » ou « Vulnérable » selon les critères de la Liste rouge de l’UICN est admissible pour une proposition d’inscription à l’Annexe I, en reconnaissant que les espèces inscrites à l’Annexe I de la CMS sont définies comme étant « en danger » au sens large;</w:t>
      </w:r>
    </w:p>
    <w:p w14:paraId="45572623" w14:textId="77777777" w:rsidR="003C0C1A" w:rsidRPr="00EA53A8" w:rsidRDefault="003C0C1A" w:rsidP="0029594F">
      <w:pPr>
        <w:tabs>
          <w:tab w:val="left" w:pos="1080"/>
        </w:tabs>
        <w:ind w:left="720" w:hanging="720"/>
        <w:jc w:val="both"/>
        <w:rPr>
          <w:sz w:val="24"/>
          <w:lang w:val="fr-FR"/>
        </w:rPr>
      </w:pPr>
    </w:p>
    <w:p w14:paraId="3B5ED9BE" w14:textId="671D6212" w:rsidR="003C0C1A" w:rsidRPr="00EA53A8" w:rsidRDefault="0029594F" w:rsidP="0029594F">
      <w:pPr>
        <w:tabs>
          <w:tab w:val="left" w:pos="1080"/>
        </w:tabs>
        <w:ind w:left="720" w:hanging="720"/>
        <w:jc w:val="both"/>
        <w:rPr>
          <w:sz w:val="24"/>
          <w:lang w:val="fr-FR"/>
        </w:rPr>
      </w:pPr>
      <w:r>
        <w:rPr>
          <w:sz w:val="24"/>
          <w:lang w:val="fr-FR"/>
        </w:rPr>
        <w:t xml:space="preserve">b) </w:t>
      </w:r>
      <w:r>
        <w:rPr>
          <w:sz w:val="24"/>
          <w:lang w:val="fr-FR"/>
        </w:rPr>
        <w:tab/>
        <w:t>u</w:t>
      </w:r>
      <w:r w:rsidR="003C0C1A" w:rsidRPr="00EA53A8">
        <w:rPr>
          <w:sz w:val="24"/>
          <w:lang w:val="fr-FR"/>
        </w:rPr>
        <w:t>n taxon évalué comme « Éteint à l’état sauvage », « En danger critique d’extinction », « En danger », « Vulnérable » ou « Quasi menacé » selon les critères de la Liste rouge de l’UICN est admissible pour une proposition d’inscription à l’Annexe II, en reconnaissant que ces espèces peuvent être définies comme étant dans « un état de conservation défavorable » au sens large et à condition qu’il soit démontré que le taxon bénéficiera probablement de la conclusion d’un accord international;</w:t>
      </w:r>
    </w:p>
    <w:p w14:paraId="40D41D5F" w14:textId="77777777" w:rsidR="003C0C1A" w:rsidRPr="00EA53A8" w:rsidRDefault="003C0C1A" w:rsidP="0029594F">
      <w:pPr>
        <w:tabs>
          <w:tab w:val="left" w:pos="1080"/>
        </w:tabs>
        <w:ind w:left="720" w:hanging="720"/>
        <w:jc w:val="both"/>
        <w:rPr>
          <w:sz w:val="24"/>
          <w:lang w:val="fr-FR"/>
        </w:rPr>
      </w:pPr>
    </w:p>
    <w:p w14:paraId="2477AD11" w14:textId="77777777" w:rsidR="003C0C1A" w:rsidRPr="00EA53A8" w:rsidRDefault="003C0C1A" w:rsidP="0029594F">
      <w:pPr>
        <w:tabs>
          <w:tab w:val="left" w:pos="1080"/>
        </w:tabs>
        <w:ind w:left="720" w:hanging="720"/>
        <w:jc w:val="both"/>
        <w:rPr>
          <w:sz w:val="24"/>
          <w:lang w:val="fr-FR"/>
        </w:rPr>
      </w:pPr>
      <w:r w:rsidRPr="00EA53A8">
        <w:rPr>
          <w:sz w:val="24"/>
          <w:lang w:val="fr-FR"/>
        </w:rPr>
        <w:t xml:space="preserve">c) </w:t>
      </w:r>
      <w:r w:rsidRPr="00EA53A8">
        <w:rPr>
          <w:sz w:val="24"/>
          <w:lang w:val="fr-FR"/>
        </w:rPr>
        <w:tab/>
      </w:r>
      <w:r w:rsidRPr="00EA53A8">
        <w:rPr>
          <w:rStyle w:val="hps"/>
          <w:sz w:val="24"/>
          <w:lang w:val="fr-FR"/>
        </w:rPr>
        <w:t>un taxon</w:t>
      </w:r>
      <w:r w:rsidRPr="00EA53A8">
        <w:rPr>
          <w:sz w:val="24"/>
          <w:lang w:val="fr-FR"/>
        </w:rPr>
        <w:t xml:space="preserve"> </w:t>
      </w:r>
      <w:r w:rsidRPr="00EA53A8">
        <w:rPr>
          <w:rStyle w:val="hps"/>
          <w:sz w:val="24"/>
          <w:lang w:val="fr-FR"/>
        </w:rPr>
        <w:t>évalué</w:t>
      </w:r>
      <w:r w:rsidRPr="00EA53A8">
        <w:rPr>
          <w:sz w:val="24"/>
          <w:lang w:val="fr-FR"/>
        </w:rPr>
        <w:t xml:space="preserve"> </w:t>
      </w:r>
      <w:r w:rsidRPr="00EA53A8">
        <w:rPr>
          <w:rStyle w:val="hps"/>
          <w:sz w:val="24"/>
          <w:lang w:val="fr-FR"/>
        </w:rPr>
        <w:t>comme «</w:t>
      </w:r>
      <w:r w:rsidRPr="00EA53A8">
        <w:rPr>
          <w:sz w:val="24"/>
          <w:lang w:val="fr-FR"/>
        </w:rPr>
        <w:t xml:space="preserve">données </w:t>
      </w:r>
      <w:r w:rsidRPr="00EA53A8">
        <w:rPr>
          <w:rStyle w:val="hps"/>
          <w:sz w:val="24"/>
          <w:lang w:val="fr-FR"/>
        </w:rPr>
        <w:t>insuffisantes»</w:t>
      </w:r>
      <w:r w:rsidRPr="00EA53A8">
        <w:rPr>
          <w:sz w:val="24"/>
          <w:lang w:val="fr-FR"/>
        </w:rPr>
        <w:t xml:space="preserve"> </w:t>
      </w:r>
      <w:r w:rsidRPr="00EA53A8">
        <w:rPr>
          <w:rStyle w:val="hps"/>
          <w:sz w:val="24"/>
          <w:lang w:val="fr-FR"/>
        </w:rPr>
        <w:t>en utilisant les</w:t>
      </w:r>
      <w:r w:rsidRPr="00EA53A8">
        <w:rPr>
          <w:sz w:val="24"/>
          <w:lang w:val="fr-FR"/>
        </w:rPr>
        <w:t xml:space="preserve"> </w:t>
      </w:r>
      <w:r w:rsidRPr="00EA53A8">
        <w:rPr>
          <w:rStyle w:val="hps"/>
          <w:sz w:val="24"/>
          <w:lang w:val="fr-FR"/>
        </w:rPr>
        <w:t>critères de la liste</w:t>
      </w:r>
      <w:r w:rsidRPr="00EA53A8">
        <w:rPr>
          <w:sz w:val="24"/>
          <w:lang w:val="fr-FR"/>
        </w:rPr>
        <w:t xml:space="preserve"> </w:t>
      </w:r>
      <w:r w:rsidRPr="00EA53A8">
        <w:rPr>
          <w:rStyle w:val="hps"/>
          <w:sz w:val="24"/>
          <w:lang w:val="fr-FR"/>
        </w:rPr>
        <w:t>rouge de l'UICN</w:t>
      </w:r>
      <w:r w:rsidRPr="00EA53A8">
        <w:rPr>
          <w:sz w:val="24"/>
          <w:lang w:val="fr-FR"/>
        </w:rPr>
        <w:t xml:space="preserve"> </w:t>
      </w:r>
      <w:r w:rsidRPr="00EA53A8">
        <w:rPr>
          <w:rStyle w:val="hps"/>
          <w:sz w:val="24"/>
          <w:lang w:val="fr-FR"/>
        </w:rPr>
        <w:t>doit être évalué</w:t>
      </w:r>
      <w:r w:rsidRPr="00EA53A8">
        <w:rPr>
          <w:sz w:val="24"/>
          <w:lang w:val="fr-FR"/>
        </w:rPr>
        <w:t xml:space="preserve"> </w:t>
      </w:r>
      <w:r w:rsidRPr="00EA53A8">
        <w:rPr>
          <w:rStyle w:val="hps"/>
          <w:sz w:val="24"/>
          <w:lang w:val="fr-FR"/>
        </w:rPr>
        <w:t>en termes de</w:t>
      </w:r>
      <w:r w:rsidRPr="00EA53A8">
        <w:rPr>
          <w:sz w:val="24"/>
          <w:lang w:val="fr-FR"/>
        </w:rPr>
        <w:t xml:space="preserve"> </w:t>
      </w:r>
      <w:r w:rsidRPr="00EA53A8">
        <w:rPr>
          <w:rStyle w:val="hps"/>
          <w:sz w:val="24"/>
          <w:lang w:val="fr-FR"/>
        </w:rPr>
        <w:t>fondement de toute</w:t>
      </w:r>
      <w:r w:rsidRPr="00EA53A8">
        <w:rPr>
          <w:sz w:val="24"/>
          <w:lang w:val="fr-FR"/>
        </w:rPr>
        <w:t xml:space="preserve"> </w:t>
      </w:r>
      <w:r w:rsidRPr="00EA53A8">
        <w:rPr>
          <w:rStyle w:val="hps"/>
          <w:sz w:val="24"/>
          <w:lang w:val="fr-FR"/>
        </w:rPr>
        <w:t>proposition individuelle</w:t>
      </w:r>
      <w:r w:rsidRPr="00EA53A8">
        <w:rPr>
          <w:sz w:val="24"/>
          <w:lang w:val="fr-FR"/>
        </w:rPr>
        <w:t xml:space="preserve"> pour l’</w:t>
      </w:r>
      <w:r w:rsidRPr="00EA53A8">
        <w:rPr>
          <w:rStyle w:val="hps"/>
          <w:sz w:val="24"/>
          <w:lang w:val="fr-FR"/>
        </w:rPr>
        <w:t>Annexe</w:t>
      </w:r>
      <w:r w:rsidRPr="00EA53A8">
        <w:rPr>
          <w:sz w:val="24"/>
          <w:lang w:val="fr-FR"/>
        </w:rPr>
        <w:t xml:space="preserve"> </w:t>
      </w:r>
      <w:r w:rsidRPr="00EA53A8">
        <w:rPr>
          <w:rStyle w:val="hps"/>
          <w:sz w:val="24"/>
          <w:lang w:val="fr-FR"/>
        </w:rPr>
        <w:t>II</w:t>
      </w:r>
      <w:r w:rsidRPr="00EA53A8">
        <w:rPr>
          <w:sz w:val="24"/>
          <w:lang w:val="fr-FR"/>
        </w:rPr>
        <w:t xml:space="preserve">. </w:t>
      </w:r>
      <w:r w:rsidRPr="00EA53A8">
        <w:rPr>
          <w:rStyle w:val="hps"/>
          <w:sz w:val="24"/>
          <w:lang w:val="fr-FR"/>
        </w:rPr>
        <w:t>Les informations qui peuvent</w:t>
      </w:r>
      <w:r w:rsidRPr="00EA53A8">
        <w:rPr>
          <w:sz w:val="24"/>
          <w:lang w:val="fr-FR"/>
        </w:rPr>
        <w:t xml:space="preserve"> </w:t>
      </w:r>
      <w:r w:rsidRPr="00EA53A8">
        <w:rPr>
          <w:rStyle w:val="hps"/>
          <w:sz w:val="24"/>
          <w:lang w:val="fr-FR"/>
        </w:rPr>
        <w:t>être</w:t>
      </w:r>
      <w:r w:rsidRPr="00EA53A8">
        <w:rPr>
          <w:sz w:val="24"/>
          <w:lang w:val="fr-FR"/>
        </w:rPr>
        <w:t xml:space="preserve"> </w:t>
      </w:r>
      <w:r w:rsidRPr="00EA53A8">
        <w:rPr>
          <w:rStyle w:val="hps"/>
          <w:sz w:val="24"/>
          <w:lang w:val="fr-FR"/>
        </w:rPr>
        <w:t>disponibles</w:t>
      </w:r>
      <w:r w:rsidRPr="00EA53A8">
        <w:rPr>
          <w:sz w:val="24"/>
          <w:lang w:val="fr-FR"/>
        </w:rPr>
        <w:t xml:space="preserve"> </w:t>
      </w:r>
      <w:r w:rsidRPr="00EA53A8">
        <w:rPr>
          <w:rStyle w:val="hps"/>
          <w:sz w:val="24"/>
          <w:lang w:val="fr-FR"/>
        </w:rPr>
        <w:t>depuis l'évaluation de</w:t>
      </w:r>
      <w:r w:rsidRPr="00EA53A8">
        <w:rPr>
          <w:sz w:val="24"/>
          <w:lang w:val="fr-FR"/>
        </w:rPr>
        <w:t xml:space="preserve"> </w:t>
      </w:r>
      <w:r w:rsidRPr="00EA53A8">
        <w:rPr>
          <w:rStyle w:val="hps"/>
          <w:sz w:val="24"/>
          <w:lang w:val="fr-FR"/>
        </w:rPr>
        <w:t>données insuffisantes</w:t>
      </w:r>
      <w:r w:rsidRPr="00EA53A8">
        <w:rPr>
          <w:sz w:val="24"/>
          <w:lang w:val="fr-FR"/>
        </w:rPr>
        <w:t xml:space="preserve"> </w:t>
      </w:r>
      <w:r w:rsidRPr="00EA53A8">
        <w:rPr>
          <w:rStyle w:val="hps"/>
          <w:sz w:val="24"/>
          <w:lang w:val="fr-FR"/>
        </w:rPr>
        <w:t>doivent être</w:t>
      </w:r>
      <w:r w:rsidRPr="00EA53A8">
        <w:rPr>
          <w:sz w:val="24"/>
          <w:lang w:val="fr-FR"/>
        </w:rPr>
        <w:t xml:space="preserve"> </w:t>
      </w:r>
      <w:r w:rsidRPr="00EA53A8">
        <w:rPr>
          <w:rStyle w:val="hps"/>
          <w:sz w:val="24"/>
          <w:lang w:val="fr-FR"/>
        </w:rPr>
        <w:t>examinées au cas</w:t>
      </w:r>
      <w:r w:rsidRPr="00EA53A8">
        <w:rPr>
          <w:sz w:val="24"/>
          <w:lang w:val="fr-FR"/>
        </w:rPr>
        <w:t xml:space="preserve"> </w:t>
      </w:r>
      <w:r w:rsidRPr="00EA53A8">
        <w:rPr>
          <w:rStyle w:val="hps"/>
          <w:sz w:val="24"/>
          <w:lang w:val="fr-FR"/>
        </w:rPr>
        <w:t>par cas</w:t>
      </w:r>
      <w:r w:rsidRPr="00EA53A8">
        <w:rPr>
          <w:sz w:val="24"/>
          <w:lang w:val="fr-FR"/>
        </w:rPr>
        <w:t xml:space="preserve">. </w:t>
      </w:r>
      <w:r w:rsidRPr="00EA53A8">
        <w:rPr>
          <w:rStyle w:val="hps"/>
          <w:sz w:val="24"/>
          <w:lang w:val="fr-FR"/>
        </w:rPr>
        <w:t>Il</w:t>
      </w:r>
      <w:r w:rsidRPr="00EA53A8">
        <w:rPr>
          <w:sz w:val="24"/>
          <w:lang w:val="fr-FR"/>
        </w:rPr>
        <w:t xml:space="preserve"> </w:t>
      </w:r>
      <w:r w:rsidRPr="00EA53A8">
        <w:rPr>
          <w:rStyle w:val="hps"/>
          <w:sz w:val="24"/>
          <w:lang w:val="fr-FR"/>
        </w:rPr>
        <w:t>serait exceptionnel</w:t>
      </w:r>
      <w:r w:rsidRPr="00EA53A8">
        <w:rPr>
          <w:sz w:val="24"/>
          <w:lang w:val="fr-FR"/>
        </w:rPr>
        <w:t xml:space="preserve"> </w:t>
      </w:r>
      <w:r w:rsidRPr="00EA53A8">
        <w:rPr>
          <w:rStyle w:val="hps"/>
          <w:sz w:val="24"/>
          <w:lang w:val="fr-FR"/>
        </w:rPr>
        <w:t>de prendre en considération</w:t>
      </w:r>
      <w:r w:rsidRPr="00EA53A8">
        <w:rPr>
          <w:sz w:val="24"/>
          <w:lang w:val="fr-FR"/>
        </w:rPr>
        <w:t xml:space="preserve"> </w:t>
      </w:r>
      <w:r w:rsidRPr="00EA53A8">
        <w:rPr>
          <w:rStyle w:val="hps"/>
          <w:sz w:val="24"/>
          <w:lang w:val="fr-FR"/>
        </w:rPr>
        <w:t>pour</w:t>
      </w:r>
      <w:r w:rsidRPr="00EA53A8">
        <w:rPr>
          <w:sz w:val="24"/>
          <w:lang w:val="fr-FR"/>
        </w:rPr>
        <w:t xml:space="preserve"> </w:t>
      </w:r>
      <w:r w:rsidRPr="00EA53A8">
        <w:rPr>
          <w:rStyle w:val="hps"/>
          <w:sz w:val="24"/>
          <w:lang w:val="fr-FR"/>
        </w:rPr>
        <w:t>inscription à l'Annexe 1 des espèces évaluées</w:t>
      </w:r>
      <w:r w:rsidRPr="00EA53A8">
        <w:rPr>
          <w:sz w:val="24"/>
          <w:lang w:val="fr-FR"/>
        </w:rPr>
        <w:t xml:space="preserve"> </w:t>
      </w:r>
      <w:r w:rsidRPr="00EA53A8">
        <w:rPr>
          <w:rStyle w:val="hps"/>
          <w:sz w:val="24"/>
          <w:lang w:val="fr-FR"/>
        </w:rPr>
        <w:t>avec des «</w:t>
      </w:r>
      <w:r w:rsidRPr="00EA53A8">
        <w:rPr>
          <w:sz w:val="24"/>
          <w:lang w:val="fr-FR"/>
        </w:rPr>
        <w:t xml:space="preserve">données </w:t>
      </w:r>
      <w:r w:rsidRPr="00EA53A8">
        <w:rPr>
          <w:rStyle w:val="hps"/>
          <w:sz w:val="24"/>
          <w:lang w:val="fr-FR"/>
        </w:rPr>
        <w:t>montrent des déficiences</w:t>
      </w:r>
      <w:r w:rsidRPr="00EA53A8">
        <w:rPr>
          <w:sz w:val="24"/>
          <w:lang w:val="fr-FR"/>
        </w:rPr>
        <w:t>».</w:t>
      </w:r>
    </w:p>
    <w:p w14:paraId="1E3719B4" w14:textId="77777777" w:rsidR="003C0C1A" w:rsidRPr="00EA53A8" w:rsidRDefault="003C0C1A" w:rsidP="0029594F">
      <w:pPr>
        <w:tabs>
          <w:tab w:val="left" w:pos="1080"/>
        </w:tabs>
        <w:ind w:left="720" w:hanging="720"/>
        <w:jc w:val="both"/>
        <w:rPr>
          <w:sz w:val="24"/>
          <w:lang w:val="fr-FR"/>
        </w:rPr>
      </w:pPr>
    </w:p>
    <w:p w14:paraId="42E1CE88" w14:textId="77777777" w:rsidR="003C0C1A" w:rsidRPr="0018560D" w:rsidRDefault="003C0C1A" w:rsidP="0029594F">
      <w:pPr>
        <w:tabs>
          <w:tab w:val="left" w:pos="1080"/>
        </w:tabs>
        <w:ind w:left="720" w:hanging="720"/>
        <w:rPr>
          <w:sz w:val="24"/>
          <w:lang w:val="fr-FR"/>
        </w:rPr>
      </w:pPr>
      <w:r w:rsidRPr="0018560D">
        <w:rPr>
          <w:sz w:val="24"/>
          <w:lang w:val="fr-FR"/>
        </w:rPr>
        <w:t>d)</w:t>
      </w:r>
      <w:r w:rsidRPr="0018560D">
        <w:rPr>
          <w:sz w:val="24"/>
          <w:lang w:val="fr-FR"/>
        </w:rPr>
        <w:tab/>
        <w:t>l’avantage en matière de conservation pour l’inscription devrait être explicitement indiqué dans les propositions d’inscription à l’Annexe I comme à l’Annexe II;</w:t>
      </w:r>
    </w:p>
    <w:p w14:paraId="6BBCFD76" w14:textId="77777777" w:rsidR="003C0C1A" w:rsidRPr="0018560D" w:rsidRDefault="003C0C1A" w:rsidP="0029594F">
      <w:pPr>
        <w:tabs>
          <w:tab w:val="left" w:pos="1080"/>
        </w:tabs>
        <w:ind w:left="720" w:hanging="720"/>
        <w:rPr>
          <w:sz w:val="24"/>
          <w:lang w:val="fr-FR"/>
        </w:rPr>
      </w:pPr>
    </w:p>
    <w:p w14:paraId="4C5491B3" w14:textId="77777777" w:rsidR="003C0C1A" w:rsidRPr="0018560D" w:rsidRDefault="003C0C1A" w:rsidP="0029594F">
      <w:pPr>
        <w:tabs>
          <w:tab w:val="left" w:pos="1080"/>
        </w:tabs>
        <w:ind w:left="720" w:hanging="720"/>
        <w:rPr>
          <w:sz w:val="24"/>
          <w:lang w:val="fr-FR"/>
        </w:rPr>
      </w:pPr>
      <w:r w:rsidRPr="0018560D">
        <w:rPr>
          <w:sz w:val="24"/>
          <w:lang w:val="fr-FR"/>
        </w:rPr>
        <w:t>e)</w:t>
      </w:r>
      <w:r w:rsidRPr="0018560D">
        <w:rPr>
          <w:sz w:val="24"/>
          <w:lang w:val="fr-FR"/>
        </w:rPr>
        <w:tab/>
        <w:t>l’échelle d’évaluation de la liste rouge devrait correspondre à l’échelle des propositions d’inscription dans la mesure du possible; et</w:t>
      </w:r>
    </w:p>
    <w:p w14:paraId="6366675A" w14:textId="77777777" w:rsidR="003C0C1A" w:rsidRPr="00EA53A8" w:rsidRDefault="003C0C1A" w:rsidP="0029594F">
      <w:pPr>
        <w:tabs>
          <w:tab w:val="left" w:pos="1080"/>
        </w:tabs>
        <w:ind w:left="720" w:hanging="720"/>
        <w:jc w:val="both"/>
        <w:rPr>
          <w:sz w:val="24"/>
          <w:lang w:val="fr-FR"/>
        </w:rPr>
      </w:pPr>
    </w:p>
    <w:p w14:paraId="6A97D40A" w14:textId="77777777" w:rsidR="003C0C1A" w:rsidRPr="00EA53A8" w:rsidRDefault="003C0C1A" w:rsidP="0029594F">
      <w:pPr>
        <w:tabs>
          <w:tab w:val="left" w:pos="1080"/>
        </w:tabs>
        <w:ind w:left="720" w:hanging="720"/>
        <w:jc w:val="both"/>
        <w:rPr>
          <w:sz w:val="24"/>
          <w:lang w:val="fr-FR"/>
        </w:rPr>
      </w:pPr>
      <w:r w:rsidRPr="00EA53A8">
        <w:rPr>
          <w:sz w:val="24"/>
          <w:lang w:val="fr-FR"/>
        </w:rPr>
        <w:t>f)</w:t>
      </w:r>
      <w:r w:rsidRPr="00EA53A8">
        <w:rPr>
          <w:sz w:val="24"/>
          <w:lang w:val="fr-FR"/>
        </w:rPr>
        <w:tab/>
        <w:t>étant donné que l’Article IV de la Convention n’exige pas qu’un taxon soit dans un état de conservation défavorable pour pouvoir être inscrit à l’Annexe II, les espèces peuvent être inscrites à l’Annexe II si celui qui propose l’inscription est en mesure de démontrer clairement :</w:t>
      </w:r>
    </w:p>
    <w:p w14:paraId="5DAE767F" w14:textId="6D483895" w:rsidR="003C0C1A" w:rsidRPr="00EA53A8" w:rsidRDefault="003C0C1A" w:rsidP="003C0C1A">
      <w:pPr>
        <w:tabs>
          <w:tab w:val="left" w:pos="1134"/>
        </w:tabs>
        <w:ind w:left="1134" w:hanging="414"/>
        <w:jc w:val="both"/>
        <w:rPr>
          <w:sz w:val="24"/>
          <w:lang w:val="fr-FR"/>
        </w:rPr>
      </w:pPr>
      <w:r w:rsidRPr="00EA53A8">
        <w:rPr>
          <w:sz w:val="24"/>
          <w:lang w:val="fr-FR"/>
        </w:rPr>
        <w:t>i.</w:t>
      </w:r>
      <w:r w:rsidRPr="00EA53A8">
        <w:rPr>
          <w:sz w:val="24"/>
          <w:lang w:val="fr-FR"/>
        </w:rPr>
        <w:tab/>
        <w:t>de quelle façon l’inscription profitera au taxon; et</w:t>
      </w:r>
    </w:p>
    <w:p w14:paraId="0904D170" w14:textId="77777777" w:rsidR="003C0C1A" w:rsidRPr="00EA53A8" w:rsidRDefault="003C0C1A" w:rsidP="003C0C1A">
      <w:pPr>
        <w:tabs>
          <w:tab w:val="left" w:pos="1134"/>
        </w:tabs>
        <w:ind w:left="1134" w:hanging="414"/>
        <w:jc w:val="both"/>
        <w:rPr>
          <w:sz w:val="24"/>
          <w:lang w:val="fr-FR"/>
        </w:rPr>
      </w:pPr>
    </w:p>
    <w:p w14:paraId="18E36D5D" w14:textId="06AFA97D" w:rsidR="003C0C1A" w:rsidRPr="00EA53A8" w:rsidRDefault="003C0C1A" w:rsidP="003C0C1A">
      <w:pPr>
        <w:tabs>
          <w:tab w:val="left" w:pos="1134"/>
        </w:tabs>
        <w:ind w:left="1134" w:hanging="414"/>
        <w:jc w:val="both"/>
        <w:rPr>
          <w:sz w:val="24"/>
          <w:lang w:val="fr-FR"/>
        </w:rPr>
      </w:pPr>
      <w:r w:rsidRPr="00EA53A8">
        <w:rPr>
          <w:sz w:val="24"/>
          <w:lang w:val="fr-FR"/>
        </w:rPr>
        <w:t>ii.</w:t>
      </w:r>
      <w:r w:rsidRPr="00EA53A8">
        <w:rPr>
          <w:sz w:val="24"/>
          <w:lang w:val="fr-FR"/>
        </w:rPr>
        <w:tab/>
        <w:t>leur intention en ce qui concerne la conclusion d’un accord international; et</w:t>
      </w:r>
    </w:p>
    <w:p w14:paraId="67E73AAF" w14:textId="77777777" w:rsidR="003C0C1A" w:rsidRPr="00EA53A8" w:rsidRDefault="003C0C1A" w:rsidP="003C0C1A">
      <w:pPr>
        <w:tabs>
          <w:tab w:val="left" w:pos="1134"/>
        </w:tabs>
        <w:ind w:left="1134" w:hanging="414"/>
        <w:jc w:val="both"/>
        <w:rPr>
          <w:sz w:val="24"/>
          <w:lang w:val="fr-FR"/>
        </w:rPr>
      </w:pPr>
    </w:p>
    <w:p w14:paraId="2CC34ABB" w14:textId="567AA9A8" w:rsidR="003C0C1A" w:rsidRPr="00EA53A8" w:rsidRDefault="003C0C1A" w:rsidP="0029594F">
      <w:pPr>
        <w:tabs>
          <w:tab w:val="left" w:pos="1134"/>
        </w:tabs>
        <w:ind w:left="1170" w:hanging="450"/>
        <w:jc w:val="both"/>
        <w:rPr>
          <w:sz w:val="24"/>
          <w:lang w:val="fr-FR"/>
        </w:rPr>
      </w:pPr>
      <w:r w:rsidRPr="00EA53A8">
        <w:rPr>
          <w:sz w:val="24"/>
          <w:lang w:val="fr-FR"/>
        </w:rPr>
        <w:t>iii.</w:t>
      </w:r>
      <w:r w:rsidRPr="00EA53A8">
        <w:rPr>
          <w:sz w:val="24"/>
          <w:lang w:val="fr-FR"/>
        </w:rPr>
        <w:tab/>
        <w:t>leur volonté d’assume</w:t>
      </w:r>
      <w:r w:rsidR="0029594F">
        <w:rPr>
          <w:sz w:val="24"/>
          <w:lang w:val="fr-FR"/>
        </w:rPr>
        <w:t>r le rôle de point focal</w:t>
      </w:r>
      <w:r w:rsidRPr="00EA53A8">
        <w:rPr>
          <w:sz w:val="24"/>
          <w:lang w:val="fr-FR"/>
        </w:rPr>
        <w:t xml:space="preserve"> du</w:t>
      </w:r>
      <w:r w:rsidR="0029594F">
        <w:rPr>
          <w:sz w:val="24"/>
          <w:lang w:val="fr-FR"/>
        </w:rPr>
        <w:t xml:space="preserve"> taxon considéré et de conduire </w:t>
      </w:r>
      <w:r w:rsidRPr="00EA53A8">
        <w:rPr>
          <w:sz w:val="24"/>
          <w:lang w:val="fr-FR"/>
        </w:rPr>
        <w:t>l’élaboration d’un accord international.</w:t>
      </w:r>
    </w:p>
    <w:p w14:paraId="5B16A4C6" w14:textId="77777777" w:rsidR="003C0C1A" w:rsidRPr="00EA53A8" w:rsidRDefault="003C0C1A" w:rsidP="003C0C1A">
      <w:pPr>
        <w:tabs>
          <w:tab w:val="left" w:pos="1134"/>
        </w:tabs>
        <w:ind w:left="1440" w:hanging="720"/>
        <w:jc w:val="both"/>
        <w:rPr>
          <w:sz w:val="24"/>
          <w:lang w:val="fr-FR"/>
        </w:rPr>
      </w:pPr>
    </w:p>
    <w:p w14:paraId="0EBC2CA7" w14:textId="77777777" w:rsidR="003C0C1A" w:rsidRPr="001442FB" w:rsidRDefault="003C0C1A" w:rsidP="0029594F">
      <w:pPr>
        <w:jc w:val="both"/>
        <w:rPr>
          <w:sz w:val="24"/>
          <w:lang w:val="fr-FR"/>
        </w:rPr>
      </w:pPr>
      <w:r w:rsidRPr="001442FB">
        <w:rPr>
          <w:sz w:val="24"/>
          <w:lang w:val="fr-FR"/>
        </w:rPr>
        <w:t>39.</w:t>
      </w:r>
      <w:r w:rsidRPr="001442FB">
        <w:rPr>
          <w:sz w:val="24"/>
          <w:lang w:val="fr-FR"/>
        </w:rPr>
        <w:tab/>
        <w:t xml:space="preserve">Concernant le retrait d’une espèce des Annexes, la Conférence des Parties devrait considérer les procédures décrites à l’Article III et à l’Article XI de la Convention, lors de l’évaluation de l’état de conservation d’une espèce migratrice, lorsque son retrait </w:t>
      </w:r>
      <w:proofErr w:type="spellStart"/>
      <w:r w:rsidRPr="001442FB">
        <w:rPr>
          <w:sz w:val="24"/>
          <w:lang w:val="fr-FR"/>
        </w:rPr>
        <w:t>del’Annexe</w:t>
      </w:r>
      <w:proofErr w:type="spellEnd"/>
      <w:r w:rsidRPr="001442FB">
        <w:rPr>
          <w:sz w:val="24"/>
          <w:lang w:val="fr-FR"/>
        </w:rPr>
        <w:t xml:space="preserve"> I est proposé. De plus, pour les espèces étant inscrites dans d’autres arrangements de gestion internationale, la Partie présentant la nomination de retrait de la liste, devrait consulter ces conventions pertinentes concernant la durabilité du retrait de la protection fournie par les Annexes de la CMS</w:t>
      </w:r>
    </w:p>
    <w:p w14:paraId="6409CBA5" w14:textId="77777777" w:rsidR="003C0C1A" w:rsidRPr="001442FB" w:rsidRDefault="003C0C1A" w:rsidP="0029594F">
      <w:pPr>
        <w:tabs>
          <w:tab w:val="left" w:pos="1134"/>
        </w:tabs>
        <w:jc w:val="both"/>
        <w:rPr>
          <w:sz w:val="24"/>
          <w:lang w:val="fr-FR"/>
        </w:rPr>
      </w:pPr>
    </w:p>
    <w:p w14:paraId="2C06D861" w14:textId="77777777" w:rsidR="0029594F" w:rsidRPr="001442FB" w:rsidRDefault="003C0C1A" w:rsidP="0029594F">
      <w:pPr>
        <w:rPr>
          <w:sz w:val="24"/>
          <w:lang w:val="fr-FR"/>
        </w:rPr>
      </w:pPr>
      <w:r w:rsidRPr="00EA53A8">
        <w:rPr>
          <w:sz w:val="24"/>
          <w:lang w:val="fr-FR"/>
        </w:rPr>
        <w:t>40.</w:t>
      </w:r>
      <w:r w:rsidRPr="00EA53A8">
        <w:rPr>
          <w:sz w:val="24"/>
          <w:lang w:val="fr-FR"/>
        </w:rPr>
        <w:tab/>
        <w:t>I</w:t>
      </w:r>
      <w:r w:rsidRPr="001442FB">
        <w:rPr>
          <w:sz w:val="24"/>
          <w:lang w:val="fr-FR"/>
        </w:rPr>
        <w:t>l est recommandé, à la suite du 18ème Conseil scientifique, mais avant le délai fixé pour les résolutions de la COP11, qu’une résolution soit rédigée pour être considéré par la Conférence des Partie comprenant les principes et procédures exposés dans ce document.</w:t>
      </w:r>
    </w:p>
    <w:p w14:paraId="499B1650" w14:textId="77777777" w:rsidR="0029594F" w:rsidRPr="001442FB" w:rsidRDefault="0029594F" w:rsidP="0029594F">
      <w:pPr>
        <w:rPr>
          <w:sz w:val="24"/>
          <w:lang w:val="fr-FR"/>
        </w:rPr>
      </w:pPr>
    </w:p>
    <w:p w14:paraId="5DB3C47E" w14:textId="77777777" w:rsidR="0029594F" w:rsidRPr="001442FB" w:rsidRDefault="0029594F" w:rsidP="0029594F">
      <w:pPr>
        <w:rPr>
          <w:sz w:val="24"/>
          <w:lang w:val="fr-FR"/>
        </w:rPr>
      </w:pPr>
    </w:p>
    <w:p w14:paraId="5485EFE9" w14:textId="77777777" w:rsidR="0029594F" w:rsidRPr="001442FB" w:rsidRDefault="0029594F" w:rsidP="0029594F">
      <w:pPr>
        <w:rPr>
          <w:sz w:val="24"/>
          <w:lang w:val="fr-FR"/>
        </w:rPr>
      </w:pPr>
    </w:p>
    <w:p w14:paraId="71FC58CE" w14:textId="1DA7CE1E" w:rsidR="003C0C1A" w:rsidRPr="0029594F" w:rsidRDefault="003C0C1A" w:rsidP="0029594F">
      <w:pPr>
        <w:rPr>
          <w:sz w:val="24"/>
        </w:rPr>
      </w:pPr>
      <w:r w:rsidRPr="00EA53A8">
        <w:rPr>
          <w:b/>
          <w:bCs/>
          <w:sz w:val="24"/>
          <w:lang w:val="fr-FR"/>
        </w:rPr>
        <w:lastRenderedPageBreak/>
        <w:t>Remerciements</w:t>
      </w:r>
    </w:p>
    <w:p w14:paraId="78E7C38E" w14:textId="77777777" w:rsidR="003C0C1A" w:rsidRPr="00EA53A8" w:rsidRDefault="003C0C1A" w:rsidP="003C0C1A">
      <w:pPr>
        <w:jc w:val="both"/>
        <w:rPr>
          <w:b/>
          <w:bCs/>
          <w:sz w:val="24"/>
          <w:lang w:val="fr-FR"/>
        </w:rPr>
      </w:pPr>
    </w:p>
    <w:p w14:paraId="0795D27B" w14:textId="4BECA4BB" w:rsidR="0029594F" w:rsidRDefault="0029594F" w:rsidP="0029594F">
      <w:pPr>
        <w:jc w:val="both"/>
        <w:rPr>
          <w:sz w:val="24"/>
          <w:lang w:val="fr-FR"/>
        </w:rPr>
      </w:pPr>
      <w:r>
        <w:rPr>
          <w:sz w:val="24"/>
          <w:lang w:val="fr-FR"/>
        </w:rPr>
        <w:t>41.</w:t>
      </w:r>
      <w:r>
        <w:rPr>
          <w:sz w:val="24"/>
          <w:lang w:val="fr-FR"/>
        </w:rPr>
        <w:tab/>
      </w:r>
      <w:r w:rsidR="001442FB">
        <w:rPr>
          <w:sz w:val="24"/>
          <w:lang w:val="fr-FR"/>
        </w:rPr>
        <w:t xml:space="preserve">Ce document a été </w:t>
      </w:r>
      <w:proofErr w:type="spellStart"/>
      <w:r w:rsidR="001442FB">
        <w:rPr>
          <w:sz w:val="24"/>
          <w:lang w:val="fr-FR"/>
        </w:rPr>
        <w:t>preparé</w:t>
      </w:r>
      <w:proofErr w:type="spellEnd"/>
      <w:r w:rsidR="001442FB">
        <w:rPr>
          <w:sz w:val="24"/>
          <w:lang w:val="fr-FR"/>
        </w:rPr>
        <w:t xml:space="preserve"> par</w:t>
      </w:r>
      <w:r w:rsidR="003C0C1A" w:rsidRPr="00EA53A8">
        <w:rPr>
          <w:sz w:val="24"/>
          <w:lang w:val="fr-FR"/>
        </w:rPr>
        <w:t xml:space="preserve"> membres du groupe de travail créé à la </w:t>
      </w:r>
      <w:proofErr w:type="spellStart"/>
      <w:r w:rsidR="003C0C1A" w:rsidRPr="00EA53A8">
        <w:rPr>
          <w:sz w:val="24"/>
          <w:lang w:val="fr-FR"/>
        </w:rPr>
        <w:t>ScC</w:t>
      </w:r>
      <w:proofErr w:type="spellEnd"/>
      <w:r w:rsidR="003C0C1A" w:rsidRPr="00EA53A8">
        <w:rPr>
          <w:sz w:val="24"/>
          <w:lang w:val="fr-FR"/>
        </w:rPr>
        <w:t xml:space="preserve"> 16 et la </w:t>
      </w:r>
      <w:proofErr w:type="spellStart"/>
      <w:r w:rsidR="003C0C1A" w:rsidRPr="00EA53A8">
        <w:rPr>
          <w:sz w:val="24"/>
          <w:lang w:val="fr-FR"/>
        </w:rPr>
        <w:t>ScC</w:t>
      </w:r>
      <w:proofErr w:type="spellEnd"/>
      <w:r w:rsidR="003C0C1A" w:rsidRPr="00EA53A8">
        <w:rPr>
          <w:sz w:val="24"/>
          <w:lang w:val="fr-FR"/>
        </w:rPr>
        <w:t xml:space="preserve"> 17 ─ </w:t>
      </w:r>
      <w:r w:rsidR="001442FB" w:rsidRPr="001442FB">
        <w:rPr>
          <w:sz w:val="24"/>
          <w:lang w:val="fr-FR"/>
        </w:rPr>
        <w:t xml:space="preserve">Barry Baker, </w:t>
      </w:r>
      <w:proofErr w:type="spellStart"/>
      <w:r w:rsidR="001442FB" w:rsidRPr="001442FB">
        <w:rPr>
          <w:sz w:val="24"/>
          <w:lang w:val="fr-FR"/>
        </w:rPr>
        <w:t>Zeb</w:t>
      </w:r>
      <w:proofErr w:type="spellEnd"/>
      <w:r w:rsidR="001442FB" w:rsidRPr="001442FB">
        <w:rPr>
          <w:sz w:val="24"/>
          <w:lang w:val="fr-FR"/>
        </w:rPr>
        <w:t xml:space="preserve"> Hogan, </w:t>
      </w:r>
      <w:proofErr w:type="spellStart"/>
      <w:r w:rsidR="001442FB" w:rsidRPr="007735E1">
        <w:rPr>
          <w:sz w:val="24"/>
          <w:lang w:val="fr-FR"/>
        </w:rPr>
        <w:t>Øystein</w:t>
      </w:r>
      <w:proofErr w:type="spellEnd"/>
      <w:r w:rsidR="001442FB" w:rsidRPr="007735E1">
        <w:rPr>
          <w:sz w:val="24"/>
          <w:lang w:val="fr-FR"/>
        </w:rPr>
        <w:t xml:space="preserve"> </w:t>
      </w:r>
      <w:proofErr w:type="spellStart"/>
      <w:r w:rsidR="001442FB" w:rsidRPr="007735E1">
        <w:rPr>
          <w:sz w:val="24"/>
          <w:lang w:val="fr-FR"/>
        </w:rPr>
        <w:t>Størkersen</w:t>
      </w:r>
      <w:proofErr w:type="spellEnd"/>
      <w:r w:rsidR="001442FB" w:rsidRPr="007735E1">
        <w:rPr>
          <w:sz w:val="24"/>
          <w:lang w:val="fr-FR"/>
        </w:rPr>
        <w:t>,</w:t>
      </w:r>
      <w:r w:rsidR="001442FB" w:rsidRPr="007735E1">
        <w:rPr>
          <w:lang w:val="fr-FR"/>
        </w:rPr>
        <w:t xml:space="preserve"> </w:t>
      </w:r>
      <w:r w:rsidR="001442FB" w:rsidRPr="007735E1">
        <w:rPr>
          <w:sz w:val="24"/>
          <w:lang w:val="fr-FR"/>
        </w:rPr>
        <w:t>Fernando Spina,</w:t>
      </w:r>
      <w:bookmarkStart w:id="2" w:name="_GoBack"/>
      <w:r w:rsidR="001442FB" w:rsidRPr="007735E1">
        <w:rPr>
          <w:lang w:val="fr-FR"/>
        </w:rPr>
        <w:t xml:space="preserve"> </w:t>
      </w:r>
      <w:bookmarkEnd w:id="2"/>
      <w:r w:rsidR="001442FB" w:rsidRPr="001442FB">
        <w:rPr>
          <w:sz w:val="24"/>
          <w:lang w:val="fr-FR"/>
        </w:rPr>
        <w:t>Pierre Devillers,</w:t>
      </w:r>
      <w:r w:rsidR="001442FB">
        <w:rPr>
          <w:sz w:val="24"/>
          <w:lang w:val="fr-FR"/>
        </w:rPr>
        <w:t xml:space="preserve"> </w:t>
      </w:r>
      <w:r w:rsidR="003C0C1A" w:rsidRPr="00EA53A8">
        <w:rPr>
          <w:sz w:val="24"/>
          <w:lang w:val="fr-FR"/>
        </w:rPr>
        <w:t xml:space="preserve">Andreas </w:t>
      </w:r>
      <w:proofErr w:type="spellStart"/>
      <w:r w:rsidR="003C0C1A" w:rsidRPr="00EA53A8">
        <w:rPr>
          <w:sz w:val="24"/>
          <w:lang w:val="fr-FR"/>
        </w:rPr>
        <w:t>Krüss</w:t>
      </w:r>
      <w:proofErr w:type="spellEnd"/>
      <w:r w:rsidR="003C0C1A" w:rsidRPr="00EA53A8">
        <w:rPr>
          <w:sz w:val="24"/>
          <w:lang w:val="fr-FR"/>
        </w:rPr>
        <w:t xml:space="preserve">, Nigel </w:t>
      </w:r>
      <w:proofErr w:type="spellStart"/>
      <w:r w:rsidR="003C0C1A" w:rsidRPr="00EA53A8">
        <w:rPr>
          <w:sz w:val="24"/>
          <w:lang w:val="fr-FR"/>
        </w:rPr>
        <w:t>Routh</w:t>
      </w:r>
      <w:proofErr w:type="spellEnd"/>
      <w:r w:rsidR="003C0C1A" w:rsidRPr="00EA53A8">
        <w:rPr>
          <w:sz w:val="24"/>
          <w:lang w:val="fr-FR"/>
        </w:rPr>
        <w:t xml:space="preserve">, John </w:t>
      </w:r>
      <w:proofErr w:type="spellStart"/>
      <w:r w:rsidR="003C0C1A" w:rsidRPr="00EA53A8">
        <w:rPr>
          <w:sz w:val="24"/>
          <w:lang w:val="fr-FR"/>
        </w:rPr>
        <w:t>O’Sullivan</w:t>
      </w:r>
      <w:proofErr w:type="spellEnd"/>
      <w:r w:rsidR="003C0C1A" w:rsidRPr="00EA53A8">
        <w:rPr>
          <w:sz w:val="24"/>
          <w:lang w:val="fr-FR"/>
        </w:rPr>
        <w:t xml:space="preserve">, Jean-Philippe </w:t>
      </w:r>
      <w:proofErr w:type="spellStart"/>
      <w:r w:rsidR="003C0C1A" w:rsidRPr="00EA53A8">
        <w:rPr>
          <w:sz w:val="24"/>
          <w:lang w:val="fr-FR"/>
        </w:rPr>
        <w:t>Siblet</w:t>
      </w:r>
      <w:proofErr w:type="spellEnd"/>
      <w:r w:rsidR="003C0C1A" w:rsidRPr="00EA53A8">
        <w:rPr>
          <w:sz w:val="24"/>
          <w:lang w:val="fr-FR"/>
        </w:rPr>
        <w:t xml:space="preserve">, James Williams, </w:t>
      </w:r>
      <w:r w:rsidR="001442FB" w:rsidRPr="001442FB">
        <w:rPr>
          <w:sz w:val="24"/>
          <w:lang w:val="fr-FR"/>
        </w:rPr>
        <w:t xml:space="preserve">Jean-Christophe Vié, </w:t>
      </w:r>
      <w:r w:rsidR="003C0C1A" w:rsidRPr="00EA53A8">
        <w:rPr>
          <w:sz w:val="24"/>
          <w:lang w:val="fr-FR"/>
        </w:rPr>
        <w:t xml:space="preserve">Peter </w:t>
      </w:r>
      <w:proofErr w:type="spellStart"/>
      <w:r w:rsidR="003C0C1A" w:rsidRPr="00EA53A8">
        <w:rPr>
          <w:sz w:val="24"/>
          <w:lang w:val="fr-FR"/>
        </w:rPr>
        <w:t>Pueschel</w:t>
      </w:r>
      <w:proofErr w:type="spellEnd"/>
      <w:r w:rsidR="003C0C1A" w:rsidRPr="00EA53A8">
        <w:rPr>
          <w:sz w:val="24"/>
          <w:lang w:val="fr-FR"/>
        </w:rPr>
        <w:t>, William Perrin et Colin Limpus. Les observations utiles de</w:t>
      </w:r>
      <w:r w:rsidR="001442FB">
        <w:rPr>
          <w:sz w:val="24"/>
          <w:lang w:val="fr-FR"/>
        </w:rPr>
        <w:t xml:space="preserve"> </w:t>
      </w:r>
      <w:r w:rsidR="003C0C1A" w:rsidRPr="00EA53A8">
        <w:rPr>
          <w:sz w:val="24"/>
          <w:lang w:val="fr-FR"/>
        </w:rPr>
        <w:t>Dave Pritchard, Borja Heredia, Narelle Montgomery</w:t>
      </w:r>
      <w:r w:rsidR="001442FB" w:rsidRPr="001442FB">
        <w:rPr>
          <w:sz w:val="24"/>
          <w:lang w:val="fr-FR"/>
        </w:rPr>
        <w:t xml:space="preserve">, </w:t>
      </w:r>
      <w:r w:rsidR="001442FB">
        <w:rPr>
          <w:sz w:val="24"/>
          <w:lang w:val="fr-FR"/>
        </w:rPr>
        <w:t>Marco Barbieri</w:t>
      </w:r>
      <w:r w:rsidR="003C0C1A" w:rsidRPr="00EA53A8">
        <w:rPr>
          <w:sz w:val="24"/>
          <w:lang w:val="fr-FR"/>
        </w:rPr>
        <w:t xml:space="preserve"> et Aline Kuehl-Stenzel ont aussi permis d’améliorer substantiellement les premières versions du présent document.</w:t>
      </w:r>
    </w:p>
    <w:p w14:paraId="54A120FA" w14:textId="77777777" w:rsidR="0029594F" w:rsidRDefault="0029594F" w:rsidP="0029594F">
      <w:pPr>
        <w:jc w:val="both"/>
        <w:rPr>
          <w:sz w:val="24"/>
          <w:lang w:val="fr-FR"/>
        </w:rPr>
      </w:pPr>
    </w:p>
    <w:p w14:paraId="1CBA13EA" w14:textId="19B8765A" w:rsidR="003C0C1A" w:rsidRPr="0029594F" w:rsidRDefault="003C0C1A" w:rsidP="0029594F">
      <w:pPr>
        <w:jc w:val="both"/>
        <w:rPr>
          <w:sz w:val="24"/>
          <w:lang w:val="fr-FR"/>
        </w:rPr>
      </w:pPr>
      <w:proofErr w:type="spellStart"/>
      <w:r w:rsidRPr="00EA53A8">
        <w:rPr>
          <w:b/>
          <w:bCs/>
          <w:sz w:val="24"/>
          <w:lang w:val="en-GB"/>
        </w:rPr>
        <w:t>Bibliographie</w:t>
      </w:r>
      <w:proofErr w:type="spellEnd"/>
      <w:r w:rsidRPr="00EA53A8">
        <w:rPr>
          <w:b/>
          <w:bCs/>
          <w:sz w:val="24"/>
          <w:lang w:val="en-GB"/>
        </w:rPr>
        <w:t xml:space="preserve"> </w:t>
      </w:r>
    </w:p>
    <w:p w14:paraId="299AC1E4" w14:textId="77777777" w:rsidR="003C0C1A" w:rsidRPr="00EA53A8" w:rsidRDefault="003C0C1A" w:rsidP="003C0C1A">
      <w:pPr>
        <w:ind w:left="720" w:hanging="720"/>
        <w:jc w:val="both"/>
        <w:rPr>
          <w:sz w:val="24"/>
        </w:rPr>
      </w:pPr>
    </w:p>
    <w:p w14:paraId="310CFF0D" w14:textId="77777777" w:rsidR="003C0C1A" w:rsidRPr="00EA53A8" w:rsidRDefault="003C0C1A" w:rsidP="003C0C1A">
      <w:pPr>
        <w:ind w:left="720" w:hanging="720"/>
        <w:jc w:val="both"/>
        <w:rPr>
          <w:sz w:val="24"/>
        </w:rPr>
      </w:pPr>
      <w:proofErr w:type="gramStart"/>
      <w:r w:rsidRPr="00EA53A8">
        <w:rPr>
          <w:sz w:val="24"/>
        </w:rPr>
        <w:t>Baker, B, Hewitt, T., Bromley, R., Galbraith, C. and Gilmour, A. 2002.</w:t>
      </w:r>
      <w:proofErr w:type="gramEnd"/>
      <w:r w:rsidRPr="00EA53A8">
        <w:rPr>
          <w:sz w:val="24"/>
        </w:rPr>
        <w:t xml:space="preserve"> Report on the implications of the IUCN listing criteria for CMS. ScC11/Doc. 6 Rev.2</w:t>
      </w:r>
    </w:p>
    <w:p w14:paraId="5AA16A8A" w14:textId="77777777" w:rsidR="003C0C1A" w:rsidRPr="00EA53A8" w:rsidRDefault="003C0C1A" w:rsidP="003C0C1A">
      <w:pPr>
        <w:ind w:left="720" w:hanging="720"/>
        <w:jc w:val="both"/>
        <w:rPr>
          <w:sz w:val="24"/>
        </w:rPr>
      </w:pPr>
      <w:proofErr w:type="gramStart"/>
      <w:r w:rsidRPr="00EA53A8">
        <w:rPr>
          <w:bCs/>
          <w:sz w:val="24"/>
          <w:lang w:val="en-GB"/>
        </w:rPr>
        <w:t>CMS Secretariat.</w:t>
      </w:r>
      <w:proofErr w:type="gramEnd"/>
      <w:r w:rsidRPr="00EA53A8">
        <w:rPr>
          <w:bCs/>
          <w:sz w:val="24"/>
          <w:lang w:val="en-GB"/>
        </w:rPr>
        <w:t xml:space="preserve"> 2011. Conservation status of Appendix I species.</w:t>
      </w:r>
      <w:r w:rsidRPr="00EA53A8">
        <w:rPr>
          <w:b/>
          <w:bCs/>
          <w:sz w:val="24"/>
          <w:lang w:val="en-GB"/>
        </w:rPr>
        <w:t xml:space="preserve"> </w:t>
      </w:r>
      <w:r w:rsidRPr="00EA53A8">
        <w:rPr>
          <w:sz w:val="24"/>
          <w:lang w:val="en-AU"/>
        </w:rPr>
        <w:t>UNEP/CMS/ScC17/Doc.7</w:t>
      </w:r>
    </w:p>
    <w:p w14:paraId="7D8121A5" w14:textId="77777777" w:rsidR="003C0C1A" w:rsidRPr="00EA53A8" w:rsidRDefault="003C0C1A" w:rsidP="003C0C1A">
      <w:pPr>
        <w:ind w:left="720" w:hanging="720"/>
        <w:jc w:val="both"/>
        <w:rPr>
          <w:sz w:val="24"/>
        </w:rPr>
      </w:pPr>
      <w:proofErr w:type="gramStart"/>
      <w:r w:rsidRPr="00EA53A8">
        <w:rPr>
          <w:sz w:val="24"/>
        </w:rPr>
        <w:t>IUCN Standards and Petitions Subcommittee.</w:t>
      </w:r>
      <w:proofErr w:type="gramEnd"/>
      <w:r w:rsidRPr="00EA53A8">
        <w:rPr>
          <w:sz w:val="24"/>
        </w:rPr>
        <w:t xml:space="preserve"> 2014. Guidelines for Using the IUCN Red List Categories and Criteria. </w:t>
      </w:r>
      <w:proofErr w:type="gramStart"/>
      <w:r w:rsidRPr="00EA53A8">
        <w:rPr>
          <w:sz w:val="24"/>
        </w:rPr>
        <w:t>Version 11.</w:t>
      </w:r>
      <w:proofErr w:type="gramEnd"/>
      <w:r w:rsidRPr="00EA53A8">
        <w:rPr>
          <w:sz w:val="24"/>
        </w:rPr>
        <w:t xml:space="preserve"> </w:t>
      </w:r>
      <w:proofErr w:type="gramStart"/>
      <w:r w:rsidRPr="00EA53A8">
        <w:rPr>
          <w:sz w:val="24"/>
        </w:rPr>
        <w:t>Prepared by the Standards and Petitions Subcommittee.</w:t>
      </w:r>
      <w:proofErr w:type="gramEnd"/>
      <w:r w:rsidRPr="00EA53A8">
        <w:rPr>
          <w:sz w:val="24"/>
        </w:rPr>
        <w:t xml:space="preserve"> Downloadable from </w:t>
      </w:r>
      <w:hyperlink r:id="rId20" w:history="1">
        <w:r w:rsidRPr="00EA53A8">
          <w:rPr>
            <w:sz w:val="24"/>
          </w:rPr>
          <w:t>http://www.iucnredlist.org/documents/</w:t>
        </w:r>
      </w:hyperlink>
      <w:r w:rsidRPr="00EA53A8">
        <w:rPr>
          <w:sz w:val="24"/>
        </w:rPr>
        <w:t xml:space="preserve"> RedListGuidelines.pdf </w:t>
      </w:r>
    </w:p>
    <w:p w14:paraId="5DF4BE43" w14:textId="77777777" w:rsidR="003C0C1A" w:rsidRPr="00EA53A8" w:rsidRDefault="003C0C1A" w:rsidP="003C0C1A">
      <w:pPr>
        <w:pStyle w:val="ListParagraph"/>
        <w:ind w:left="0"/>
        <w:rPr>
          <w:sz w:val="24"/>
        </w:rPr>
      </w:pPr>
      <w:proofErr w:type="gramStart"/>
      <w:r w:rsidRPr="00EA53A8">
        <w:rPr>
          <w:sz w:val="24"/>
        </w:rPr>
        <w:t>IUCN Standards and Petitions Working Group.</w:t>
      </w:r>
      <w:proofErr w:type="gramEnd"/>
      <w:r w:rsidRPr="00EA53A8">
        <w:rPr>
          <w:sz w:val="24"/>
        </w:rPr>
        <w:t xml:space="preserve"> 2008. Guidelines for Using the IUCN Red List Categories and Criteria. </w:t>
      </w:r>
      <w:proofErr w:type="gramStart"/>
      <w:r w:rsidRPr="00EA53A8">
        <w:rPr>
          <w:sz w:val="24"/>
        </w:rPr>
        <w:t>Version 7.0.</w:t>
      </w:r>
      <w:proofErr w:type="gramEnd"/>
      <w:r w:rsidRPr="00EA53A8">
        <w:rPr>
          <w:sz w:val="24"/>
        </w:rPr>
        <w:t xml:space="preserve"> </w:t>
      </w:r>
      <w:proofErr w:type="gramStart"/>
      <w:r w:rsidRPr="00EA53A8">
        <w:rPr>
          <w:sz w:val="24"/>
        </w:rPr>
        <w:t>Prepared by the Standards and Petitions Working Group of the IUCN SSC Biodiversity Assessments Sub-Committee in August 2008.</w:t>
      </w:r>
      <w:proofErr w:type="gramEnd"/>
      <w:r w:rsidRPr="00EA53A8">
        <w:rPr>
          <w:sz w:val="24"/>
        </w:rPr>
        <w:t xml:space="preserve"> </w:t>
      </w:r>
    </w:p>
    <w:p w14:paraId="12C13D59" w14:textId="77777777" w:rsidR="00AE5584" w:rsidRPr="00EA53A8" w:rsidRDefault="00AE5584" w:rsidP="00AE5584">
      <w:pPr>
        <w:rPr>
          <w:sz w:val="24"/>
        </w:rPr>
      </w:pPr>
    </w:p>
    <w:p w14:paraId="59BC3BB6" w14:textId="77777777" w:rsidR="003C0C1A" w:rsidRPr="00EA53A8" w:rsidRDefault="003C0C1A" w:rsidP="00AE5584">
      <w:pPr>
        <w:rPr>
          <w:sz w:val="24"/>
          <w:lang w:val="en-GB"/>
        </w:rPr>
      </w:pPr>
    </w:p>
    <w:p w14:paraId="6D5909EA" w14:textId="77777777" w:rsidR="00AE5584" w:rsidRDefault="00AE5584" w:rsidP="001764E6">
      <w:pPr>
        <w:jc w:val="both"/>
        <w:rPr>
          <w:sz w:val="24"/>
          <w:lang w:val="en-GB"/>
        </w:rPr>
        <w:sectPr w:rsidR="00AE5584" w:rsidSect="00BF495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5" w:h="16837" w:code="9"/>
          <w:pgMar w:top="1134" w:right="1418" w:bottom="1418" w:left="1418" w:header="510" w:footer="510" w:gutter="0"/>
          <w:cols w:space="720"/>
          <w:noEndnote/>
          <w:titlePg/>
        </w:sectPr>
      </w:pPr>
    </w:p>
    <w:p w14:paraId="3613BAE9" w14:textId="7CF48618" w:rsidR="00AE5584" w:rsidRPr="00446C5C" w:rsidRDefault="00AE5584" w:rsidP="00AE5584">
      <w:pPr>
        <w:widowControl/>
        <w:autoSpaceDE/>
        <w:autoSpaceDN/>
        <w:adjustRightInd/>
        <w:spacing w:after="120"/>
        <w:jc w:val="right"/>
        <w:rPr>
          <w:rFonts w:eastAsia="Calibri"/>
          <w:b/>
          <w:sz w:val="24"/>
          <w:lang w:val="fr-FR"/>
        </w:rPr>
      </w:pPr>
      <w:r w:rsidRPr="00446C5C">
        <w:rPr>
          <w:rFonts w:eastAsia="Calibri"/>
          <w:b/>
          <w:sz w:val="24"/>
          <w:lang w:val="fr-FR"/>
        </w:rPr>
        <w:lastRenderedPageBreak/>
        <w:t>ANNEX</w:t>
      </w:r>
      <w:r w:rsidR="00F25097" w:rsidRPr="00446C5C">
        <w:rPr>
          <w:rFonts w:eastAsia="Calibri"/>
          <w:b/>
          <w:sz w:val="24"/>
          <w:lang w:val="fr-FR"/>
        </w:rPr>
        <w:t>E</w:t>
      </w:r>
      <w:r w:rsidRPr="00446C5C">
        <w:rPr>
          <w:rFonts w:eastAsia="Calibri"/>
          <w:b/>
          <w:sz w:val="24"/>
          <w:lang w:val="fr-FR"/>
        </w:rPr>
        <w:t xml:space="preserve"> II</w:t>
      </w:r>
    </w:p>
    <w:p w14:paraId="2DF63A16" w14:textId="77777777" w:rsidR="00AE5584" w:rsidRPr="00446C5C" w:rsidRDefault="00AE5584" w:rsidP="00AE5584">
      <w:pPr>
        <w:widowControl/>
        <w:autoSpaceDE/>
        <w:autoSpaceDN/>
        <w:adjustRightInd/>
        <w:spacing w:after="120"/>
        <w:jc w:val="center"/>
        <w:rPr>
          <w:rFonts w:eastAsia="Calibri"/>
          <w:b/>
          <w:sz w:val="24"/>
          <w:lang w:val="fr-FR"/>
        </w:rPr>
      </w:pPr>
    </w:p>
    <w:p w14:paraId="5A1F35BB" w14:textId="081A8888" w:rsidR="00AE5584" w:rsidRPr="00446C5C" w:rsidRDefault="00F25097" w:rsidP="00AE5584">
      <w:pPr>
        <w:widowControl/>
        <w:autoSpaceDE/>
        <w:autoSpaceDN/>
        <w:adjustRightInd/>
        <w:spacing w:after="120"/>
        <w:jc w:val="center"/>
        <w:rPr>
          <w:rFonts w:eastAsia="Calibri"/>
          <w:b/>
          <w:sz w:val="24"/>
          <w:lang w:val="fr-FR"/>
        </w:rPr>
      </w:pPr>
      <w:r w:rsidRPr="00446C5C">
        <w:rPr>
          <w:rFonts w:eastAsia="Calibri"/>
          <w:b/>
          <w:sz w:val="24"/>
          <w:lang w:val="fr-FR"/>
        </w:rPr>
        <w:t>PROJET DE RÉSOLUTION</w:t>
      </w:r>
    </w:p>
    <w:p w14:paraId="707BD442" w14:textId="6C8E3D3F" w:rsidR="00977E0C" w:rsidRPr="00F25097" w:rsidRDefault="00F25097" w:rsidP="00AE5584">
      <w:pPr>
        <w:widowControl/>
        <w:autoSpaceDE/>
        <w:autoSpaceDN/>
        <w:adjustRightInd/>
        <w:spacing w:after="120"/>
        <w:jc w:val="center"/>
        <w:rPr>
          <w:rFonts w:eastAsia="Calibri"/>
          <w:b/>
          <w:bCs/>
          <w:sz w:val="24"/>
          <w:lang w:val="fr-FR"/>
        </w:rPr>
      </w:pPr>
      <w:r w:rsidRPr="00F25097">
        <w:rPr>
          <w:rFonts w:eastAsia="Calibri"/>
          <w:b/>
          <w:bCs/>
          <w:sz w:val="24"/>
          <w:lang w:val="fr-FR"/>
        </w:rPr>
        <w:t>LIGNES DIRECTRICES POUR L</w:t>
      </w:r>
      <w:r w:rsidR="004B2554">
        <w:rPr>
          <w:rFonts w:eastAsia="Calibri"/>
          <w:b/>
          <w:bCs/>
          <w:sz w:val="24"/>
          <w:lang w:val="fr-FR"/>
        </w:rPr>
        <w:t>’</w:t>
      </w:r>
      <w:r w:rsidRPr="00F25097">
        <w:rPr>
          <w:rFonts w:eastAsia="Calibri"/>
          <w:b/>
          <w:bCs/>
          <w:sz w:val="24"/>
          <w:lang w:val="fr-FR"/>
        </w:rPr>
        <w:t>ÉVALUATION DES PROPOSIT</w:t>
      </w:r>
      <w:r w:rsidR="00446C5C">
        <w:rPr>
          <w:rFonts w:eastAsia="Calibri"/>
          <w:b/>
          <w:bCs/>
          <w:sz w:val="24"/>
          <w:lang w:val="fr-FR"/>
        </w:rPr>
        <w:t>IONS D</w:t>
      </w:r>
      <w:r w:rsidR="004B2554">
        <w:rPr>
          <w:rFonts w:eastAsia="Calibri"/>
          <w:b/>
          <w:bCs/>
          <w:sz w:val="24"/>
          <w:lang w:val="fr-FR"/>
        </w:rPr>
        <w:t>’</w:t>
      </w:r>
      <w:r w:rsidR="00446C5C">
        <w:rPr>
          <w:rFonts w:eastAsia="Calibri"/>
          <w:b/>
          <w:bCs/>
          <w:sz w:val="24"/>
          <w:lang w:val="fr-FR"/>
        </w:rPr>
        <w:t xml:space="preserve">INSCRIPTION </w:t>
      </w:r>
      <w:r w:rsidR="00D8689E">
        <w:rPr>
          <w:rFonts w:eastAsia="Calibri"/>
          <w:b/>
          <w:bCs/>
          <w:sz w:val="24"/>
          <w:lang w:val="fr-FR"/>
        </w:rPr>
        <w:t xml:space="preserve">AUX </w:t>
      </w:r>
      <w:r w:rsidR="00446C5C">
        <w:rPr>
          <w:rFonts w:eastAsia="Calibri"/>
          <w:b/>
          <w:bCs/>
          <w:sz w:val="24"/>
          <w:lang w:val="fr-FR"/>
        </w:rPr>
        <w:t>ANNEXE</w:t>
      </w:r>
      <w:r w:rsidR="00D8689E">
        <w:rPr>
          <w:rFonts w:eastAsia="Calibri"/>
          <w:b/>
          <w:bCs/>
          <w:sz w:val="24"/>
          <w:lang w:val="fr-FR"/>
        </w:rPr>
        <w:t>S</w:t>
      </w:r>
      <w:r w:rsidR="00446C5C">
        <w:rPr>
          <w:rFonts w:eastAsia="Calibri"/>
          <w:b/>
          <w:bCs/>
          <w:sz w:val="24"/>
          <w:lang w:val="fr-FR"/>
        </w:rPr>
        <w:t xml:space="preserve"> I</w:t>
      </w:r>
      <w:r w:rsidRPr="00F25097">
        <w:rPr>
          <w:rFonts w:eastAsia="Calibri"/>
          <w:b/>
          <w:bCs/>
          <w:sz w:val="24"/>
          <w:lang w:val="fr-FR"/>
        </w:rPr>
        <w:t xml:space="preserve"> ET II DE LA CONVENTION</w:t>
      </w:r>
    </w:p>
    <w:p w14:paraId="4BC94BDE" w14:textId="0932B06A" w:rsidR="00F25097" w:rsidRPr="00F25097" w:rsidRDefault="00D8689E" w:rsidP="00AE5584">
      <w:pPr>
        <w:widowControl/>
        <w:autoSpaceDE/>
        <w:autoSpaceDN/>
        <w:adjustRightInd/>
        <w:spacing w:after="120"/>
        <w:jc w:val="center"/>
        <w:rPr>
          <w:rFonts w:eastAsia="Calibri"/>
          <w:i/>
          <w:sz w:val="24"/>
          <w:lang w:val="fr-FR"/>
        </w:rPr>
      </w:pPr>
      <w:r w:rsidRPr="00F25097">
        <w:rPr>
          <w:rFonts w:eastAsia="Calibri"/>
          <w:i/>
          <w:sz w:val="24"/>
          <w:lang w:val="fr-FR"/>
        </w:rPr>
        <w:t xml:space="preserve"> </w:t>
      </w:r>
      <w:r w:rsidR="00AE5584" w:rsidRPr="00F25097">
        <w:rPr>
          <w:rFonts w:eastAsia="Calibri"/>
          <w:i/>
          <w:sz w:val="24"/>
          <w:lang w:val="fr-FR"/>
        </w:rPr>
        <w:t>(</w:t>
      </w:r>
      <w:r w:rsidR="00F25097" w:rsidRPr="00F25097">
        <w:rPr>
          <w:rFonts w:eastAsia="Calibri"/>
          <w:i/>
          <w:sz w:val="24"/>
          <w:lang w:val="fr-FR"/>
        </w:rPr>
        <w:t>Soumis</w:t>
      </w:r>
      <w:r>
        <w:rPr>
          <w:rFonts w:eastAsia="Calibri"/>
          <w:i/>
          <w:sz w:val="24"/>
          <w:lang w:val="fr-FR"/>
        </w:rPr>
        <w:t>es</w:t>
      </w:r>
      <w:r w:rsidR="00F25097" w:rsidRPr="00F25097">
        <w:rPr>
          <w:rFonts w:eastAsia="Calibri"/>
          <w:i/>
          <w:sz w:val="24"/>
          <w:lang w:val="fr-FR"/>
        </w:rPr>
        <w:t xml:space="preserve"> par le Conseil scientifique)</w:t>
      </w:r>
    </w:p>
    <w:p w14:paraId="442029B5" w14:textId="77777777" w:rsidR="00AE5584" w:rsidRPr="00DE4FFF" w:rsidRDefault="00AE5584" w:rsidP="00AE5584">
      <w:pPr>
        <w:widowControl/>
        <w:autoSpaceDE/>
        <w:autoSpaceDN/>
        <w:adjustRightInd/>
        <w:spacing w:after="120"/>
        <w:jc w:val="both"/>
        <w:rPr>
          <w:rFonts w:eastAsia="Calibri"/>
          <w:sz w:val="24"/>
          <w:lang w:val="fr-FR"/>
        </w:rPr>
      </w:pPr>
    </w:p>
    <w:p w14:paraId="643C9529" w14:textId="751F91EC" w:rsidR="00977E0C" w:rsidRDefault="00977E0C" w:rsidP="0029594F">
      <w:pPr>
        <w:ind w:firstLine="720"/>
        <w:jc w:val="both"/>
        <w:rPr>
          <w:sz w:val="24"/>
          <w:lang w:val="fr-FR"/>
        </w:rPr>
      </w:pPr>
      <w:r w:rsidRPr="00F25097">
        <w:rPr>
          <w:i/>
          <w:sz w:val="24"/>
          <w:lang w:val="fr-FR"/>
        </w:rPr>
        <w:t>Rappelant</w:t>
      </w:r>
      <w:r w:rsidRPr="00977E0C">
        <w:rPr>
          <w:sz w:val="24"/>
          <w:lang w:val="fr-FR"/>
        </w:rPr>
        <w:t xml:space="preserve"> que les exigences de la CMS pour l</w:t>
      </w:r>
      <w:r w:rsidR="004B2554">
        <w:rPr>
          <w:sz w:val="24"/>
          <w:lang w:val="fr-FR"/>
        </w:rPr>
        <w:t>’</w:t>
      </w:r>
      <w:r w:rsidRPr="00977E0C">
        <w:rPr>
          <w:sz w:val="24"/>
          <w:lang w:val="fr-FR"/>
        </w:rPr>
        <w:t>inscription des espèces migratrices à l</w:t>
      </w:r>
      <w:r w:rsidR="004B2554">
        <w:rPr>
          <w:sz w:val="24"/>
          <w:lang w:val="fr-FR"/>
        </w:rPr>
        <w:t>’</w:t>
      </w:r>
      <w:r w:rsidRPr="00977E0C">
        <w:rPr>
          <w:sz w:val="24"/>
          <w:lang w:val="fr-FR"/>
        </w:rPr>
        <w:t xml:space="preserve">Annexe I sont </w:t>
      </w:r>
      <w:r w:rsidR="00446C5C">
        <w:rPr>
          <w:sz w:val="24"/>
          <w:lang w:val="fr-FR"/>
        </w:rPr>
        <w:t>énoncées</w:t>
      </w:r>
      <w:r w:rsidRPr="00977E0C">
        <w:rPr>
          <w:sz w:val="24"/>
          <w:lang w:val="fr-FR"/>
        </w:rPr>
        <w:t xml:space="preserve"> aux paragraphes 1 et 2 de l</w:t>
      </w:r>
      <w:r w:rsidR="004B2554">
        <w:rPr>
          <w:sz w:val="24"/>
          <w:lang w:val="fr-FR"/>
        </w:rPr>
        <w:t>’</w:t>
      </w:r>
      <w:r w:rsidRPr="00977E0C">
        <w:rPr>
          <w:sz w:val="24"/>
          <w:lang w:val="fr-FR"/>
        </w:rPr>
        <w:t>article III</w:t>
      </w:r>
      <w:r w:rsidR="006C72AF" w:rsidRPr="006C72AF">
        <w:rPr>
          <w:sz w:val="24"/>
          <w:lang w:val="fr-FR"/>
        </w:rPr>
        <w:t xml:space="preserve"> </w:t>
      </w:r>
      <w:r w:rsidR="006C72AF">
        <w:rPr>
          <w:sz w:val="24"/>
          <w:lang w:val="fr-FR"/>
        </w:rPr>
        <w:t>de la Convention</w:t>
      </w:r>
      <w:r w:rsidRPr="00977E0C">
        <w:rPr>
          <w:sz w:val="24"/>
          <w:lang w:val="fr-FR"/>
        </w:rPr>
        <w:t xml:space="preserve">, et </w:t>
      </w:r>
      <w:r w:rsidR="0065739E">
        <w:rPr>
          <w:sz w:val="24"/>
          <w:lang w:val="fr-FR"/>
        </w:rPr>
        <w:t xml:space="preserve">que </w:t>
      </w:r>
      <w:r w:rsidRPr="00977E0C">
        <w:rPr>
          <w:sz w:val="24"/>
          <w:lang w:val="fr-FR"/>
        </w:rPr>
        <w:t>les exigences pour l</w:t>
      </w:r>
      <w:r w:rsidR="004B2554">
        <w:rPr>
          <w:sz w:val="24"/>
          <w:lang w:val="fr-FR"/>
        </w:rPr>
        <w:t>’</w:t>
      </w:r>
      <w:r w:rsidRPr="00977E0C">
        <w:rPr>
          <w:sz w:val="24"/>
          <w:lang w:val="fr-FR"/>
        </w:rPr>
        <w:t>inscription des espèces migratrices à l</w:t>
      </w:r>
      <w:r w:rsidR="004B2554">
        <w:rPr>
          <w:sz w:val="24"/>
          <w:lang w:val="fr-FR"/>
        </w:rPr>
        <w:t>’</w:t>
      </w:r>
      <w:r w:rsidR="00950CB4">
        <w:rPr>
          <w:sz w:val="24"/>
          <w:lang w:val="fr-FR"/>
        </w:rPr>
        <w:t>A</w:t>
      </w:r>
      <w:r w:rsidRPr="00977E0C">
        <w:rPr>
          <w:sz w:val="24"/>
          <w:lang w:val="fr-FR"/>
        </w:rPr>
        <w:t>nnexe II sont énoncées au paragraphe 1 d</w:t>
      </w:r>
      <w:r w:rsidR="0065739E">
        <w:rPr>
          <w:sz w:val="24"/>
          <w:lang w:val="fr-FR"/>
        </w:rPr>
        <w:t>e l</w:t>
      </w:r>
      <w:r w:rsidR="004B2554">
        <w:rPr>
          <w:sz w:val="24"/>
          <w:lang w:val="fr-FR"/>
        </w:rPr>
        <w:t>’</w:t>
      </w:r>
      <w:r w:rsidR="0065739E">
        <w:rPr>
          <w:sz w:val="24"/>
          <w:lang w:val="fr-FR"/>
        </w:rPr>
        <w:t>article </w:t>
      </w:r>
      <w:r w:rsidR="00446C5C">
        <w:rPr>
          <w:sz w:val="24"/>
          <w:lang w:val="fr-FR"/>
        </w:rPr>
        <w:t>IV</w:t>
      </w:r>
      <w:r w:rsidR="006C72AF">
        <w:rPr>
          <w:sz w:val="24"/>
          <w:lang w:val="fr-FR"/>
        </w:rPr>
        <w:t> </w:t>
      </w:r>
      <w:r w:rsidR="00446C5C">
        <w:rPr>
          <w:sz w:val="24"/>
          <w:lang w:val="fr-FR"/>
        </w:rPr>
        <w:t>;</w:t>
      </w:r>
    </w:p>
    <w:p w14:paraId="5311F20D" w14:textId="77777777" w:rsidR="0029594F" w:rsidRPr="00977E0C" w:rsidRDefault="0029594F" w:rsidP="0029594F">
      <w:pPr>
        <w:ind w:firstLine="720"/>
        <w:jc w:val="both"/>
        <w:rPr>
          <w:sz w:val="24"/>
          <w:lang w:val="fr-FR"/>
        </w:rPr>
      </w:pPr>
    </w:p>
    <w:p w14:paraId="3131A40C" w14:textId="0387435A" w:rsidR="00977E0C" w:rsidRDefault="00977E0C" w:rsidP="0029594F">
      <w:pPr>
        <w:ind w:firstLine="720"/>
        <w:jc w:val="both"/>
        <w:rPr>
          <w:sz w:val="24"/>
          <w:lang w:val="fr-FR"/>
        </w:rPr>
      </w:pPr>
      <w:r w:rsidRPr="00446C5C">
        <w:rPr>
          <w:i/>
          <w:sz w:val="24"/>
          <w:lang w:val="fr-FR"/>
        </w:rPr>
        <w:t>Soulignant</w:t>
      </w:r>
      <w:r w:rsidRPr="00977E0C">
        <w:rPr>
          <w:sz w:val="24"/>
          <w:lang w:val="fr-FR"/>
        </w:rPr>
        <w:t xml:space="preserve"> que les espèces proposées pour </w:t>
      </w:r>
      <w:r w:rsidR="00F9480E">
        <w:rPr>
          <w:sz w:val="24"/>
          <w:lang w:val="fr-FR"/>
        </w:rPr>
        <w:t xml:space="preserve">une </w:t>
      </w:r>
      <w:r w:rsidR="00446C5C">
        <w:rPr>
          <w:sz w:val="24"/>
          <w:lang w:val="fr-FR"/>
        </w:rPr>
        <w:t>inscription</w:t>
      </w:r>
      <w:r w:rsidRPr="00977E0C">
        <w:rPr>
          <w:sz w:val="24"/>
          <w:lang w:val="fr-FR"/>
        </w:rPr>
        <w:t xml:space="preserve"> </w:t>
      </w:r>
      <w:r w:rsidR="00446C5C">
        <w:rPr>
          <w:sz w:val="24"/>
          <w:lang w:val="fr-FR"/>
        </w:rPr>
        <w:t>à l</w:t>
      </w:r>
      <w:r w:rsidR="004B2554">
        <w:rPr>
          <w:sz w:val="24"/>
          <w:lang w:val="fr-FR"/>
        </w:rPr>
        <w:t>’</w:t>
      </w:r>
      <w:r w:rsidRPr="00977E0C">
        <w:rPr>
          <w:sz w:val="24"/>
          <w:lang w:val="fr-FR"/>
        </w:rPr>
        <w:t xml:space="preserve">Annexe I ou </w:t>
      </w:r>
      <w:r w:rsidR="00D8689E">
        <w:rPr>
          <w:sz w:val="24"/>
          <w:lang w:val="fr-FR"/>
        </w:rPr>
        <w:t xml:space="preserve">à </w:t>
      </w:r>
      <w:r w:rsidR="00D552C1" w:rsidRPr="00D552C1">
        <w:rPr>
          <w:sz w:val="24"/>
          <w:lang w:val="fr-FR"/>
        </w:rPr>
        <w:t>l</w:t>
      </w:r>
      <w:r w:rsidR="004B2554">
        <w:rPr>
          <w:sz w:val="24"/>
          <w:lang w:val="fr-FR"/>
        </w:rPr>
        <w:t>’</w:t>
      </w:r>
      <w:r w:rsidR="00D552C1" w:rsidRPr="00D552C1">
        <w:rPr>
          <w:sz w:val="24"/>
          <w:lang w:val="fr-FR"/>
        </w:rPr>
        <w:t xml:space="preserve">Annexe </w:t>
      </w:r>
      <w:r w:rsidRPr="00977E0C">
        <w:rPr>
          <w:sz w:val="24"/>
          <w:lang w:val="fr-FR"/>
        </w:rPr>
        <w:t xml:space="preserve">II de la Convention doivent être </w:t>
      </w:r>
      <w:r w:rsidR="00D552C1">
        <w:rPr>
          <w:sz w:val="24"/>
          <w:lang w:val="fr-FR"/>
        </w:rPr>
        <w:t>d</w:t>
      </w:r>
      <w:r w:rsidRPr="00977E0C">
        <w:rPr>
          <w:sz w:val="24"/>
          <w:lang w:val="fr-FR"/>
        </w:rPr>
        <w:t xml:space="preserve">es espèces migratrices, </w:t>
      </w:r>
      <w:r w:rsidR="00E7358A">
        <w:rPr>
          <w:sz w:val="24"/>
          <w:lang w:val="fr-FR"/>
        </w:rPr>
        <w:t>selon la définition donnée</w:t>
      </w:r>
      <w:r w:rsidRPr="00977E0C">
        <w:rPr>
          <w:sz w:val="24"/>
          <w:lang w:val="fr-FR"/>
        </w:rPr>
        <w:t xml:space="preserve"> </w:t>
      </w:r>
      <w:r w:rsidR="00D552C1">
        <w:rPr>
          <w:sz w:val="24"/>
          <w:lang w:val="fr-FR"/>
        </w:rPr>
        <w:t>au</w:t>
      </w:r>
      <w:r w:rsidRPr="00977E0C">
        <w:rPr>
          <w:sz w:val="24"/>
          <w:lang w:val="fr-FR"/>
        </w:rPr>
        <w:t xml:space="preserve"> </w:t>
      </w:r>
      <w:r w:rsidR="00D552C1">
        <w:rPr>
          <w:sz w:val="24"/>
          <w:lang w:val="fr-FR"/>
        </w:rPr>
        <w:t>paragraphe</w:t>
      </w:r>
      <w:r w:rsidR="00950CB4">
        <w:rPr>
          <w:sz w:val="24"/>
          <w:lang w:val="fr-FR"/>
        </w:rPr>
        <w:t> </w:t>
      </w:r>
      <w:r w:rsidR="00D552C1">
        <w:rPr>
          <w:sz w:val="24"/>
          <w:lang w:val="fr-FR"/>
        </w:rPr>
        <w:t>1</w:t>
      </w:r>
      <w:r w:rsidR="00950CB4">
        <w:rPr>
          <w:sz w:val="24"/>
          <w:lang w:val="fr-FR"/>
        </w:rPr>
        <w:t> </w:t>
      </w:r>
      <w:r w:rsidR="00D552C1">
        <w:rPr>
          <w:sz w:val="24"/>
          <w:lang w:val="fr-FR"/>
        </w:rPr>
        <w:t xml:space="preserve">a) de </w:t>
      </w:r>
      <w:r w:rsidRPr="00977E0C">
        <w:rPr>
          <w:sz w:val="24"/>
          <w:lang w:val="fr-FR"/>
        </w:rPr>
        <w:t>l</w:t>
      </w:r>
      <w:r w:rsidR="004B2554">
        <w:rPr>
          <w:sz w:val="24"/>
          <w:lang w:val="fr-FR"/>
        </w:rPr>
        <w:t>’</w:t>
      </w:r>
      <w:r w:rsidRPr="00977E0C">
        <w:rPr>
          <w:sz w:val="24"/>
          <w:lang w:val="fr-FR"/>
        </w:rPr>
        <w:t>ar</w:t>
      </w:r>
      <w:r w:rsidR="00D552C1">
        <w:rPr>
          <w:sz w:val="24"/>
          <w:lang w:val="fr-FR"/>
        </w:rPr>
        <w:t>ticle premier</w:t>
      </w:r>
      <w:r w:rsidR="00C35E0E">
        <w:rPr>
          <w:sz w:val="24"/>
          <w:lang w:val="fr-FR"/>
        </w:rPr>
        <w:t> ;</w:t>
      </w:r>
    </w:p>
    <w:p w14:paraId="727FBCC7" w14:textId="77777777" w:rsidR="0029594F" w:rsidRPr="00977E0C" w:rsidRDefault="0029594F" w:rsidP="0029594F">
      <w:pPr>
        <w:ind w:firstLine="720"/>
        <w:jc w:val="both"/>
        <w:rPr>
          <w:sz w:val="24"/>
          <w:lang w:val="fr-FR"/>
        </w:rPr>
      </w:pPr>
    </w:p>
    <w:p w14:paraId="5872C182" w14:textId="761BE449" w:rsidR="00977E0C" w:rsidRDefault="00977E0C" w:rsidP="0029594F">
      <w:pPr>
        <w:ind w:firstLine="720"/>
        <w:jc w:val="both"/>
        <w:rPr>
          <w:sz w:val="24"/>
          <w:lang w:val="fr-FR"/>
        </w:rPr>
      </w:pPr>
      <w:r w:rsidRPr="00D552C1">
        <w:rPr>
          <w:i/>
          <w:sz w:val="24"/>
          <w:lang w:val="fr-FR"/>
        </w:rPr>
        <w:t>Notant</w:t>
      </w:r>
      <w:r w:rsidRPr="00977E0C">
        <w:rPr>
          <w:sz w:val="24"/>
          <w:lang w:val="fr-FR"/>
        </w:rPr>
        <w:t xml:space="preserve"> que</w:t>
      </w:r>
      <w:r w:rsidR="00D8689E">
        <w:rPr>
          <w:sz w:val="24"/>
          <w:lang w:val="fr-FR"/>
        </w:rPr>
        <w:t>,</w:t>
      </w:r>
      <w:r w:rsidRPr="00977E0C">
        <w:rPr>
          <w:sz w:val="24"/>
          <w:lang w:val="fr-FR"/>
        </w:rPr>
        <w:t xml:space="preserve"> dans la </w:t>
      </w:r>
      <w:r w:rsidR="00D552C1">
        <w:rPr>
          <w:sz w:val="24"/>
          <w:lang w:val="fr-FR"/>
        </w:rPr>
        <w:t>r</w:t>
      </w:r>
      <w:r w:rsidRPr="00977E0C">
        <w:rPr>
          <w:sz w:val="24"/>
          <w:lang w:val="fr-FR"/>
        </w:rPr>
        <w:t>ésolution 5.3</w:t>
      </w:r>
      <w:r w:rsidR="00950CB4">
        <w:rPr>
          <w:sz w:val="24"/>
          <w:lang w:val="fr-FR"/>
        </w:rPr>
        <w:t>,</w:t>
      </w:r>
      <w:r w:rsidRPr="00977E0C">
        <w:rPr>
          <w:sz w:val="24"/>
          <w:lang w:val="fr-FR"/>
        </w:rPr>
        <w:t xml:space="preserve"> la Conférence des Parties a décidé </w:t>
      </w:r>
      <w:r w:rsidR="00D552C1">
        <w:rPr>
          <w:sz w:val="24"/>
          <w:lang w:val="fr-FR"/>
        </w:rPr>
        <w:t>d</w:t>
      </w:r>
      <w:r w:rsidR="004B2554">
        <w:rPr>
          <w:sz w:val="24"/>
          <w:lang w:val="fr-FR"/>
        </w:rPr>
        <w:t>’</w:t>
      </w:r>
      <w:r w:rsidRPr="00977E0C">
        <w:rPr>
          <w:sz w:val="24"/>
          <w:lang w:val="fr-FR"/>
        </w:rPr>
        <w:t xml:space="preserve">interpréter </w:t>
      </w:r>
      <w:r w:rsidR="00D552C1">
        <w:rPr>
          <w:sz w:val="24"/>
          <w:lang w:val="fr-FR"/>
        </w:rPr>
        <w:t>l</w:t>
      </w:r>
      <w:r w:rsidR="001F2B94">
        <w:rPr>
          <w:sz w:val="24"/>
          <w:lang w:val="fr-FR"/>
        </w:rPr>
        <w:t>’expression</w:t>
      </w:r>
      <w:r w:rsidR="00D552C1">
        <w:rPr>
          <w:sz w:val="24"/>
          <w:lang w:val="fr-FR"/>
        </w:rPr>
        <w:t xml:space="preserve"> « </w:t>
      </w:r>
      <w:r w:rsidRPr="00977E0C">
        <w:rPr>
          <w:sz w:val="24"/>
          <w:lang w:val="fr-FR"/>
        </w:rPr>
        <w:t>en danger</w:t>
      </w:r>
      <w:r w:rsidR="00D552C1">
        <w:rPr>
          <w:sz w:val="24"/>
          <w:lang w:val="fr-FR"/>
        </w:rPr>
        <w:t> »</w:t>
      </w:r>
      <w:r w:rsidRPr="00977E0C">
        <w:rPr>
          <w:sz w:val="24"/>
          <w:lang w:val="fr-FR"/>
        </w:rPr>
        <w:t xml:space="preserve"> </w:t>
      </w:r>
      <w:r w:rsidR="00D552C1">
        <w:rPr>
          <w:sz w:val="24"/>
          <w:lang w:val="fr-FR"/>
        </w:rPr>
        <w:t xml:space="preserve">du paragraphe 1 </w:t>
      </w:r>
      <w:r w:rsidR="00D552C1" w:rsidRPr="00977E0C">
        <w:rPr>
          <w:sz w:val="24"/>
          <w:lang w:val="fr-FR"/>
        </w:rPr>
        <w:t xml:space="preserve">e) </w:t>
      </w:r>
      <w:r w:rsidR="00D552C1">
        <w:rPr>
          <w:sz w:val="24"/>
          <w:lang w:val="fr-FR"/>
        </w:rPr>
        <w:t>de</w:t>
      </w:r>
      <w:r w:rsidRPr="00977E0C">
        <w:rPr>
          <w:sz w:val="24"/>
          <w:lang w:val="fr-FR"/>
        </w:rPr>
        <w:t xml:space="preserve"> l</w:t>
      </w:r>
      <w:r w:rsidR="004B2554">
        <w:rPr>
          <w:sz w:val="24"/>
          <w:lang w:val="fr-FR"/>
        </w:rPr>
        <w:t>’</w:t>
      </w:r>
      <w:r w:rsidRPr="00977E0C">
        <w:rPr>
          <w:sz w:val="24"/>
          <w:lang w:val="fr-FR"/>
        </w:rPr>
        <w:t xml:space="preserve">article </w:t>
      </w:r>
      <w:r w:rsidR="00D552C1">
        <w:rPr>
          <w:sz w:val="24"/>
          <w:lang w:val="fr-FR"/>
        </w:rPr>
        <w:t>premier</w:t>
      </w:r>
      <w:r w:rsidRPr="00977E0C">
        <w:rPr>
          <w:sz w:val="24"/>
          <w:lang w:val="fr-FR"/>
        </w:rPr>
        <w:t xml:space="preserve"> de la Convention </w:t>
      </w:r>
      <w:r w:rsidR="00D552C1">
        <w:rPr>
          <w:sz w:val="24"/>
          <w:lang w:val="fr-FR"/>
        </w:rPr>
        <w:t>comme signifiant « e</w:t>
      </w:r>
      <w:r w:rsidR="00D552C1" w:rsidRPr="00D552C1">
        <w:rPr>
          <w:sz w:val="24"/>
          <w:lang w:val="fr-FR"/>
        </w:rPr>
        <w:t>xposé à l</w:t>
      </w:r>
      <w:r w:rsidR="004B2554">
        <w:rPr>
          <w:sz w:val="24"/>
          <w:lang w:val="fr-FR"/>
        </w:rPr>
        <w:t>’</w:t>
      </w:r>
      <w:r w:rsidR="00D552C1" w:rsidRPr="00D552C1">
        <w:rPr>
          <w:sz w:val="24"/>
          <w:lang w:val="fr-FR"/>
        </w:rPr>
        <w:t>état sauvage à un risque d</w:t>
      </w:r>
      <w:r w:rsidR="004B2554">
        <w:rPr>
          <w:sz w:val="24"/>
          <w:lang w:val="fr-FR"/>
        </w:rPr>
        <w:t>’</w:t>
      </w:r>
      <w:r w:rsidR="00D552C1" w:rsidRPr="00D552C1">
        <w:rPr>
          <w:sz w:val="24"/>
          <w:lang w:val="fr-FR"/>
        </w:rPr>
        <w:t>extinction très élevé</w:t>
      </w:r>
      <w:r w:rsidR="00D552C1">
        <w:rPr>
          <w:sz w:val="24"/>
          <w:lang w:val="fr-FR"/>
        </w:rPr>
        <w:t> </w:t>
      </w:r>
      <w:r w:rsidR="00D552C1" w:rsidRPr="00D552C1">
        <w:rPr>
          <w:sz w:val="24"/>
          <w:lang w:val="fr-FR"/>
        </w:rPr>
        <w:t>et à court terme</w:t>
      </w:r>
      <w:r w:rsidR="00D552C1">
        <w:rPr>
          <w:sz w:val="24"/>
          <w:lang w:val="fr-FR"/>
        </w:rPr>
        <w:t> »</w:t>
      </w:r>
      <w:r w:rsidR="00B309E9">
        <w:rPr>
          <w:sz w:val="24"/>
          <w:lang w:val="fr-FR"/>
        </w:rPr>
        <w:t>,</w:t>
      </w:r>
      <w:r w:rsidRPr="00977E0C">
        <w:rPr>
          <w:sz w:val="24"/>
          <w:lang w:val="fr-FR"/>
        </w:rPr>
        <w:t xml:space="preserve"> et </w:t>
      </w:r>
      <w:r w:rsidRPr="00E7358A">
        <w:rPr>
          <w:i/>
          <w:sz w:val="24"/>
          <w:lang w:val="fr-FR"/>
        </w:rPr>
        <w:t>considérant</w:t>
      </w:r>
      <w:r w:rsidRPr="00977E0C">
        <w:rPr>
          <w:sz w:val="24"/>
          <w:lang w:val="fr-FR"/>
        </w:rPr>
        <w:t xml:space="preserve"> que cette inter</w:t>
      </w:r>
      <w:r w:rsidR="00D552C1">
        <w:rPr>
          <w:sz w:val="24"/>
          <w:lang w:val="fr-FR"/>
        </w:rPr>
        <w:t>prétation d</w:t>
      </w:r>
      <w:r w:rsidR="00B309E9">
        <w:rPr>
          <w:sz w:val="24"/>
          <w:lang w:val="fr-FR"/>
        </w:rPr>
        <w:t>oit</w:t>
      </w:r>
      <w:r w:rsidR="00D552C1">
        <w:rPr>
          <w:sz w:val="24"/>
          <w:lang w:val="fr-FR"/>
        </w:rPr>
        <w:t xml:space="preserve"> être maintenu</w:t>
      </w:r>
      <w:r w:rsidR="0065739E">
        <w:rPr>
          <w:sz w:val="24"/>
          <w:lang w:val="fr-FR"/>
        </w:rPr>
        <w:t>e</w:t>
      </w:r>
      <w:r w:rsidR="00D552C1">
        <w:rPr>
          <w:sz w:val="24"/>
          <w:lang w:val="fr-FR"/>
        </w:rPr>
        <w:t> ;</w:t>
      </w:r>
    </w:p>
    <w:p w14:paraId="297A1941" w14:textId="77777777" w:rsidR="0029594F" w:rsidRPr="00977E0C" w:rsidRDefault="0029594F" w:rsidP="0029594F">
      <w:pPr>
        <w:ind w:firstLine="720"/>
        <w:jc w:val="both"/>
        <w:rPr>
          <w:sz w:val="24"/>
          <w:lang w:val="fr-FR"/>
        </w:rPr>
      </w:pPr>
    </w:p>
    <w:p w14:paraId="45F9022E" w14:textId="0C589046" w:rsidR="00977E0C" w:rsidRDefault="00977E0C" w:rsidP="0029594F">
      <w:pPr>
        <w:ind w:firstLine="720"/>
        <w:jc w:val="both"/>
        <w:rPr>
          <w:sz w:val="24"/>
          <w:lang w:val="fr-FR"/>
        </w:rPr>
      </w:pPr>
      <w:r w:rsidRPr="0065739E">
        <w:rPr>
          <w:i/>
          <w:sz w:val="24"/>
          <w:lang w:val="fr-FR"/>
        </w:rPr>
        <w:t>Notant en outre</w:t>
      </w:r>
      <w:r w:rsidRPr="00977E0C">
        <w:rPr>
          <w:sz w:val="24"/>
          <w:lang w:val="fr-FR"/>
        </w:rPr>
        <w:t xml:space="preserve"> que</w:t>
      </w:r>
      <w:r w:rsidR="00950CB4">
        <w:rPr>
          <w:sz w:val="24"/>
          <w:lang w:val="fr-FR"/>
        </w:rPr>
        <w:t>,</w:t>
      </w:r>
      <w:r w:rsidRPr="00977E0C">
        <w:rPr>
          <w:sz w:val="24"/>
          <w:lang w:val="fr-FR"/>
        </w:rPr>
        <w:t xml:space="preserve"> dans </w:t>
      </w:r>
      <w:r w:rsidR="00DB1610">
        <w:rPr>
          <w:sz w:val="24"/>
          <w:lang w:val="fr-FR"/>
        </w:rPr>
        <w:t>le paragraphe 1(</w:t>
      </w:r>
      <w:r w:rsidR="0065739E" w:rsidRPr="00977E0C">
        <w:rPr>
          <w:sz w:val="24"/>
          <w:lang w:val="fr-FR"/>
        </w:rPr>
        <w:t xml:space="preserve">a) </w:t>
      </w:r>
      <w:r w:rsidR="0065739E">
        <w:rPr>
          <w:sz w:val="24"/>
          <w:lang w:val="fr-FR"/>
        </w:rPr>
        <w:t>de la r</w:t>
      </w:r>
      <w:r w:rsidRPr="00977E0C">
        <w:rPr>
          <w:sz w:val="24"/>
          <w:lang w:val="fr-FR"/>
        </w:rPr>
        <w:t>ésolution 2.2</w:t>
      </w:r>
      <w:r w:rsidR="00950CB4">
        <w:rPr>
          <w:sz w:val="24"/>
          <w:lang w:val="fr-FR"/>
        </w:rPr>
        <w:t>,</w:t>
      </w:r>
      <w:r w:rsidRPr="00977E0C">
        <w:rPr>
          <w:sz w:val="24"/>
          <w:lang w:val="fr-FR"/>
        </w:rPr>
        <w:t xml:space="preserve"> la Conférence des Parties a adopté des lignes directrices pour l</w:t>
      </w:r>
      <w:r w:rsidR="004B2554">
        <w:rPr>
          <w:sz w:val="24"/>
          <w:lang w:val="fr-FR"/>
        </w:rPr>
        <w:t>’</w:t>
      </w:r>
      <w:r w:rsidRPr="00977E0C">
        <w:rPr>
          <w:sz w:val="24"/>
          <w:lang w:val="fr-FR"/>
        </w:rPr>
        <w:t>interprétation d</w:t>
      </w:r>
      <w:r w:rsidR="001F2B94">
        <w:rPr>
          <w:sz w:val="24"/>
          <w:lang w:val="fr-FR"/>
        </w:rPr>
        <w:t>u</w:t>
      </w:r>
      <w:r w:rsidRPr="00977E0C">
        <w:rPr>
          <w:sz w:val="24"/>
          <w:lang w:val="fr-FR"/>
        </w:rPr>
        <w:t xml:space="preserve"> </w:t>
      </w:r>
      <w:r w:rsidR="001F2B94">
        <w:rPr>
          <w:sz w:val="24"/>
          <w:lang w:val="fr-FR"/>
        </w:rPr>
        <w:t>terme</w:t>
      </w:r>
      <w:r w:rsidRPr="00977E0C">
        <w:rPr>
          <w:sz w:val="24"/>
          <w:lang w:val="fr-FR"/>
        </w:rPr>
        <w:t xml:space="preserve"> </w:t>
      </w:r>
      <w:r w:rsidR="0065739E">
        <w:rPr>
          <w:sz w:val="24"/>
          <w:lang w:val="fr-FR"/>
        </w:rPr>
        <w:t>« </w:t>
      </w:r>
      <w:r w:rsidRPr="00977E0C">
        <w:rPr>
          <w:sz w:val="24"/>
          <w:lang w:val="fr-FR"/>
        </w:rPr>
        <w:t>cyclique</w:t>
      </w:r>
      <w:r w:rsidR="0065739E">
        <w:rPr>
          <w:sz w:val="24"/>
          <w:lang w:val="fr-FR"/>
        </w:rPr>
        <w:t>ment »</w:t>
      </w:r>
      <w:r w:rsidRPr="00977E0C">
        <w:rPr>
          <w:sz w:val="24"/>
          <w:lang w:val="fr-FR"/>
        </w:rPr>
        <w:t xml:space="preserve"> et </w:t>
      </w:r>
      <w:r w:rsidR="001F2B94">
        <w:rPr>
          <w:sz w:val="24"/>
          <w:lang w:val="fr-FR"/>
        </w:rPr>
        <w:t xml:space="preserve">de l’expression </w:t>
      </w:r>
      <w:r w:rsidR="004B2554">
        <w:rPr>
          <w:sz w:val="24"/>
          <w:lang w:val="fr-FR"/>
        </w:rPr>
        <w:t xml:space="preserve">« de façon </w:t>
      </w:r>
      <w:r w:rsidRPr="00977E0C">
        <w:rPr>
          <w:sz w:val="24"/>
          <w:lang w:val="fr-FR"/>
        </w:rPr>
        <w:t>prévisible</w:t>
      </w:r>
      <w:r w:rsidR="004B2554">
        <w:rPr>
          <w:sz w:val="24"/>
          <w:lang w:val="fr-FR"/>
        </w:rPr>
        <w:t> »</w:t>
      </w:r>
      <w:r w:rsidRPr="00977E0C">
        <w:rPr>
          <w:sz w:val="24"/>
          <w:lang w:val="fr-FR"/>
        </w:rPr>
        <w:t xml:space="preserve"> </w:t>
      </w:r>
      <w:r w:rsidR="00D8689E">
        <w:rPr>
          <w:sz w:val="24"/>
          <w:lang w:val="fr-FR"/>
        </w:rPr>
        <w:t>utilisés dans</w:t>
      </w:r>
      <w:r w:rsidRPr="00977E0C">
        <w:rPr>
          <w:sz w:val="24"/>
          <w:lang w:val="fr-FR"/>
        </w:rPr>
        <w:t xml:space="preserve"> la définition </w:t>
      </w:r>
      <w:r w:rsidR="001F2B94">
        <w:rPr>
          <w:sz w:val="24"/>
          <w:lang w:val="fr-FR"/>
        </w:rPr>
        <w:t>d’</w:t>
      </w:r>
      <w:r w:rsidR="004B2554">
        <w:rPr>
          <w:sz w:val="24"/>
          <w:lang w:val="fr-FR"/>
        </w:rPr>
        <w:t>« espèce migratrice »</w:t>
      </w:r>
      <w:r w:rsidR="00B309E9">
        <w:rPr>
          <w:sz w:val="24"/>
          <w:lang w:val="fr-FR"/>
        </w:rPr>
        <w:t>,</w:t>
      </w:r>
      <w:r w:rsidRPr="00977E0C">
        <w:rPr>
          <w:sz w:val="24"/>
          <w:lang w:val="fr-FR"/>
        </w:rPr>
        <w:t xml:space="preserve"> et considérant que ces interprétations doivent être maintenues</w:t>
      </w:r>
      <w:r w:rsidR="004B2554">
        <w:rPr>
          <w:sz w:val="24"/>
          <w:lang w:val="fr-FR"/>
        </w:rPr>
        <w:t> ;</w:t>
      </w:r>
    </w:p>
    <w:p w14:paraId="4C2788F0" w14:textId="77777777" w:rsidR="0029594F" w:rsidRPr="00977E0C" w:rsidRDefault="0029594F" w:rsidP="0029594F">
      <w:pPr>
        <w:ind w:firstLine="720"/>
        <w:jc w:val="both"/>
        <w:rPr>
          <w:sz w:val="24"/>
          <w:lang w:val="fr-FR"/>
        </w:rPr>
      </w:pPr>
    </w:p>
    <w:p w14:paraId="542B7E38" w14:textId="6F2C721E" w:rsidR="00977E0C" w:rsidRDefault="00977E0C" w:rsidP="0029594F">
      <w:pPr>
        <w:ind w:firstLine="720"/>
        <w:jc w:val="both"/>
        <w:rPr>
          <w:sz w:val="24"/>
          <w:lang w:val="fr-FR"/>
        </w:rPr>
      </w:pPr>
      <w:r w:rsidRPr="004B2554">
        <w:rPr>
          <w:i/>
          <w:sz w:val="24"/>
          <w:lang w:val="fr-FR"/>
        </w:rPr>
        <w:t>Notant avec satisfaction</w:t>
      </w:r>
      <w:r w:rsidRPr="00977E0C">
        <w:rPr>
          <w:sz w:val="24"/>
          <w:lang w:val="fr-FR"/>
        </w:rPr>
        <w:t xml:space="preserve"> les travaux entrepris par le Conseil scientifique</w:t>
      </w:r>
      <w:r w:rsidR="004B2554">
        <w:rPr>
          <w:sz w:val="24"/>
          <w:lang w:val="fr-FR"/>
        </w:rPr>
        <w:t xml:space="preserve"> de la CMS à travers le document </w:t>
      </w:r>
      <w:r w:rsidR="00950CB4">
        <w:rPr>
          <w:sz w:val="24"/>
          <w:lang w:val="fr-FR"/>
        </w:rPr>
        <w:t>PNUE</w:t>
      </w:r>
      <w:r w:rsidR="004B2554">
        <w:rPr>
          <w:sz w:val="24"/>
          <w:lang w:val="fr-FR"/>
        </w:rPr>
        <w:t>/CMS/COP11/</w:t>
      </w:r>
      <w:r w:rsidRPr="00977E0C">
        <w:rPr>
          <w:sz w:val="24"/>
          <w:lang w:val="fr-FR"/>
        </w:rPr>
        <w:t>Doc</w:t>
      </w:r>
      <w:r w:rsidR="004B2554">
        <w:rPr>
          <w:sz w:val="24"/>
          <w:lang w:val="fr-FR"/>
        </w:rPr>
        <w:t xml:space="preserve"> </w:t>
      </w:r>
      <w:r w:rsidRPr="00977E0C">
        <w:rPr>
          <w:sz w:val="24"/>
          <w:lang w:val="fr-FR"/>
        </w:rPr>
        <w:t xml:space="preserve">24.2 </w:t>
      </w:r>
      <w:r w:rsidR="004B2554">
        <w:rPr>
          <w:sz w:val="24"/>
          <w:lang w:val="fr-FR"/>
        </w:rPr>
        <w:t>pour</w:t>
      </w:r>
      <w:r w:rsidRPr="00977E0C">
        <w:rPr>
          <w:sz w:val="24"/>
          <w:lang w:val="fr-FR"/>
        </w:rPr>
        <w:t xml:space="preserve"> élaborer des lignes directrices </w:t>
      </w:r>
      <w:r w:rsidR="004B2554">
        <w:rPr>
          <w:sz w:val="24"/>
          <w:lang w:val="fr-FR"/>
        </w:rPr>
        <w:t>aidant</w:t>
      </w:r>
      <w:r w:rsidR="0080038A">
        <w:rPr>
          <w:sz w:val="24"/>
          <w:lang w:val="fr-FR"/>
        </w:rPr>
        <w:t xml:space="preserve"> </w:t>
      </w:r>
      <w:r w:rsidRPr="00977E0C">
        <w:rPr>
          <w:sz w:val="24"/>
          <w:lang w:val="fr-FR"/>
        </w:rPr>
        <w:t xml:space="preserve">le Conseil </w:t>
      </w:r>
      <w:r w:rsidR="004B2554" w:rsidRPr="004B2554">
        <w:rPr>
          <w:sz w:val="24"/>
          <w:lang w:val="fr-FR"/>
        </w:rPr>
        <w:t xml:space="preserve">scientifique </w:t>
      </w:r>
      <w:r w:rsidRPr="00977E0C">
        <w:rPr>
          <w:sz w:val="24"/>
          <w:lang w:val="fr-FR"/>
        </w:rPr>
        <w:t xml:space="preserve">et la Conférence des Parties </w:t>
      </w:r>
      <w:r w:rsidR="004B2554">
        <w:rPr>
          <w:sz w:val="24"/>
          <w:lang w:val="fr-FR"/>
        </w:rPr>
        <w:t>à</w:t>
      </w:r>
      <w:r w:rsidRPr="00977E0C">
        <w:rPr>
          <w:sz w:val="24"/>
          <w:lang w:val="fr-FR"/>
        </w:rPr>
        <w:t xml:space="preserve"> évaluer les propositions </w:t>
      </w:r>
      <w:r w:rsidR="004B2554">
        <w:rPr>
          <w:sz w:val="24"/>
          <w:lang w:val="fr-FR"/>
        </w:rPr>
        <w:t>d’</w:t>
      </w:r>
      <w:r w:rsidRPr="00977E0C">
        <w:rPr>
          <w:sz w:val="24"/>
          <w:lang w:val="fr-FR"/>
        </w:rPr>
        <w:t xml:space="preserve">inscription </w:t>
      </w:r>
      <w:r w:rsidR="004B2554">
        <w:rPr>
          <w:sz w:val="24"/>
          <w:lang w:val="fr-FR"/>
        </w:rPr>
        <w:t xml:space="preserve">et de retrait </w:t>
      </w:r>
      <w:r w:rsidRPr="00977E0C">
        <w:rPr>
          <w:sz w:val="24"/>
          <w:lang w:val="fr-FR"/>
        </w:rPr>
        <w:t>d</w:t>
      </w:r>
      <w:r w:rsidR="004B2554">
        <w:rPr>
          <w:sz w:val="24"/>
          <w:lang w:val="fr-FR"/>
        </w:rPr>
        <w:t xml:space="preserve">’espèces des </w:t>
      </w:r>
      <w:r w:rsidR="00F455BC">
        <w:rPr>
          <w:sz w:val="24"/>
          <w:lang w:val="fr-FR"/>
        </w:rPr>
        <w:t>a</w:t>
      </w:r>
      <w:r w:rsidRPr="00977E0C">
        <w:rPr>
          <w:sz w:val="24"/>
          <w:lang w:val="fr-FR"/>
        </w:rPr>
        <w:t>nnexes de la Convention</w:t>
      </w:r>
      <w:r w:rsidR="004B2554">
        <w:rPr>
          <w:sz w:val="24"/>
          <w:lang w:val="fr-FR"/>
        </w:rPr>
        <w:t> ;</w:t>
      </w:r>
    </w:p>
    <w:p w14:paraId="23BD2D1D" w14:textId="77777777" w:rsidR="0029594F" w:rsidRPr="00977E0C" w:rsidRDefault="0029594F" w:rsidP="0029594F">
      <w:pPr>
        <w:ind w:firstLine="720"/>
        <w:jc w:val="both"/>
        <w:rPr>
          <w:sz w:val="24"/>
          <w:lang w:val="fr-FR"/>
        </w:rPr>
      </w:pPr>
    </w:p>
    <w:p w14:paraId="5FCB0A74" w14:textId="4555CF1A" w:rsidR="00977E0C" w:rsidRDefault="00977E0C" w:rsidP="0029594F">
      <w:pPr>
        <w:ind w:firstLine="720"/>
        <w:jc w:val="both"/>
        <w:rPr>
          <w:sz w:val="24"/>
          <w:lang w:val="fr-FR"/>
        </w:rPr>
      </w:pPr>
      <w:r w:rsidRPr="004B2554">
        <w:rPr>
          <w:i/>
          <w:sz w:val="24"/>
          <w:lang w:val="fr-FR"/>
        </w:rPr>
        <w:t>Considérant</w:t>
      </w:r>
      <w:r w:rsidRPr="00977E0C">
        <w:rPr>
          <w:sz w:val="24"/>
          <w:lang w:val="fr-FR"/>
        </w:rPr>
        <w:t xml:space="preserve"> que </w:t>
      </w:r>
      <w:r w:rsidR="004B2554">
        <w:rPr>
          <w:sz w:val="24"/>
          <w:lang w:val="fr-FR"/>
        </w:rPr>
        <w:t>les meilleures données</w:t>
      </w:r>
      <w:r w:rsidRPr="00977E0C">
        <w:rPr>
          <w:sz w:val="24"/>
          <w:lang w:val="fr-FR"/>
        </w:rPr>
        <w:t xml:space="preserve"> scientifique</w:t>
      </w:r>
      <w:r w:rsidR="004B2554">
        <w:rPr>
          <w:sz w:val="24"/>
          <w:lang w:val="fr-FR"/>
        </w:rPr>
        <w:t>s</w:t>
      </w:r>
      <w:r w:rsidRPr="00977E0C">
        <w:rPr>
          <w:sz w:val="24"/>
          <w:lang w:val="fr-FR"/>
        </w:rPr>
        <w:t xml:space="preserve"> disponible</w:t>
      </w:r>
      <w:r w:rsidR="004B2554">
        <w:rPr>
          <w:sz w:val="24"/>
          <w:lang w:val="fr-FR"/>
        </w:rPr>
        <w:t xml:space="preserve">s </w:t>
      </w:r>
      <w:r w:rsidRPr="00977E0C">
        <w:rPr>
          <w:sz w:val="24"/>
          <w:lang w:val="fr-FR"/>
        </w:rPr>
        <w:t>doi</w:t>
      </w:r>
      <w:r w:rsidR="004B2554">
        <w:rPr>
          <w:sz w:val="24"/>
          <w:lang w:val="fr-FR"/>
        </w:rPr>
        <w:t>vent</w:t>
      </w:r>
      <w:r w:rsidRPr="00977E0C">
        <w:rPr>
          <w:sz w:val="24"/>
          <w:lang w:val="fr-FR"/>
        </w:rPr>
        <w:t xml:space="preserve"> être utilisée</w:t>
      </w:r>
      <w:r w:rsidR="00B82A8B">
        <w:rPr>
          <w:sz w:val="24"/>
          <w:lang w:val="fr-FR"/>
        </w:rPr>
        <w:t>s</w:t>
      </w:r>
      <w:r w:rsidRPr="00977E0C">
        <w:rPr>
          <w:sz w:val="24"/>
          <w:lang w:val="fr-FR"/>
        </w:rPr>
        <w:t xml:space="preserve"> pour évaluer les propositions d</w:t>
      </w:r>
      <w:r w:rsidR="004B2554">
        <w:rPr>
          <w:sz w:val="24"/>
          <w:lang w:val="fr-FR"/>
        </w:rPr>
        <w:t>’</w:t>
      </w:r>
      <w:r w:rsidRPr="00977E0C">
        <w:rPr>
          <w:sz w:val="24"/>
          <w:lang w:val="fr-FR"/>
        </w:rPr>
        <w:t>inscription</w:t>
      </w:r>
      <w:r w:rsidR="00B82A8B">
        <w:rPr>
          <w:sz w:val="24"/>
          <w:lang w:val="fr-FR"/>
        </w:rPr>
        <w:t> ;</w:t>
      </w:r>
    </w:p>
    <w:p w14:paraId="2B7887C7" w14:textId="77777777" w:rsidR="0029594F" w:rsidRPr="00977E0C" w:rsidRDefault="0029594F" w:rsidP="0029594F">
      <w:pPr>
        <w:ind w:firstLine="720"/>
        <w:jc w:val="both"/>
        <w:rPr>
          <w:sz w:val="24"/>
          <w:lang w:val="fr-FR"/>
        </w:rPr>
      </w:pPr>
    </w:p>
    <w:p w14:paraId="745F2C74" w14:textId="6BA4899A" w:rsidR="00977E0C" w:rsidRDefault="00977E0C" w:rsidP="0029594F">
      <w:pPr>
        <w:ind w:firstLine="720"/>
        <w:jc w:val="both"/>
        <w:rPr>
          <w:sz w:val="24"/>
          <w:lang w:val="fr-FR"/>
        </w:rPr>
      </w:pPr>
      <w:r w:rsidRPr="00B82A8B">
        <w:rPr>
          <w:i/>
          <w:sz w:val="24"/>
          <w:lang w:val="fr-FR"/>
        </w:rPr>
        <w:t>Considérant en outre</w:t>
      </w:r>
      <w:r w:rsidRPr="00977E0C">
        <w:rPr>
          <w:sz w:val="24"/>
          <w:lang w:val="fr-FR"/>
        </w:rPr>
        <w:t xml:space="preserve"> </w:t>
      </w:r>
      <w:r w:rsidR="00B82A8B">
        <w:rPr>
          <w:sz w:val="24"/>
          <w:lang w:val="fr-FR"/>
        </w:rPr>
        <w:t>que des</w:t>
      </w:r>
      <w:r w:rsidRPr="00977E0C">
        <w:rPr>
          <w:sz w:val="24"/>
          <w:lang w:val="fr-FR"/>
        </w:rPr>
        <w:t xml:space="preserve"> </w:t>
      </w:r>
      <w:r w:rsidR="00B309E9">
        <w:rPr>
          <w:sz w:val="24"/>
          <w:lang w:val="fr-FR"/>
        </w:rPr>
        <w:t>résultats</w:t>
      </w:r>
      <w:r w:rsidR="00B82A8B">
        <w:rPr>
          <w:sz w:val="24"/>
          <w:lang w:val="fr-FR"/>
        </w:rPr>
        <w:t xml:space="preserve"> devraient être attendus </w:t>
      </w:r>
      <w:r w:rsidR="00D8689E">
        <w:rPr>
          <w:sz w:val="24"/>
          <w:lang w:val="fr-FR"/>
        </w:rPr>
        <w:t>en matière de conservation lorsqu’une</w:t>
      </w:r>
      <w:r w:rsidRPr="00977E0C">
        <w:rPr>
          <w:sz w:val="24"/>
          <w:lang w:val="fr-FR"/>
        </w:rPr>
        <w:t xml:space="preserve"> proposition d</w:t>
      </w:r>
      <w:r w:rsidR="004B2554">
        <w:rPr>
          <w:sz w:val="24"/>
          <w:lang w:val="fr-FR"/>
        </w:rPr>
        <w:t>’</w:t>
      </w:r>
      <w:r w:rsidRPr="00977E0C">
        <w:rPr>
          <w:sz w:val="24"/>
          <w:lang w:val="fr-FR"/>
        </w:rPr>
        <w:t>inscription</w:t>
      </w:r>
      <w:r w:rsidR="00D8689E">
        <w:rPr>
          <w:sz w:val="24"/>
          <w:lang w:val="fr-FR"/>
        </w:rPr>
        <w:t xml:space="preserve"> est </w:t>
      </w:r>
      <w:r w:rsidR="001A04C1">
        <w:rPr>
          <w:sz w:val="24"/>
          <w:lang w:val="fr-FR"/>
        </w:rPr>
        <w:t>adoptée</w:t>
      </w:r>
      <w:r w:rsidR="00B82A8B">
        <w:rPr>
          <w:sz w:val="24"/>
          <w:lang w:val="fr-FR"/>
        </w:rPr>
        <w:t> ;</w:t>
      </w:r>
    </w:p>
    <w:p w14:paraId="49FDB9C1" w14:textId="77777777" w:rsidR="0029594F" w:rsidRPr="00977E0C" w:rsidRDefault="0029594F" w:rsidP="0029594F">
      <w:pPr>
        <w:ind w:firstLine="720"/>
        <w:jc w:val="both"/>
        <w:rPr>
          <w:sz w:val="24"/>
          <w:lang w:val="fr-FR"/>
        </w:rPr>
      </w:pPr>
    </w:p>
    <w:p w14:paraId="15E72C3F" w14:textId="33792CBE" w:rsidR="00977E0C" w:rsidRDefault="00977E0C" w:rsidP="0029594F">
      <w:pPr>
        <w:ind w:firstLine="720"/>
        <w:jc w:val="both"/>
        <w:rPr>
          <w:sz w:val="24"/>
          <w:lang w:val="fr-FR"/>
        </w:rPr>
      </w:pPr>
      <w:r w:rsidRPr="00B82A8B">
        <w:rPr>
          <w:i/>
          <w:sz w:val="24"/>
          <w:lang w:val="fr-FR"/>
        </w:rPr>
        <w:t>Rappelant que</w:t>
      </w:r>
      <w:r w:rsidR="00194D47">
        <w:rPr>
          <w:i/>
          <w:sz w:val="24"/>
          <w:lang w:val="fr-FR"/>
        </w:rPr>
        <w:t>,</w:t>
      </w:r>
      <w:r w:rsidRPr="00977E0C">
        <w:rPr>
          <w:sz w:val="24"/>
          <w:lang w:val="fr-FR"/>
        </w:rPr>
        <w:t xml:space="preserve"> dans la </w:t>
      </w:r>
      <w:r w:rsidR="00B82A8B">
        <w:rPr>
          <w:sz w:val="24"/>
          <w:lang w:val="fr-FR"/>
        </w:rPr>
        <w:t>r</w:t>
      </w:r>
      <w:r w:rsidRPr="00977E0C">
        <w:rPr>
          <w:sz w:val="24"/>
          <w:lang w:val="fr-FR"/>
        </w:rPr>
        <w:t>ésolution 3.1</w:t>
      </w:r>
      <w:r w:rsidR="00194D47">
        <w:rPr>
          <w:sz w:val="24"/>
          <w:lang w:val="fr-FR"/>
        </w:rPr>
        <w:t xml:space="preserve">, </w:t>
      </w:r>
      <w:r w:rsidRPr="00977E0C">
        <w:rPr>
          <w:sz w:val="24"/>
          <w:lang w:val="fr-FR"/>
        </w:rPr>
        <w:t xml:space="preserve">la Conférence des Parties a décidé que les </w:t>
      </w:r>
      <w:r w:rsidR="00B82A8B">
        <w:rPr>
          <w:sz w:val="24"/>
          <w:lang w:val="fr-FR"/>
        </w:rPr>
        <w:t xml:space="preserve">nouvelles inscriptions aux </w:t>
      </w:r>
      <w:r w:rsidR="00F455BC">
        <w:rPr>
          <w:sz w:val="24"/>
          <w:lang w:val="fr-FR"/>
        </w:rPr>
        <w:t>a</w:t>
      </w:r>
      <w:r w:rsidRPr="00977E0C">
        <w:rPr>
          <w:sz w:val="24"/>
          <w:lang w:val="fr-FR"/>
        </w:rPr>
        <w:t>nnexes de la Convention d</w:t>
      </w:r>
      <w:r w:rsidR="00B11B89">
        <w:rPr>
          <w:sz w:val="24"/>
          <w:lang w:val="fr-FR"/>
        </w:rPr>
        <w:t>oive</w:t>
      </w:r>
      <w:r w:rsidRPr="00977E0C">
        <w:rPr>
          <w:sz w:val="24"/>
          <w:lang w:val="fr-FR"/>
        </w:rPr>
        <w:t>nt être limité</w:t>
      </w:r>
      <w:r w:rsidR="00194D47">
        <w:rPr>
          <w:sz w:val="24"/>
          <w:lang w:val="fr-FR"/>
        </w:rPr>
        <w:t>e</w:t>
      </w:r>
      <w:r w:rsidRPr="00977E0C">
        <w:rPr>
          <w:sz w:val="24"/>
          <w:lang w:val="fr-FR"/>
        </w:rPr>
        <w:t xml:space="preserve">s aux espèces ou </w:t>
      </w:r>
      <w:r w:rsidR="00B82A8B">
        <w:rPr>
          <w:sz w:val="24"/>
          <w:lang w:val="fr-FR"/>
        </w:rPr>
        <w:t xml:space="preserve">aux </w:t>
      </w:r>
      <w:r w:rsidRPr="00977E0C">
        <w:rPr>
          <w:sz w:val="24"/>
          <w:lang w:val="fr-FR"/>
        </w:rPr>
        <w:t>taxons inférieurs</w:t>
      </w:r>
      <w:r w:rsidR="00B11B89">
        <w:rPr>
          <w:sz w:val="24"/>
          <w:lang w:val="fr-FR"/>
        </w:rPr>
        <w:t>,</w:t>
      </w:r>
      <w:r w:rsidRPr="00977E0C">
        <w:rPr>
          <w:sz w:val="24"/>
          <w:lang w:val="fr-FR"/>
        </w:rPr>
        <w:t xml:space="preserve"> et que l</w:t>
      </w:r>
      <w:r w:rsidR="001A04C1">
        <w:rPr>
          <w:sz w:val="24"/>
          <w:lang w:val="fr-FR"/>
        </w:rPr>
        <w:t>’inscription à l’Annexe II d’</w:t>
      </w:r>
      <w:r w:rsidR="00194D47">
        <w:rPr>
          <w:sz w:val="24"/>
          <w:lang w:val="fr-FR"/>
        </w:rPr>
        <w:t xml:space="preserve">espèces migratrices regroupées sous un taxon supérieur </w:t>
      </w:r>
      <w:r w:rsidRPr="00977E0C">
        <w:rPr>
          <w:sz w:val="24"/>
          <w:lang w:val="fr-FR"/>
        </w:rPr>
        <w:t xml:space="preserve">ne doit être </w:t>
      </w:r>
      <w:r w:rsidR="001A04C1">
        <w:rPr>
          <w:sz w:val="24"/>
          <w:lang w:val="fr-FR"/>
        </w:rPr>
        <w:t>envisagée</w:t>
      </w:r>
      <w:r w:rsidRPr="00977E0C">
        <w:rPr>
          <w:sz w:val="24"/>
          <w:lang w:val="fr-FR"/>
        </w:rPr>
        <w:t xml:space="preserve"> </w:t>
      </w:r>
      <w:r w:rsidR="00B11B89">
        <w:rPr>
          <w:sz w:val="24"/>
          <w:lang w:val="fr-FR"/>
        </w:rPr>
        <w:t xml:space="preserve">que </w:t>
      </w:r>
      <w:r w:rsidRPr="00977E0C">
        <w:rPr>
          <w:sz w:val="24"/>
          <w:lang w:val="fr-FR"/>
        </w:rPr>
        <w:t xml:space="preserve">lorsque des accords </w:t>
      </w:r>
      <w:r w:rsidR="001A04C1">
        <w:rPr>
          <w:sz w:val="24"/>
          <w:lang w:val="fr-FR"/>
        </w:rPr>
        <w:t>sont en cours de préparation</w:t>
      </w:r>
      <w:r w:rsidR="00B11B89">
        <w:rPr>
          <w:sz w:val="24"/>
          <w:lang w:val="fr-FR"/>
        </w:rPr>
        <w:t> ;</w:t>
      </w:r>
    </w:p>
    <w:p w14:paraId="25CC0080" w14:textId="77777777" w:rsidR="0029594F" w:rsidRPr="00977E0C" w:rsidRDefault="0029594F" w:rsidP="0029594F">
      <w:pPr>
        <w:ind w:firstLine="720"/>
        <w:jc w:val="both"/>
        <w:rPr>
          <w:sz w:val="24"/>
          <w:lang w:val="fr-FR"/>
        </w:rPr>
      </w:pPr>
    </w:p>
    <w:p w14:paraId="29E6849B" w14:textId="4AB656F4" w:rsidR="00977E0C" w:rsidRPr="00977E0C" w:rsidRDefault="00977E0C" w:rsidP="0029594F">
      <w:pPr>
        <w:ind w:firstLine="720"/>
        <w:jc w:val="both"/>
        <w:rPr>
          <w:sz w:val="24"/>
          <w:lang w:val="fr-FR"/>
        </w:rPr>
      </w:pPr>
      <w:r w:rsidRPr="00B11B89">
        <w:rPr>
          <w:i/>
          <w:sz w:val="24"/>
          <w:lang w:val="fr-FR"/>
        </w:rPr>
        <w:t>Rappelant en outre</w:t>
      </w:r>
      <w:r w:rsidRPr="00977E0C">
        <w:rPr>
          <w:sz w:val="24"/>
          <w:lang w:val="fr-FR"/>
        </w:rPr>
        <w:t xml:space="preserve"> que de nombreuses espèces sont inscrites</w:t>
      </w:r>
      <w:r w:rsidR="00194D47">
        <w:rPr>
          <w:sz w:val="24"/>
          <w:lang w:val="fr-FR"/>
        </w:rPr>
        <w:t xml:space="preserve"> à la fois</w:t>
      </w:r>
      <w:r w:rsidRPr="00977E0C">
        <w:rPr>
          <w:sz w:val="24"/>
          <w:lang w:val="fr-FR"/>
        </w:rPr>
        <w:t xml:space="preserve"> </w:t>
      </w:r>
      <w:r w:rsidR="00B11B89">
        <w:rPr>
          <w:sz w:val="24"/>
          <w:lang w:val="fr-FR"/>
        </w:rPr>
        <w:t xml:space="preserve">aux </w:t>
      </w:r>
      <w:r w:rsidR="00F455BC">
        <w:rPr>
          <w:sz w:val="24"/>
          <w:lang w:val="fr-FR"/>
        </w:rPr>
        <w:t>a</w:t>
      </w:r>
      <w:r w:rsidRPr="00977E0C">
        <w:rPr>
          <w:sz w:val="24"/>
          <w:lang w:val="fr-FR"/>
        </w:rPr>
        <w:t xml:space="preserve">nnexes de la </w:t>
      </w:r>
      <w:r w:rsidR="00B11B89">
        <w:rPr>
          <w:sz w:val="24"/>
          <w:lang w:val="fr-FR"/>
        </w:rPr>
        <w:t xml:space="preserve">Convention sur le commerce international des espèces de faune et de flore sauvages menacées d'extinction </w:t>
      </w:r>
      <w:r w:rsidRPr="00977E0C">
        <w:rPr>
          <w:sz w:val="24"/>
          <w:lang w:val="fr-FR"/>
        </w:rPr>
        <w:t xml:space="preserve">(CITES) et </w:t>
      </w:r>
      <w:r w:rsidR="001A04C1">
        <w:rPr>
          <w:sz w:val="24"/>
          <w:lang w:val="fr-FR"/>
        </w:rPr>
        <w:t xml:space="preserve">à celles </w:t>
      </w:r>
      <w:r w:rsidR="00AD75A4">
        <w:rPr>
          <w:sz w:val="24"/>
          <w:lang w:val="fr-FR"/>
        </w:rPr>
        <w:t xml:space="preserve">de </w:t>
      </w:r>
      <w:r w:rsidRPr="00977E0C">
        <w:rPr>
          <w:sz w:val="24"/>
          <w:lang w:val="fr-FR"/>
        </w:rPr>
        <w:t>la CMS</w:t>
      </w:r>
      <w:r w:rsidR="00AD75A4">
        <w:rPr>
          <w:sz w:val="24"/>
          <w:lang w:val="fr-FR"/>
        </w:rPr>
        <w:t>,</w:t>
      </w:r>
      <w:r w:rsidRPr="00977E0C">
        <w:rPr>
          <w:sz w:val="24"/>
          <w:lang w:val="fr-FR"/>
        </w:rPr>
        <w:t xml:space="preserve"> et que pour les États qui sont </w:t>
      </w:r>
      <w:r w:rsidR="00AD75A4">
        <w:rPr>
          <w:sz w:val="24"/>
          <w:lang w:val="fr-FR"/>
        </w:rPr>
        <w:t>P</w:t>
      </w:r>
      <w:r w:rsidRPr="00977E0C">
        <w:rPr>
          <w:sz w:val="24"/>
          <w:lang w:val="fr-FR"/>
        </w:rPr>
        <w:t>arties à ces deux conventions, il est souhaitable que les actions des conventions so</w:t>
      </w:r>
      <w:r w:rsidR="00194D47">
        <w:rPr>
          <w:sz w:val="24"/>
          <w:lang w:val="fr-FR"/>
        </w:rPr>
        <w:t>ien</w:t>
      </w:r>
      <w:r w:rsidRPr="00977E0C">
        <w:rPr>
          <w:sz w:val="24"/>
          <w:lang w:val="fr-FR"/>
        </w:rPr>
        <w:t>t complémentaire</w:t>
      </w:r>
      <w:r w:rsidR="00AD75A4">
        <w:rPr>
          <w:sz w:val="24"/>
          <w:lang w:val="fr-FR"/>
        </w:rPr>
        <w:t>s </w:t>
      </w:r>
      <w:r w:rsidRPr="00977E0C">
        <w:rPr>
          <w:sz w:val="24"/>
          <w:lang w:val="fr-FR"/>
        </w:rPr>
        <w:t>;</w:t>
      </w:r>
    </w:p>
    <w:p w14:paraId="128B6C85" w14:textId="65459162" w:rsidR="00977E0C" w:rsidRDefault="00977E0C" w:rsidP="0029594F">
      <w:pPr>
        <w:ind w:firstLine="720"/>
        <w:jc w:val="both"/>
        <w:rPr>
          <w:sz w:val="24"/>
          <w:lang w:val="fr-FR"/>
        </w:rPr>
      </w:pPr>
      <w:r w:rsidRPr="00AD75A4">
        <w:rPr>
          <w:i/>
          <w:sz w:val="24"/>
          <w:lang w:val="fr-FR"/>
        </w:rPr>
        <w:lastRenderedPageBreak/>
        <w:t>Reconnaissant</w:t>
      </w:r>
      <w:r w:rsidRPr="00977E0C">
        <w:rPr>
          <w:sz w:val="24"/>
          <w:lang w:val="fr-FR"/>
        </w:rPr>
        <w:t xml:space="preserve"> la valeur des avis d</w:t>
      </w:r>
      <w:r w:rsidR="004B2554">
        <w:rPr>
          <w:sz w:val="24"/>
          <w:lang w:val="fr-FR"/>
        </w:rPr>
        <w:t>’</w:t>
      </w:r>
      <w:r w:rsidRPr="00977E0C">
        <w:rPr>
          <w:sz w:val="24"/>
          <w:lang w:val="fr-FR"/>
        </w:rPr>
        <w:t>autres organes intergouvernementaux à l</w:t>
      </w:r>
      <w:r w:rsidR="004B2554">
        <w:rPr>
          <w:sz w:val="24"/>
          <w:lang w:val="fr-FR"/>
        </w:rPr>
        <w:t>’</w:t>
      </w:r>
      <w:r w:rsidRPr="00977E0C">
        <w:rPr>
          <w:sz w:val="24"/>
          <w:lang w:val="fr-FR"/>
        </w:rPr>
        <w:t>égard des propositions d</w:t>
      </w:r>
      <w:r w:rsidR="004B2554">
        <w:rPr>
          <w:sz w:val="24"/>
          <w:lang w:val="fr-FR"/>
        </w:rPr>
        <w:t>’</w:t>
      </w:r>
      <w:r w:rsidR="00AD75A4">
        <w:rPr>
          <w:sz w:val="24"/>
          <w:lang w:val="fr-FR"/>
        </w:rPr>
        <w:t>amendement</w:t>
      </w:r>
      <w:r w:rsidRPr="00977E0C">
        <w:rPr>
          <w:sz w:val="24"/>
          <w:lang w:val="fr-FR"/>
        </w:rPr>
        <w:t xml:space="preserve"> </w:t>
      </w:r>
      <w:r w:rsidR="001A04C1">
        <w:rPr>
          <w:sz w:val="24"/>
          <w:lang w:val="fr-FR"/>
        </w:rPr>
        <w:t>des</w:t>
      </w:r>
      <w:r w:rsidRPr="00977E0C">
        <w:rPr>
          <w:sz w:val="24"/>
          <w:lang w:val="fr-FR"/>
        </w:rPr>
        <w:t xml:space="preserve"> </w:t>
      </w:r>
      <w:r w:rsidR="00F455BC">
        <w:rPr>
          <w:sz w:val="24"/>
          <w:lang w:val="fr-FR"/>
        </w:rPr>
        <w:t>a</w:t>
      </w:r>
      <w:r w:rsidRPr="00977E0C">
        <w:rPr>
          <w:sz w:val="24"/>
          <w:lang w:val="fr-FR"/>
        </w:rPr>
        <w:t>nnexes</w:t>
      </w:r>
      <w:r w:rsidR="00AD75A4">
        <w:rPr>
          <w:sz w:val="24"/>
          <w:lang w:val="fr-FR"/>
        </w:rPr>
        <w:t> </w:t>
      </w:r>
      <w:r w:rsidR="0029594F">
        <w:rPr>
          <w:sz w:val="24"/>
          <w:lang w:val="fr-FR"/>
        </w:rPr>
        <w:t xml:space="preserve">; </w:t>
      </w:r>
      <w:r w:rsidRPr="00977E0C">
        <w:rPr>
          <w:sz w:val="24"/>
          <w:lang w:val="fr-FR"/>
        </w:rPr>
        <w:t>et</w:t>
      </w:r>
    </w:p>
    <w:p w14:paraId="3CA3893A" w14:textId="77777777" w:rsidR="00DB1610" w:rsidRPr="00977E0C" w:rsidRDefault="00DB1610" w:rsidP="0029594F">
      <w:pPr>
        <w:ind w:firstLine="720"/>
        <w:jc w:val="both"/>
        <w:rPr>
          <w:sz w:val="24"/>
          <w:lang w:val="fr-FR"/>
        </w:rPr>
      </w:pPr>
    </w:p>
    <w:p w14:paraId="7D39CA24" w14:textId="55DE2BB1" w:rsidR="00977E0C" w:rsidRDefault="0029594F" w:rsidP="0029594F">
      <w:pPr>
        <w:ind w:firstLine="720"/>
        <w:jc w:val="both"/>
        <w:rPr>
          <w:sz w:val="24"/>
          <w:lang w:val="fr-FR"/>
        </w:rPr>
      </w:pPr>
      <w:r w:rsidRPr="00977E0C">
        <w:rPr>
          <w:sz w:val="24"/>
          <w:lang w:val="fr-FR"/>
        </w:rPr>
        <w:t>[</w:t>
      </w:r>
      <w:r w:rsidR="00977E0C" w:rsidRPr="00AD75A4">
        <w:rPr>
          <w:i/>
          <w:sz w:val="24"/>
          <w:lang w:val="fr-FR"/>
        </w:rPr>
        <w:t>Considérant</w:t>
      </w:r>
      <w:r w:rsidR="00977E0C" w:rsidRPr="00977E0C">
        <w:rPr>
          <w:sz w:val="24"/>
          <w:lang w:val="fr-FR"/>
        </w:rPr>
        <w:t xml:space="preserve"> que des travaux devraient être entrepris par le Conseil scientifique et le Secrétariat </w:t>
      </w:r>
      <w:r w:rsidR="00AD75A4">
        <w:rPr>
          <w:sz w:val="24"/>
          <w:lang w:val="fr-FR"/>
        </w:rPr>
        <w:t>pour</w:t>
      </w:r>
      <w:r w:rsidR="00977E0C" w:rsidRPr="00977E0C">
        <w:rPr>
          <w:sz w:val="24"/>
          <w:lang w:val="fr-FR"/>
        </w:rPr>
        <w:t xml:space="preserve"> élaborer un ensemble de lignes directrices plus détaillées pour la présentation et l</w:t>
      </w:r>
      <w:r w:rsidR="004B2554">
        <w:rPr>
          <w:sz w:val="24"/>
          <w:lang w:val="fr-FR"/>
        </w:rPr>
        <w:t>’</w:t>
      </w:r>
      <w:r w:rsidR="00977E0C" w:rsidRPr="00977E0C">
        <w:rPr>
          <w:sz w:val="24"/>
          <w:lang w:val="fr-FR"/>
        </w:rPr>
        <w:t>évaluation des propositions d</w:t>
      </w:r>
      <w:r w:rsidR="004B2554">
        <w:rPr>
          <w:sz w:val="24"/>
          <w:lang w:val="fr-FR"/>
        </w:rPr>
        <w:t>’</w:t>
      </w:r>
      <w:r w:rsidR="00977E0C" w:rsidRPr="00977E0C">
        <w:rPr>
          <w:sz w:val="24"/>
          <w:lang w:val="fr-FR"/>
        </w:rPr>
        <w:t>inscription</w:t>
      </w:r>
      <w:r w:rsidRPr="001442FB">
        <w:rPr>
          <w:rFonts w:eastAsia="Calibri"/>
          <w:sz w:val="24"/>
          <w:lang w:val="fr-FR"/>
        </w:rPr>
        <w:t>]</w:t>
      </w:r>
      <w:r w:rsidR="00977E0C" w:rsidRPr="00977E0C">
        <w:rPr>
          <w:sz w:val="24"/>
          <w:lang w:val="fr-FR"/>
        </w:rPr>
        <w:t>.</w:t>
      </w:r>
    </w:p>
    <w:p w14:paraId="6AA00E6D" w14:textId="77777777" w:rsidR="00C35E0E" w:rsidRDefault="00C35E0E" w:rsidP="00C35E0E">
      <w:pPr>
        <w:widowControl/>
        <w:autoSpaceDE/>
        <w:autoSpaceDN/>
        <w:adjustRightInd/>
        <w:spacing w:after="120"/>
        <w:jc w:val="center"/>
        <w:rPr>
          <w:rFonts w:eastAsia="Calibri"/>
          <w:i/>
          <w:sz w:val="24"/>
          <w:lang w:val="fr-FR"/>
        </w:rPr>
      </w:pPr>
    </w:p>
    <w:p w14:paraId="68D43E97" w14:textId="77777777" w:rsidR="00DB1610" w:rsidRPr="00DE4FFF" w:rsidRDefault="00DB1610" w:rsidP="00C35E0E">
      <w:pPr>
        <w:widowControl/>
        <w:autoSpaceDE/>
        <w:autoSpaceDN/>
        <w:adjustRightInd/>
        <w:spacing w:after="120"/>
        <w:jc w:val="center"/>
        <w:rPr>
          <w:rFonts w:eastAsia="Calibri"/>
          <w:i/>
          <w:sz w:val="24"/>
          <w:lang w:val="fr-FR"/>
        </w:rPr>
      </w:pPr>
    </w:p>
    <w:p w14:paraId="7B452F33" w14:textId="77777777" w:rsidR="00C35E0E" w:rsidRPr="00C35E0E" w:rsidRDefault="00C35E0E" w:rsidP="00C35E0E">
      <w:pPr>
        <w:autoSpaceDE/>
        <w:autoSpaceDN/>
        <w:adjustRightInd/>
        <w:contextualSpacing/>
        <w:jc w:val="center"/>
        <w:rPr>
          <w:i/>
          <w:sz w:val="24"/>
          <w:lang w:val="fr-FR" w:eastAsia="en-GB"/>
        </w:rPr>
      </w:pPr>
      <w:r w:rsidRPr="00C35E0E">
        <w:rPr>
          <w:i/>
          <w:sz w:val="24"/>
          <w:lang w:val="fr-FR" w:eastAsia="en-GB"/>
        </w:rPr>
        <w:t>La Conférence des Parties à la</w:t>
      </w:r>
    </w:p>
    <w:p w14:paraId="2830A9CB" w14:textId="77777777" w:rsidR="00C35E0E" w:rsidRPr="00C35E0E" w:rsidRDefault="00C35E0E" w:rsidP="00C35E0E">
      <w:pPr>
        <w:autoSpaceDE/>
        <w:autoSpaceDN/>
        <w:adjustRightInd/>
        <w:contextualSpacing/>
        <w:jc w:val="center"/>
        <w:rPr>
          <w:i/>
          <w:sz w:val="24"/>
          <w:lang w:val="fr-FR" w:eastAsia="en-GB"/>
        </w:rPr>
      </w:pPr>
      <w:r w:rsidRPr="00C35E0E">
        <w:rPr>
          <w:i/>
          <w:sz w:val="24"/>
          <w:lang w:val="fr-FR" w:eastAsia="en-GB"/>
        </w:rPr>
        <w:t>Convention sur la conservation des espèces migratrices appartenant à la faune sauvage</w:t>
      </w:r>
    </w:p>
    <w:p w14:paraId="5354244E" w14:textId="77777777" w:rsidR="00931A94" w:rsidRPr="00DE4FFF" w:rsidRDefault="00931A94" w:rsidP="00931A94">
      <w:pPr>
        <w:widowControl/>
        <w:autoSpaceDE/>
        <w:autoSpaceDN/>
        <w:adjustRightInd/>
        <w:spacing w:after="120"/>
        <w:jc w:val="center"/>
        <w:rPr>
          <w:rFonts w:eastAsia="Calibri"/>
          <w:i/>
          <w:sz w:val="24"/>
          <w:lang w:val="fr-FR"/>
        </w:rPr>
      </w:pPr>
    </w:p>
    <w:p w14:paraId="26541E50" w14:textId="21D47BC5" w:rsidR="00977E0C" w:rsidRPr="00DB1610" w:rsidRDefault="00AD75A4" w:rsidP="00DB1610">
      <w:pPr>
        <w:widowControl/>
        <w:numPr>
          <w:ilvl w:val="0"/>
          <w:numId w:val="47"/>
        </w:numPr>
        <w:autoSpaceDE/>
        <w:autoSpaceDN/>
        <w:adjustRightInd/>
        <w:ind w:left="0" w:firstLine="0"/>
        <w:jc w:val="both"/>
        <w:rPr>
          <w:rFonts w:eastAsia="Calibri"/>
          <w:sz w:val="24"/>
          <w:lang w:val="fr-FR"/>
        </w:rPr>
      </w:pPr>
      <w:r w:rsidRPr="00AD75A4">
        <w:rPr>
          <w:i/>
          <w:sz w:val="24"/>
          <w:lang w:val="fr-FR"/>
        </w:rPr>
        <w:t>D</w:t>
      </w:r>
      <w:r w:rsidR="00977E0C" w:rsidRPr="00AD75A4">
        <w:rPr>
          <w:i/>
          <w:sz w:val="24"/>
          <w:lang w:val="fr-FR"/>
        </w:rPr>
        <w:t>écide</w:t>
      </w:r>
      <w:r w:rsidR="00977E0C" w:rsidRPr="00977E0C">
        <w:rPr>
          <w:sz w:val="24"/>
          <w:lang w:val="fr-FR"/>
        </w:rPr>
        <w:t xml:space="preserve"> d</w:t>
      </w:r>
      <w:r w:rsidR="004B2554">
        <w:rPr>
          <w:sz w:val="24"/>
          <w:lang w:val="fr-FR"/>
        </w:rPr>
        <w:t>’</w:t>
      </w:r>
      <w:r w:rsidR="00977E0C" w:rsidRPr="00977E0C">
        <w:rPr>
          <w:sz w:val="24"/>
          <w:lang w:val="fr-FR"/>
        </w:rPr>
        <w:t>interpréter l</w:t>
      </w:r>
      <w:r w:rsidR="004B2554">
        <w:rPr>
          <w:sz w:val="24"/>
          <w:lang w:val="fr-FR"/>
        </w:rPr>
        <w:t>’</w:t>
      </w:r>
      <w:r w:rsidR="00977E0C" w:rsidRPr="00977E0C">
        <w:rPr>
          <w:sz w:val="24"/>
          <w:lang w:val="fr-FR"/>
        </w:rPr>
        <w:t>expression «</w:t>
      </w:r>
      <w:r>
        <w:rPr>
          <w:sz w:val="24"/>
          <w:lang w:val="fr-FR"/>
        </w:rPr>
        <w:t> </w:t>
      </w:r>
      <w:r w:rsidR="00977E0C" w:rsidRPr="00977E0C">
        <w:rPr>
          <w:sz w:val="24"/>
          <w:lang w:val="fr-FR"/>
        </w:rPr>
        <w:t>en danger</w:t>
      </w:r>
      <w:r>
        <w:rPr>
          <w:sz w:val="24"/>
          <w:lang w:val="fr-FR"/>
        </w:rPr>
        <w:t> </w:t>
      </w:r>
      <w:r w:rsidR="00977E0C" w:rsidRPr="00977E0C">
        <w:rPr>
          <w:sz w:val="24"/>
          <w:lang w:val="fr-FR"/>
        </w:rPr>
        <w:t xml:space="preserve">» </w:t>
      </w:r>
      <w:r w:rsidR="001A04C1">
        <w:rPr>
          <w:sz w:val="24"/>
          <w:lang w:val="fr-FR"/>
        </w:rPr>
        <w:t>au paragraphe 1</w:t>
      </w:r>
      <w:r>
        <w:rPr>
          <w:sz w:val="24"/>
          <w:lang w:val="fr-FR"/>
        </w:rPr>
        <w:t xml:space="preserve">e) de </w:t>
      </w:r>
      <w:r w:rsidR="00977E0C" w:rsidRPr="00977E0C">
        <w:rPr>
          <w:sz w:val="24"/>
          <w:lang w:val="fr-FR"/>
        </w:rPr>
        <w:t>l</w:t>
      </w:r>
      <w:r w:rsidR="004B2554">
        <w:rPr>
          <w:sz w:val="24"/>
          <w:lang w:val="fr-FR"/>
        </w:rPr>
        <w:t>’</w:t>
      </w:r>
      <w:r w:rsidR="00C35E0E">
        <w:rPr>
          <w:sz w:val="24"/>
          <w:lang w:val="fr-FR"/>
        </w:rPr>
        <w:t>article I</w:t>
      </w:r>
      <w:r w:rsidR="00977E0C" w:rsidRPr="00977E0C">
        <w:rPr>
          <w:sz w:val="24"/>
          <w:lang w:val="fr-FR"/>
        </w:rPr>
        <w:t xml:space="preserve"> de la Convention, </w:t>
      </w:r>
      <w:r w:rsidR="001A04C1">
        <w:rPr>
          <w:sz w:val="24"/>
          <w:lang w:val="fr-FR"/>
        </w:rPr>
        <w:t>au sens de</w:t>
      </w:r>
      <w:r>
        <w:rPr>
          <w:sz w:val="24"/>
          <w:lang w:val="fr-FR"/>
        </w:rPr>
        <w:t> :</w:t>
      </w:r>
      <w:r w:rsidR="00977E0C" w:rsidRPr="00977E0C">
        <w:rPr>
          <w:rFonts w:eastAsia="Calibri"/>
          <w:i/>
          <w:sz w:val="24"/>
          <w:lang w:val="fr-FR"/>
        </w:rPr>
        <w:t xml:space="preserve"> </w:t>
      </w:r>
    </w:p>
    <w:p w14:paraId="4152B19F" w14:textId="77777777" w:rsidR="00DB1610" w:rsidRPr="00977E0C" w:rsidRDefault="00DB1610" w:rsidP="00DB1610">
      <w:pPr>
        <w:widowControl/>
        <w:autoSpaceDE/>
        <w:autoSpaceDN/>
        <w:adjustRightInd/>
        <w:jc w:val="both"/>
        <w:rPr>
          <w:rFonts w:eastAsia="Calibri"/>
          <w:sz w:val="24"/>
          <w:lang w:val="fr-FR"/>
        </w:rPr>
      </w:pPr>
    </w:p>
    <w:p w14:paraId="139C8E6F" w14:textId="7216B51E" w:rsidR="00AD75A4" w:rsidRDefault="00AD75A4" w:rsidP="00DB1610">
      <w:pPr>
        <w:pStyle w:val="ListParagraph"/>
        <w:widowControl/>
        <w:autoSpaceDE/>
        <w:autoSpaceDN/>
        <w:adjustRightInd/>
        <w:ind w:left="360"/>
        <w:jc w:val="both"/>
        <w:rPr>
          <w:sz w:val="24"/>
          <w:lang w:val="fr-FR"/>
        </w:rPr>
      </w:pPr>
      <w:r>
        <w:rPr>
          <w:sz w:val="24"/>
          <w:lang w:val="fr-FR"/>
        </w:rPr>
        <w:t>« </w:t>
      </w:r>
      <w:proofErr w:type="gramStart"/>
      <w:r w:rsidR="00194D47">
        <w:rPr>
          <w:sz w:val="24"/>
          <w:lang w:val="fr-FR"/>
        </w:rPr>
        <w:t>exposé</w:t>
      </w:r>
      <w:proofErr w:type="gramEnd"/>
      <w:r w:rsidRPr="00AD75A4">
        <w:rPr>
          <w:sz w:val="24"/>
          <w:lang w:val="fr-FR"/>
        </w:rPr>
        <w:t xml:space="preserve"> </w:t>
      </w:r>
      <w:r w:rsidR="00194D47" w:rsidRPr="00AD75A4">
        <w:rPr>
          <w:sz w:val="24"/>
          <w:lang w:val="fr-FR"/>
        </w:rPr>
        <w:t xml:space="preserve">à l’état sauvage </w:t>
      </w:r>
      <w:r w:rsidRPr="00AD75A4">
        <w:rPr>
          <w:sz w:val="24"/>
          <w:lang w:val="fr-FR"/>
        </w:rPr>
        <w:t xml:space="preserve">à un risque d’extinction </w:t>
      </w:r>
      <w:r w:rsidR="00DE4FFF" w:rsidRPr="00AD75A4">
        <w:rPr>
          <w:sz w:val="24"/>
          <w:lang w:val="fr-FR"/>
        </w:rPr>
        <w:t xml:space="preserve">très élevé </w:t>
      </w:r>
      <w:r w:rsidR="00711110">
        <w:rPr>
          <w:sz w:val="24"/>
          <w:lang w:val="fr-FR"/>
        </w:rPr>
        <w:t>et à court terme</w:t>
      </w:r>
      <w:r>
        <w:rPr>
          <w:sz w:val="24"/>
          <w:lang w:val="fr-FR"/>
        </w:rPr>
        <w:t> » ;</w:t>
      </w:r>
    </w:p>
    <w:p w14:paraId="3172112E" w14:textId="77777777" w:rsidR="00DB1610" w:rsidRPr="00AD75A4" w:rsidRDefault="00DB1610" w:rsidP="00DB1610">
      <w:pPr>
        <w:pStyle w:val="ListParagraph"/>
        <w:widowControl/>
        <w:autoSpaceDE/>
        <w:autoSpaceDN/>
        <w:adjustRightInd/>
        <w:ind w:left="360"/>
        <w:jc w:val="both"/>
        <w:rPr>
          <w:rFonts w:eastAsia="Calibri"/>
          <w:sz w:val="24"/>
          <w:lang w:val="fr-FR"/>
        </w:rPr>
      </w:pPr>
    </w:p>
    <w:p w14:paraId="27217C28" w14:textId="74620ABE" w:rsidR="00977E0C" w:rsidRPr="00DB1610" w:rsidRDefault="00977E0C" w:rsidP="00DB1610">
      <w:pPr>
        <w:widowControl/>
        <w:numPr>
          <w:ilvl w:val="0"/>
          <w:numId w:val="47"/>
        </w:numPr>
        <w:autoSpaceDE/>
        <w:autoSpaceDN/>
        <w:adjustRightInd/>
        <w:ind w:left="0" w:firstLine="3"/>
        <w:jc w:val="both"/>
        <w:rPr>
          <w:rFonts w:eastAsia="Calibri"/>
          <w:sz w:val="24"/>
          <w:lang w:val="fr-FR"/>
        </w:rPr>
      </w:pPr>
      <w:r w:rsidRPr="00AD75A4">
        <w:rPr>
          <w:i/>
          <w:sz w:val="24"/>
          <w:lang w:val="fr-FR"/>
        </w:rPr>
        <w:t>Décide</w:t>
      </w:r>
      <w:r w:rsidRPr="00977E0C">
        <w:rPr>
          <w:sz w:val="24"/>
          <w:lang w:val="fr-FR"/>
        </w:rPr>
        <w:t xml:space="preserve"> que</w:t>
      </w:r>
      <w:r w:rsidR="00DE4FFF">
        <w:rPr>
          <w:sz w:val="24"/>
          <w:lang w:val="fr-FR"/>
        </w:rPr>
        <w:t>,</w:t>
      </w:r>
      <w:r w:rsidRPr="00977E0C">
        <w:rPr>
          <w:sz w:val="24"/>
          <w:lang w:val="fr-FR"/>
        </w:rPr>
        <w:t xml:space="preserve"> dans l</w:t>
      </w:r>
      <w:r w:rsidR="004B2554">
        <w:rPr>
          <w:sz w:val="24"/>
          <w:lang w:val="fr-FR"/>
        </w:rPr>
        <w:t>’</w:t>
      </w:r>
      <w:r w:rsidRPr="00977E0C">
        <w:rPr>
          <w:sz w:val="24"/>
          <w:lang w:val="fr-FR"/>
        </w:rPr>
        <w:t xml:space="preserve">interprétation </w:t>
      </w:r>
      <w:r w:rsidR="001F2B94">
        <w:rPr>
          <w:sz w:val="24"/>
          <w:lang w:val="fr-FR"/>
        </w:rPr>
        <w:t>de l’expression</w:t>
      </w:r>
      <w:r w:rsidRPr="00977E0C">
        <w:rPr>
          <w:sz w:val="24"/>
          <w:lang w:val="fr-FR"/>
        </w:rPr>
        <w:t xml:space="preserve"> </w:t>
      </w:r>
      <w:r w:rsidR="00AD75A4">
        <w:rPr>
          <w:sz w:val="24"/>
          <w:lang w:val="fr-FR"/>
        </w:rPr>
        <w:t>« espèce migratrice »</w:t>
      </w:r>
      <w:r w:rsidRPr="00977E0C">
        <w:rPr>
          <w:sz w:val="24"/>
          <w:lang w:val="fr-FR"/>
        </w:rPr>
        <w:t xml:space="preserve"> </w:t>
      </w:r>
      <w:r w:rsidR="00AD75A4">
        <w:rPr>
          <w:sz w:val="24"/>
          <w:lang w:val="fr-FR"/>
        </w:rPr>
        <w:t xml:space="preserve">au </w:t>
      </w:r>
      <w:r w:rsidR="00AD75A4" w:rsidRPr="00977E0C">
        <w:rPr>
          <w:sz w:val="24"/>
          <w:lang w:val="fr-FR"/>
        </w:rPr>
        <w:t xml:space="preserve">paragraphe 1 (a) </w:t>
      </w:r>
      <w:r w:rsidR="00AD75A4">
        <w:rPr>
          <w:sz w:val="24"/>
          <w:lang w:val="fr-FR"/>
        </w:rPr>
        <w:t>de</w:t>
      </w:r>
      <w:r w:rsidRPr="00977E0C">
        <w:rPr>
          <w:sz w:val="24"/>
          <w:lang w:val="fr-FR"/>
        </w:rPr>
        <w:t xml:space="preserve"> l</w:t>
      </w:r>
      <w:r w:rsidR="004B2554">
        <w:rPr>
          <w:sz w:val="24"/>
          <w:lang w:val="fr-FR"/>
        </w:rPr>
        <w:t>’</w:t>
      </w:r>
      <w:r w:rsidR="00AD75A4">
        <w:rPr>
          <w:sz w:val="24"/>
          <w:lang w:val="fr-FR"/>
        </w:rPr>
        <w:t>article I</w:t>
      </w:r>
      <w:r w:rsidRPr="00977E0C">
        <w:rPr>
          <w:sz w:val="24"/>
          <w:lang w:val="fr-FR"/>
        </w:rPr>
        <w:t xml:space="preserve"> de la Convention</w:t>
      </w:r>
      <w:r w:rsidR="00AD75A4">
        <w:rPr>
          <w:sz w:val="24"/>
          <w:lang w:val="fr-FR"/>
        </w:rPr>
        <w:t> :</w:t>
      </w:r>
      <w:r w:rsidRPr="00977E0C">
        <w:rPr>
          <w:rFonts w:eastAsia="Calibri"/>
          <w:i/>
          <w:sz w:val="24"/>
          <w:lang w:val="fr-FR"/>
        </w:rPr>
        <w:t xml:space="preserve"> </w:t>
      </w:r>
    </w:p>
    <w:p w14:paraId="1C750638" w14:textId="77777777" w:rsidR="00DB1610" w:rsidRPr="00977E0C" w:rsidRDefault="00DB1610" w:rsidP="00DB1610">
      <w:pPr>
        <w:widowControl/>
        <w:autoSpaceDE/>
        <w:autoSpaceDN/>
        <w:adjustRightInd/>
        <w:ind w:left="3"/>
        <w:jc w:val="both"/>
        <w:rPr>
          <w:rFonts w:eastAsia="Calibri"/>
          <w:sz w:val="24"/>
          <w:lang w:val="fr-FR"/>
        </w:rPr>
      </w:pPr>
    </w:p>
    <w:p w14:paraId="5387F399" w14:textId="31189BDB" w:rsidR="00977E0C" w:rsidRDefault="00E969FB" w:rsidP="00DB1610">
      <w:pPr>
        <w:widowControl/>
        <w:ind w:left="720"/>
        <w:jc w:val="both"/>
        <w:rPr>
          <w:sz w:val="24"/>
          <w:lang w:val="fr-FR"/>
        </w:rPr>
      </w:pPr>
      <w:r w:rsidRPr="00977E0C">
        <w:rPr>
          <w:rFonts w:eastAsia="Calibri"/>
          <w:sz w:val="24"/>
          <w:lang w:val="fr-FR" w:eastAsia="en-GB"/>
        </w:rPr>
        <w:t xml:space="preserve"> </w:t>
      </w:r>
      <w:r w:rsidR="00AE5584" w:rsidRPr="00977E0C">
        <w:rPr>
          <w:rFonts w:eastAsia="Calibri"/>
          <w:sz w:val="24"/>
          <w:lang w:val="fr-FR" w:eastAsia="en-GB"/>
        </w:rPr>
        <w:t xml:space="preserve">(i) </w:t>
      </w:r>
      <w:r w:rsidR="00977E0C" w:rsidRPr="00977E0C">
        <w:rPr>
          <w:sz w:val="24"/>
          <w:lang w:val="fr-FR"/>
        </w:rPr>
        <w:t xml:space="preserve">Le </w:t>
      </w:r>
      <w:r w:rsidR="00AD75A4">
        <w:rPr>
          <w:sz w:val="24"/>
          <w:lang w:val="fr-FR"/>
        </w:rPr>
        <w:t>terme « </w:t>
      </w:r>
      <w:r w:rsidR="00977E0C" w:rsidRPr="00977E0C">
        <w:rPr>
          <w:sz w:val="24"/>
          <w:lang w:val="fr-FR"/>
        </w:rPr>
        <w:t>cyclique</w:t>
      </w:r>
      <w:r w:rsidR="00AD75A4">
        <w:rPr>
          <w:sz w:val="24"/>
          <w:lang w:val="fr-FR"/>
        </w:rPr>
        <w:t>ment »</w:t>
      </w:r>
      <w:r w:rsidR="00977E0C" w:rsidRPr="00977E0C">
        <w:rPr>
          <w:sz w:val="24"/>
          <w:lang w:val="fr-FR"/>
        </w:rPr>
        <w:t xml:space="preserve"> </w:t>
      </w:r>
      <w:r w:rsidR="00D25A6C">
        <w:rPr>
          <w:sz w:val="24"/>
          <w:lang w:val="fr-FR"/>
        </w:rPr>
        <w:t>figurant dans</w:t>
      </w:r>
      <w:r w:rsidR="00977E0C" w:rsidRPr="00977E0C">
        <w:rPr>
          <w:sz w:val="24"/>
          <w:lang w:val="fr-FR"/>
        </w:rPr>
        <w:t xml:space="preserve"> </w:t>
      </w:r>
      <w:r w:rsidR="001F2B94">
        <w:rPr>
          <w:sz w:val="24"/>
          <w:lang w:val="fr-FR"/>
        </w:rPr>
        <w:t>le membre de phrase</w:t>
      </w:r>
      <w:r w:rsidR="00977E0C" w:rsidRPr="00977E0C">
        <w:rPr>
          <w:sz w:val="24"/>
          <w:lang w:val="fr-FR"/>
        </w:rPr>
        <w:t xml:space="preserve"> </w:t>
      </w:r>
      <w:r w:rsidR="00AD75A4">
        <w:rPr>
          <w:sz w:val="24"/>
          <w:lang w:val="fr-FR"/>
        </w:rPr>
        <w:t>« </w:t>
      </w:r>
      <w:r w:rsidR="00977E0C" w:rsidRPr="00977E0C">
        <w:rPr>
          <w:sz w:val="24"/>
          <w:lang w:val="fr-FR"/>
        </w:rPr>
        <w:t>cyclique</w:t>
      </w:r>
      <w:r w:rsidR="00AD75A4">
        <w:rPr>
          <w:sz w:val="24"/>
          <w:lang w:val="fr-FR"/>
        </w:rPr>
        <w:t>ment</w:t>
      </w:r>
      <w:r w:rsidR="00977E0C" w:rsidRPr="00977E0C">
        <w:rPr>
          <w:sz w:val="24"/>
          <w:lang w:val="fr-FR"/>
        </w:rPr>
        <w:t xml:space="preserve"> et </w:t>
      </w:r>
      <w:r w:rsidR="00AD75A4">
        <w:rPr>
          <w:sz w:val="24"/>
          <w:lang w:val="fr-FR"/>
        </w:rPr>
        <w:t xml:space="preserve">de façon </w:t>
      </w:r>
      <w:r w:rsidR="00977E0C" w:rsidRPr="00977E0C">
        <w:rPr>
          <w:sz w:val="24"/>
          <w:lang w:val="fr-FR"/>
        </w:rPr>
        <w:t>prévisible</w:t>
      </w:r>
      <w:r w:rsidR="00AD75A4">
        <w:rPr>
          <w:sz w:val="24"/>
          <w:lang w:val="fr-FR"/>
        </w:rPr>
        <w:t> »</w:t>
      </w:r>
      <w:r w:rsidR="00977E0C" w:rsidRPr="00977E0C">
        <w:rPr>
          <w:sz w:val="24"/>
          <w:lang w:val="fr-FR"/>
        </w:rPr>
        <w:t xml:space="preserve"> se rapporte à un cy</w:t>
      </w:r>
      <w:r w:rsidR="00711110">
        <w:rPr>
          <w:sz w:val="24"/>
          <w:lang w:val="fr-FR"/>
        </w:rPr>
        <w:t xml:space="preserve">cle de </w:t>
      </w:r>
      <w:r w:rsidR="00DE4FFF">
        <w:rPr>
          <w:sz w:val="24"/>
          <w:lang w:val="fr-FR"/>
        </w:rPr>
        <w:t>quelque</w:t>
      </w:r>
      <w:r w:rsidR="00711110">
        <w:rPr>
          <w:sz w:val="24"/>
          <w:lang w:val="fr-FR"/>
        </w:rPr>
        <w:t xml:space="preserve"> nature</w:t>
      </w:r>
      <w:r w:rsidR="00977E0C" w:rsidRPr="00977E0C">
        <w:rPr>
          <w:sz w:val="24"/>
          <w:lang w:val="fr-FR"/>
        </w:rPr>
        <w:t xml:space="preserve"> </w:t>
      </w:r>
      <w:r w:rsidR="00AD75A4">
        <w:rPr>
          <w:sz w:val="24"/>
          <w:lang w:val="fr-FR"/>
        </w:rPr>
        <w:t>que ce soit</w:t>
      </w:r>
      <w:r w:rsidR="00711110">
        <w:rPr>
          <w:sz w:val="24"/>
          <w:lang w:val="fr-FR"/>
        </w:rPr>
        <w:t>,</w:t>
      </w:r>
      <w:r w:rsidR="00977E0C" w:rsidRPr="00977E0C">
        <w:rPr>
          <w:sz w:val="24"/>
          <w:lang w:val="fr-FR"/>
        </w:rPr>
        <w:t xml:space="preserve"> astronomique (circadien, annuel, etc</w:t>
      </w:r>
      <w:r w:rsidR="00AD75A4">
        <w:rPr>
          <w:sz w:val="24"/>
          <w:lang w:val="fr-FR"/>
        </w:rPr>
        <w:t>.</w:t>
      </w:r>
      <w:r w:rsidR="00977E0C" w:rsidRPr="00977E0C">
        <w:rPr>
          <w:sz w:val="24"/>
          <w:lang w:val="fr-FR"/>
        </w:rPr>
        <w:t xml:space="preserve">), </w:t>
      </w:r>
      <w:r w:rsidR="00711110">
        <w:rPr>
          <w:sz w:val="24"/>
          <w:lang w:val="fr-FR"/>
        </w:rPr>
        <w:t>biologique</w:t>
      </w:r>
      <w:r w:rsidR="00DE4FFF">
        <w:rPr>
          <w:sz w:val="24"/>
          <w:lang w:val="fr-FR"/>
        </w:rPr>
        <w:t>,</w:t>
      </w:r>
      <w:r w:rsidR="00977E0C" w:rsidRPr="00977E0C">
        <w:rPr>
          <w:sz w:val="24"/>
          <w:lang w:val="fr-FR"/>
        </w:rPr>
        <w:t xml:space="preserve"> ou climatique, et </w:t>
      </w:r>
      <w:r w:rsidR="005319F2">
        <w:rPr>
          <w:sz w:val="24"/>
          <w:lang w:val="fr-FR"/>
        </w:rPr>
        <w:t xml:space="preserve">de quelque </w:t>
      </w:r>
      <w:r w:rsidR="00977E0C" w:rsidRPr="00977E0C">
        <w:rPr>
          <w:sz w:val="24"/>
          <w:lang w:val="fr-FR"/>
        </w:rPr>
        <w:t>fréquence</w:t>
      </w:r>
      <w:r w:rsidR="005319F2">
        <w:rPr>
          <w:sz w:val="24"/>
          <w:lang w:val="fr-FR"/>
        </w:rPr>
        <w:t xml:space="preserve"> que ce soit</w:t>
      </w:r>
      <w:r w:rsidR="00AD75A4">
        <w:rPr>
          <w:sz w:val="24"/>
          <w:lang w:val="fr-FR"/>
        </w:rPr>
        <w:t> ;</w:t>
      </w:r>
    </w:p>
    <w:p w14:paraId="507C4392" w14:textId="77777777" w:rsidR="00DB1610" w:rsidRDefault="00DB1610" w:rsidP="00DB1610">
      <w:pPr>
        <w:widowControl/>
        <w:ind w:left="720"/>
        <w:jc w:val="both"/>
        <w:rPr>
          <w:sz w:val="24"/>
          <w:lang w:val="fr-FR"/>
        </w:rPr>
      </w:pPr>
    </w:p>
    <w:p w14:paraId="1CC2C29D" w14:textId="62AB8F86" w:rsidR="00977E0C" w:rsidRDefault="00DE4FFF" w:rsidP="00DB1610">
      <w:pPr>
        <w:widowControl/>
        <w:ind w:left="720"/>
        <w:jc w:val="both"/>
        <w:rPr>
          <w:sz w:val="24"/>
          <w:lang w:val="fr-FR"/>
        </w:rPr>
      </w:pPr>
      <w:r w:rsidRPr="00977E0C">
        <w:rPr>
          <w:rFonts w:eastAsia="Calibri"/>
          <w:sz w:val="24"/>
          <w:lang w:val="fr-FR" w:eastAsia="en-GB"/>
        </w:rPr>
        <w:t xml:space="preserve"> </w:t>
      </w:r>
      <w:r w:rsidR="00AE5584" w:rsidRPr="00977E0C">
        <w:rPr>
          <w:rFonts w:eastAsia="Calibri"/>
          <w:sz w:val="24"/>
          <w:lang w:val="fr-FR" w:eastAsia="en-GB"/>
        </w:rPr>
        <w:t xml:space="preserve">(ii) </w:t>
      </w:r>
      <w:r w:rsidR="00977E0C" w:rsidRPr="00977E0C">
        <w:rPr>
          <w:sz w:val="24"/>
          <w:lang w:val="fr-FR"/>
        </w:rPr>
        <w:t xml:space="preserve">Le </w:t>
      </w:r>
      <w:r w:rsidR="00AD75A4" w:rsidRPr="00AD75A4">
        <w:rPr>
          <w:sz w:val="24"/>
          <w:lang w:val="fr-FR"/>
        </w:rPr>
        <w:t xml:space="preserve">terme </w:t>
      </w:r>
      <w:r w:rsidR="00977E0C" w:rsidRPr="00977E0C">
        <w:rPr>
          <w:sz w:val="24"/>
          <w:lang w:val="fr-FR"/>
        </w:rPr>
        <w:t>«</w:t>
      </w:r>
      <w:r w:rsidR="00AD75A4">
        <w:rPr>
          <w:sz w:val="24"/>
          <w:lang w:val="fr-FR"/>
        </w:rPr>
        <w:t> </w:t>
      </w:r>
      <w:r w:rsidR="00977E0C" w:rsidRPr="00977E0C">
        <w:rPr>
          <w:sz w:val="24"/>
          <w:lang w:val="fr-FR"/>
        </w:rPr>
        <w:t>prévisible</w:t>
      </w:r>
      <w:r w:rsidR="00AD75A4">
        <w:rPr>
          <w:sz w:val="24"/>
          <w:lang w:val="fr-FR"/>
        </w:rPr>
        <w:t> </w:t>
      </w:r>
      <w:r w:rsidR="00977E0C" w:rsidRPr="00977E0C">
        <w:rPr>
          <w:sz w:val="24"/>
          <w:lang w:val="fr-FR"/>
        </w:rPr>
        <w:t xml:space="preserve">» </w:t>
      </w:r>
      <w:r w:rsidR="00D25A6C">
        <w:rPr>
          <w:sz w:val="24"/>
          <w:lang w:val="fr-FR"/>
        </w:rPr>
        <w:t>figurant</w:t>
      </w:r>
      <w:r w:rsidR="00977E0C" w:rsidRPr="00977E0C">
        <w:rPr>
          <w:sz w:val="24"/>
          <w:lang w:val="fr-FR"/>
        </w:rPr>
        <w:t xml:space="preserve"> </w:t>
      </w:r>
      <w:r w:rsidR="00D25A6C">
        <w:rPr>
          <w:sz w:val="24"/>
          <w:lang w:val="fr-FR"/>
        </w:rPr>
        <w:t xml:space="preserve">dans </w:t>
      </w:r>
      <w:r w:rsidR="001F2B94" w:rsidRPr="001F2B94">
        <w:rPr>
          <w:sz w:val="24"/>
          <w:lang w:val="fr-FR"/>
        </w:rPr>
        <w:t xml:space="preserve">le membre de phrase </w:t>
      </w:r>
      <w:r w:rsidR="00977E0C" w:rsidRPr="00977E0C">
        <w:rPr>
          <w:sz w:val="24"/>
          <w:lang w:val="fr-FR"/>
        </w:rPr>
        <w:t>«</w:t>
      </w:r>
      <w:r w:rsidR="00711110">
        <w:rPr>
          <w:sz w:val="24"/>
          <w:lang w:val="fr-FR"/>
        </w:rPr>
        <w:t> </w:t>
      </w:r>
      <w:r w:rsidR="00AD75A4" w:rsidRPr="00AD75A4">
        <w:rPr>
          <w:sz w:val="24"/>
          <w:lang w:val="fr-FR"/>
        </w:rPr>
        <w:t>cycliquement et de façon prévisible »</w:t>
      </w:r>
      <w:r w:rsidR="00EA20A4">
        <w:rPr>
          <w:sz w:val="24"/>
          <w:lang w:val="fr-FR"/>
        </w:rPr>
        <w:t xml:space="preserve"> </w:t>
      </w:r>
      <w:r w:rsidR="00711110">
        <w:rPr>
          <w:sz w:val="24"/>
          <w:lang w:val="fr-FR"/>
        </w:rPr>
        <w:t>signifie</w:t>
      </w:r>
      <w:r w:rsidR="00977E0C" w:rsidRPr="00977E0C">
        <w:rPr>
          <w:sz w:val="24"/>
          <w:lang w:val="fr-FR"/>
        </w:rPr>
        <w:t xml:space="preserve"> qu</w:t>
      </w:r>
      <w:r w:rsidR="004B2554">
        <w:rPr>
          <w:sz w:val="24"/>
          <w:lang w:val="fr-FR"/>
        </w:rPr>
        <w:t>’</w:t>
      </w:r>
      <w:r w:rsidR="00EA20A4">
        <w:rPr>
          <w:sz w:val="24"/>
          <w:lang w:val="fr-FR"/>
        </w:rPr>
        <w:t xml:space="preserve">il est prévu que ce </w:t>
      </w:r>
      <w:r w:rsidR="00977E0C" w:rsidRPr="00977E0C">
        <w:rPr>
          <w:sz w:val="24"/>
          <w:lang w:val="fr-FR"/>
        </w:rPr>
        <w:t>phénomène se reprodui</w:t>
      </w:r>
      <w:r w:rsidR="00EA20A4">
        <w:rPr>
          <w:sz w:val="24"/>
          <w:lang w:val="fr-FR"/>
        </w:rPr>
        <w:t>se</w:t>
      </w:r>
      <w:r w:rsidR="00977E0C" w:rsidRPr="00977E0C">
        <w:rPr>
          <w:sz w:val="24"/>
          <w:lang w:val="fr-FR"/>
        </w:rPr>
        <w:t xml:space="preserve"> dans </w:t>
      </w:r>
      <w:r w:rsidR="00EA20A4">
        <w:rPr>
          <w:sz w:val="24"/>
          <w:lang w:val="fr-FR"/>
        </w:rPr>
        <w:t>certaines</w:t>
      </w:r>
      <w:r w:rsidR="00977E0C" w:rsidRPr="00977E0C">
        <w:rPr>
          <w:sz w:val="24"/>
          <w:lang w:val="fr-FR"/>
        </w:rPr>
        <w:t xml:space="preserve"> circonstances, </w:t>
      </w:r>
      <w:r w:rsidR="00D25A6C">
        <w:rPr>
          <w:sz w:val="24"/>
          <w:lang w:val="fr-FR"/>
        </w:rPr>
        <w:t>sans qu’il ait</w:t>
      </w:r>
      <w:r w:rsidR="00977E0C" w:rsidRPr="00977E0C">
        <w:rPr>
          <w:sz w:val="24"/>
          <w:lang w:val="fr-FR"/>
        </w:rPr>
        <w:t xml:space="preserve"> nécessairement </w:t>
      </w:r>
      <w:r w:rsidR="00D25A6C">
        <w:rPr>
          <w:sz w:val="24"/>
          <w:lang w:val="fr-FR"/>
        </w:rPr>
        <w:t>une périodicité régulière </w:t>
      </w:r>
      <w:r w:rsidR="00EA20A4">
        <w:rPr>
          <w:sz w:val="24"/>
          <w:lang w:val="fr-FR"/>
        </w:rPr>
        <w:t>;</w:t>
      </w:r>
    </w:p>
    <w:p w14:paraId="4A391ED7" w14:textId="77777777" w:rsidR="00DB1610" w:rsidRDefault="00DB1610" w:rsidP="00DB1610">
      <w:pPr>
        <w:widowControl/>
        <w:ind w:left="720"/>
        <w:jc w:val="both"/>
        <w:rPr>
          <w:sz w:val="24"/>
          <w:lang w:val="fr-FR"/>
        </w:rPr>
      </w:pPr>
    </w:p>
    <w:p w14:paraId="1F4DF30F" w14:textId="3A30F725" w:rsidR="00977E0C" w:rsidRPr="00DB1610" w:rsidRDefault="00977E0C" w:rsidP="00DB1610">
      <w:pPr>
        <w:widowControl/>
        <w:numPr>
          <w:ilvl w:val="0"/>
          <w:numId w:val="47"/>
        </w:numPr>
        <w:autoSpaceDE/>
        <w:autoSpaceDN/>
        <w:adjustRightInd/>
        <w:ind w:left="0" w:firstLine="0"/>
        <w:jc w:val="both"/>
        <w:rPr>
          <w:rFonts w:eastAsia="Calibri"/>
          <w:sz w:val="24"/>
          <w:lang w:val="fr-FR"/>
        </w:rPr>
      </w:pPr>
      <w:r w:rsidRPr="00EA20A4">
        <w:rPr>
          <w:i/>
          <w:sz w:val="24"/>
          <w:lang w:val="fr-FR"/>
        </w:rPr>
        <w:t xml:space="preserve">Décide </w:t>
      </w:r>
      <w:r w:rsidR="008C0AAB">
        <w:rPr>
          <w:sz w:val="24"/>
          <w:lang w:val="fr-FR"/>
        </w:rPr>
        <w:t>qu’</w:t>
      </w:r>
      <w:r w:rsidRPr="00C74077">
        <w:rPr>
          <w:sz w:val="24"/>
          <w:lang w:val="fr-FR"/>
        </w:rPr>
        <w:t>en vertu du principe de précaution et en cas d</w:t>
      </w:r>
      <w:r w:rsidR="004B2554">
        <w:rPr>
          <w:sz w:val="24"/>
          <w:lang w:val="fr-FR"/>
        </w:rPr>
        <w:t>’</w:t>
      </w:r>
      <w:r w:rsidRPr="00C74077">
        <w:rPr>
          <w:sz w:val="24"/>
          <w:lang w:val="fr-FR"/>
        </w:rPr>
        <w:t xml:space="preserve">incertitude concernant </w:t>
      </w:r>
      <w:r w:rsidR="00EA20A4">
        <w:rPr>
          <w:sz w:val="24"/>
          <w:lang w:val="fr-FR"/>
        </w:rPr>
        <w:t>l’état</w:t>
      </w:r>
      <w:r w:rsidRPr="00C74077">
        <w:rPr>
          <w:sz w:val="24"/>
          <w:lang w:val="fr-FR"/>
        </w:rPr>
        <w:t xml:space="preserve"> d</w:t>
      </w:r>
      <w:r w:rsidR="004B2554">
        <w:rPr>
          <w:sz w:val="24"/>
          <w:lang w:val="fr-FR"/>
        </w:rPr>
        <w:t>’</w:t>
      </w:r>
      <w:r w:rsidRPr="00C74077">
        <w:rPr>
          <w:sz w:val="24"/>
          <w:lang w:val="fr-FR"/>
        </w:rPr>
        <w:t xml:space="preserve">une espèce, les </w:t>
      </w:r>
      <w:r w:rsidR="00EA20A4">
        <w:rPr>
          <w:sz w:val="24"/>
          <w:lang w:val="fr-FR"/>
        </w:rPr>
        <w:t>P</w:t>
      </w:r>
      <w:r w:rsidRPr="00C74077">
        <w:rPr>
          <w:sz w:val="24"/>
          <w:lang w:val="fr-FR"/>
        </w:rPr>
        <w:t>arties doivent agir dans le meilleur intérêt de conservation de l</w:t>
      </w:r>
      <w:r w:rsidR="004B2554">
        <w:rPr>
          <w:sz w:val="24"/>
          <w:lang w:val="fr-FR"/>
        </w:rPr>
        <w:t>’</w:t>
      </w:r>
      <w:r w:rsidRPr="00C74077">
        <w:rPr>
          <w:sz w:val="24"/>
          <w:lang w:val="fr-FR"/>
        </w:rPr>
        <w:t>espèce et, lors de l</w:t>
      </w:r>
      <w:r w:rsidR="004B2554">
        <w:rPr>
          <w:sz w:val="24"/>
          <w:lang w:val="fr-FR"/>
        </w:rPr>
        <w:t>’</w:t>
      </w:r>
      <w:r w:rsidRPr="00C74077">
        <w:rPr>
          <w:sz w:val="24"/>
          <w:lang w:val="fr-FR"/>
        </w:rPr>
        <w:t>examen des propositions d</w:t>
      </w:r>
      <w:r w:rsidR="004B2554">
        <w:rPr>
          <w:sz w:val="24"/>
          <w:lang w:val="fr-FR"/>
        </w:rPr>
        <w:t>’</w:t>
      </w:r>
      <w:r w:rsidRPr="00C74077">
        <w:rPr>
          <w:sz w:val="24"/>
          <w:lang w:val="fr-FR"/>
        </w:rPr>
        <w:t>amendement de</w:t>
      </w:r>
      <w:r w:rsidR="005319F2">
        <w:rPr>
          <w:sz w:val="24"/>
          <w:lang w:val="fr-FR"/>
        </w:rPr>
        <w:t xml:space="preserve"> l’</w:t>
      </w:r>
      <w:r w:rsidRPr="00C74077">
        <w:rPr>
          <w:sz w:val="24"/>
          <w:lang w:val="fr-FR"/>
        </w:rPr>
        <w:t xml:space="preserve">Annexe I ou II, </w:t>
      </w:r>
      <w:r w:rsidR="005319F2">
        <w:rPr>
          <w:sz w:val="24"/>
          <w:lang w:val="fr-FR"/>
        </w:rPr>
        <w:t xml:space="preserve">doivent </w:t>
      </w:r>
      <w:r w:rsidRPr="00C74077">
        <w:rPr>
          <w:sz w:val="24"/>
          <w:lang w:val="fr-FR"/>
        </w:rPr>
        <w:t xml:space="preserve">adopter des mesures </w:t>
      </w:r>
      <w:r w:rsidR="00EA20A4">
        <w:rPr>
          <w:sz w:val="24"/>
          <w:lang w:val="fr-FR"/>
        </w:rPr>
        <w:t>tenant compte des</w:t>
      </w:r>
      <w:r w:rsidRPr="00C74077">
        <w:rPr>
          <w:sz w:val="24"/>
          <w:lang w:val="fr-FR"/>
        </w:rPr>
        <w:t xml:space="preserve"> risques </w:t>
      </w:r>
      <w:r w:rsidR="005319F2">
        <w:rPr>
          <w:sz w:val="24"/>
          <w:lang w:val="fr-FR"/>
        </w:rPr>
        <w:t>encourus par</w:t>
      </w:r>
      <w:r w:rsidRPr="00C74077">
        <w:rPr>
          <w:sz w:val="24"/>
          <w:lang w:val="fr-FR"/>
        </w:rPr>
        <w:t xml:space="preserve"> </w:t>
      </w:r>
      <w:r w:rsidR="008C0AAB">
        <w:rPr>
          <w:sz w:val="24"/>
          <w:lang w:val="fr-FR"/>
        </w:rPr>
        <w:t>l’</w:t>
      </w:r>
      <w:r w:rsidRPr="00C74077">
        <w:rPr>
          <w:sz w:val="24"/>
          <w:lang w:val="fr-FR"/>
        </w:rPr>
        <w:t>espèce</w:t>
      </w:r>
      <w:r w:rsidR="00EA20A4">
        <w:rPr>
          <w:sz w:val="24"/>
          <w:lang w:val="fr-FR"/>
        </w:rPr>
        <w:t> ;</w:t>
      </w:r>
    </w:p>
    <w:p w14:paraId="0C61000A" w14:textId="77777777" w:rsidR="00DB1610" w:rsidRPr="00C74077" w:rsidRDefault="00DB1610" w:rsidP="00DB1610">
      <w:pPr>
        <w:widowControl/>
        <w:autoSpaceDE/>
        <w:autoSpaceDN/>
        <w:adjustRightInd/>
        <w:jc w:val="both"/>
        <w:rPr>
          <w:rFonts w:eastAsia="Calibri"/>
          <w:sz w:val="24"/>
          <w:lang w:val="fr-FR"/>
        </w:rPr>
      </w:pPr>
    </w:p>
    <w:p w14:paraId="275A049C" w14:textId="30690C2E" w:rsidR="00977E0C" w:rsidRPr="00DB1610" w:rsidRDefault="00977E0C" w:rsidP="00DB1610">
      <w:pPr>
        <w:widowControl/>
        <w:numPr>
          <w:ilvl w:val="0"/>
          <w:numId w:val="47"/>
        </w:numPr>
        <w:autoSpaceDE/>
        <w:autoSpaceDN/>
        <w:adjustRightInd/>
        <w:ind w:left="0" w:firstLine="0"/>
        <w:jc w:val="both"/>
        <w:rPr>
          <w:rFonts w:eastAsia="Calibri"/>
          <w:sz w:val="24"/>
          <w:lang w:val="fr-FR"/>
        </w:rPr>
      </w:pPr>
      <w:r w:rsidRPr="00EA20A4">
        <w:rPr>
          <w:i/>
          <w:sz w:val="24"/>
          <w:lang w:val="fr-FR"/>
        </w:rPr>
        <w:t>Décide</w:t>
      </w:r>
      <w:r w:rsidRPr="00977E0C">
        <w:rPr>
          <w:sz w:val="24"/>
          <w:lang w:val="fr-FR"/>
        </w:rPr>
        <w:t xml:space="preserve"> d</w:t>
      </w:r>
      <w:r w:rsidR="004B2554">
        <w:rPr>
          <w:sz w:val="24"/>
          <w:lang w:val="fr-FR"/>
        </w:rPr>
        <w:t>’</w:t>
      </w:r>
      <w:r w:rsidRPr="00977E0C">
        <w:rPr>
          <w:sz w:val="24"/>
          <w:lang w:val="fr-FR"/>
        </w:rPr>
        <w:t xml:space="preserve">utiliser les catégories et critères </w:t>
      </w:r>
      <w:r w:rsidR="00EA20A4" w:rsidRPr="00977E0C">
        <w:rPr>
          <w:sz w:val="24"/>
          <w:lang w:val="fr-FR"/>
        </w:rPr>
        <w:t>de la Liste rouge de l</w:t>
      </w:r>
      <w:r w:rsidR="00EA20A4">
        <w:rPr>
          <w:sz w:val="24"/>
          <w:lang w:val="fr-FR"/>
        </w:rPr>
        <w:t>’</w:t>
      </w:r>
      <w:r w:rsidR="00EA20A4" w:rsidRPr="00977E0C">
        <w:rPr>
          <w:sz w:val="24"/>
          <w:lang w:val="fr-FR"/>
        </w:rPr>
        <w:t xml:space="preserve">UICN </w:t>
      </w:r>
      <w:r w:rsidRPr="00977E0C">
        <w:rPr>
          <w:sz w:val="24"/>
          <w:lang w:val="fr-FR"/>
        </w:rPr>
        <w:t>(version 3.1, deuxième édition), tel</w:t>
      </w:r>
      <w:r w:rsidR="00711110">
        <w:rPr>
          <w:sz w:val="24"/>
          <w:lang w:val="fr-FR"/>
        </w:rPr>
        <w:t>s</w:t>
      </w:r>
      <w:r w:rsidRPr="00977E0C">
        <w:rPr>
          <w:sz w:val="24"/>
          <w:lang w:val="fr-FR"/>
        </w:rPr>
        <w:t xml:space="preserve"> que documenté</w:t>
      </w:r>
      <w:r w:rsidR="00711110">
        <w:rPr>
          <w:sz w:val="24"/>
          <w:lang w:val="fr-FR"/>
        </w:rPr>
        <w:t>s</w:t>
      </w:r>
      <w:r w:rsidRPr="00977E0C">
        <w:rPr>
          <w:sz w:val="24"/>
          <w:lang w:val="fr-FR"/>
        </w:rPr>
        <w:t xml:space="preserve"> dans les lignes directrices </w:t>
      </w:r>
      <w:r w:rsidR="00711110">
        <w:rPr>
          <w:sz w:val="24"/>
          <w:lang w:val="fr-FR"/>
        </w:rPr>
        <w:t xml:space="preserve">figurant </w:t>
      </w:r>
      <w:r w:rsidR="00EA20A4">
        <w:rPr>
          <w:sz w:val="24"/>
          <w:lang w:val="fr-FR"/>
        </w:rPr>
        <w:t xml:space="preserve">en </w:t>
      </w:r>
      <w:r w:rsidRPr="00977E0C">
        <w:rPr>
          <w:sz w:val="24"/>
          <w:lang w:val="fr-FR"/>
        </w:rPr>
        <w:t xml:space="preserve">annexe de la présente résolution, en tant que guide </w:t>
      </w:r>
      <w:r w:rsidR="00711110">
        <w:rPr>
          <w:sz w:val="24"/>
          <w:lang w:val="fr-FR"/>
        </w:rPr>
        <w:t>pour</w:t>
      </w:r>
      <w:r w:rsidRPr="00977E0C">
        <w:rPr>
          <w:sz w:val="24"/>
          <w:lang w:val="fr-FR"/>
        </w:rPr>
        <w:t xml:space="preserve"> l</w:t>
      </w:r>
      <w:r w:rsidR="004B2554">
        <w:rPr>
          <w:sz w:val="24"/>
          <w:lang w:val="fr-FR"/>
        </w:rPr>
        <w:t>’</w:t>
      </w:r>
      <w:r w:rsidRPr="00977E0C">
        <w:rPr>
          <w:sz w:val="24"/>
          <w:lang w:val="fr-FR"/>
        </w:rPr>
        <w:t>évaluation des propositions d</w:t>
      </w:r>
      <w:r w:rsidR="004B2554">
        <w:rPr>
          <w:sz w:val="24"/>
          <w:lang w:val="fr-FR"/>
        </w:rPr>
        <w:t>’</w:t>
      </w:r>
      <w:r w:rsidRPr="00977E0C">
        <w:rPr>
          <w:sz w:val="24"/>
          <w:lang w:val="fr-FR"/>
        </w:rPr>
        <w:t>inscription d</w:t>
      </w:r>
      <w:r w:rsidR="004B2554">
        <w:rPr>
          <w:sz w:val="24"/>
          <w:lang w:val="fr-FR"/>
        </w:rPr>
        <w:t>’</w:t>
      </w:r>
      <w:r w:rsidRPr="00977E0C">
        <w:rPr>
          <w:sz w:val="24"/>
          <w:lang w:val="fr-FR"/>
        </w:rPr>
        <w:t xml:space="preserve">espèces migratrices </w:t>
      </w:r>
      <w:r w:rsidR="00EA20A4">
        <w:rPr>
          <w:sz w:val="24"/>
          <w:lang w:val="fr-FR"/>
        </w:rPr>
        <w:t>aux Annexes I et II ;</w:t>
      </w:r>
    </w:p>
    <w:p w14:paraId="004B429F" w14:textId="77777777" w:rsidR="00DB1610" w:rsidRPr="00977E0C" w:rsidRDefault="00DB1610" w:rsidP="00DB1610">
      <w:pPr>
        <w:widowControl/>
        <w:autoSpaceDE/>
        <w:autoSpaceDN/>
        <w:adjustRightInd/>
        <w:jc w:val="both"/>
        <w:rPr>
          <w:rFonts w:eastAsia="Calibri"/>
          <w:sz w:val="24"/>
          <w:lang w:val="fr-FR"/>
        </w:rPr>
      </w:pPr>
    </w:p>
    <w:p w14:paraId="36BB19DE" w14:textId="62479012" w:rsidR="00977E0C" w:rsidRPr="00DB1610" w:rsidRDefault="008C0AAB" w:rsidP="00DB1610">
      <w:pPr>
        <w:widowControl/>
        <w:numPr>
          <w:ilvl w:val="0"/>
          <w:numId w:val="47"/>
        </w:numPr>
        <w:autoSpaceDE/>
        <w:autoSpaceDN/>
        <w:adjustRightInd/>
        <w:ind w:left="0" w:firstLine="0"/>
        <w:jc w:val="both"/>
        <w:rPr>
          <w:rFonts w:eastAsia="Calibri"/>
          <w:sz w:val="24"/>
          <w:lang w:val="fr-FR"/>
        </w:rPr>
      </w:pPr>
      <w:r>
        <w:rPr>
          <w:i/>
          <w:sz w:val="24"/>
          <w:lang w:val="fr-FR"/>
        </w:rPr>
        <w:t>Convient</w:t>
      </w:r>
      <w:r w:rsidR="00977E0C" w:rsidRPr="00977E0C">
        <w:rPr>
          <w:sz w:val="24"/>
          <w:lang w:val="fr-FR"/>
        </w:rPr>
        <w:t xml:space="preserve"> que les principes énoncés dans l</w:t>
      </w:r>
      <w:r w:rsidR="004B2554">
        <w:rPr>
          <w:sz w:val="24"/>
          <w:lang w:val="fr-FR"/>
        </w:rPr>
        <w:t>’</w:t>
      </w:r>
      <w:r w:rsidR="00977E0C" w:rsidRPr="00977E0C">
        <w:rPr>
          <w:sz w:val="24"/>
          <w:lang w:val="fr-FR"/>
        </w:rPr>
        <w:t xml:space="preserve">annexe </w:t>
      </w:r>
      <w:r w:rsidR="00711110">
        <w:rPr>
          <w:sz w:val="24"/>
          <w:lang w:val="fr-FR"/>
        </w:rPr>
        <w:t>à</w:t>
      </w:r>
      <w:r w:rsidR="00977E0C" w:rsidRPr="00977E0C">
        <w:rPr>
          <w:sz w:val="24"/>
          <w:lang w:val="fr-FR"/>
        </w:rPr>
        <w:t xml:space="preserve"> la présente résolution seront appliqués </w:t>
      </w:r>
      <w:r w:rsidR="00EA20A4">
        <w:rPr>
          <w:sz w:val="24"/>
          <w:lang w:val="fr-FR"/>
        </w:rPr>
        <w:t>dès à présent</w:t>
      </w:r>
      <w:r w:rsidR="00977E0C" w:rsidRPr="00977E0C">
        <w:rPr>
          <w:sz w:val="24"/>
          <w:lang w:val="fr-FR"/>
        </w:rPr>
        <w:t>, et qu</w:t>
      </w:r>
      <w:r w:rsidR="004B2554">
        <w:rPr>
          <w:sz w:val="24"/>
          <w:lang w:val="fr-FR"/>
        </w:rPr>
        <w:t>’</w:t>
      </w:r>
      <w:r w:rsidR="00977E0C" w:rsidRPr="00977E0C">
        <w:rPr>
          <w:sz w:val="24"/>
          <w:lang w:val="fr-FR"/>
        </w:rPr>
        <w:t xml:space="preserve">aucun examen ou application </w:t>
      </w:r>
      <w:r w:rsidR="00EA20A4">
        <w:rPr>
          <w:sz w:val="24"/>
          <w:lang w:val="fr-FR"/>
        </w:rPr>
        <w:t>n’</w:t>
      </w:r>
      <w:r w:rsidR="00977E0C" w:rsidRPr="00977E0C">
        <w:rPr>
          <w:sz w:val="24"/>
          <w:lang w:val="fr-FR"/>
        </w:rPr>
        <w:t xml:space="preserve">est </w:t>
      </w:r>
      <w:r w:rsidR="00EA20A4">
        <w:rPr>
          <w:sz w:val="24"/>
          <w:lang w:val="fr-FR"/>
        </w:rPr>
        <w:t>prévu </w:t>
      </w:r>
      <w:r>
        <w:rPr>
          <w:sz w:val="24"/>
          <w:lang w:val="fr-FR"/>
        </w:rPr>
        <w:t xml:space="preserve">de manière </w:t>
      </w:r>
      <w:r w:rsidRPr="00977E0C">
        <w:rPr>
          <w:sz w:val="24"/>
          <w:lang w:val="fr-FR"/>
        </w:rPr>
        <w:t>rétrospecti</w:t>
      </w:r>
      <w:r>
        <w:rPr>
          <w:sz w:val="24"/>
          <w:lang w:val="fr-FR"/>
        </w:rPr>
        <w:t>ve </w:t>
      </w:r>
      <w:r w:rsidR="00EA20A4">
        <w:rPr>
          <w:sz w:val="24"/>
          <w:lang w:val="fr-FR"/>
        </w:rPr>
        <w:t>;</w:t>
      </w:r>
    </w:p>
    <w:p w14:paraId="6E6EF939" w14:textId="77777777" w:rsidR="00DB1610" w:rsidRPr="00977E0C" w:rsidRDefault="00DB1610" w:rsidP="00DB1610">
      <w:pPr>
        <w:widowControl/>
        <w:autoSpaceDE/>
        <w:autoSpaceDN/>
        <w:adjustRightInd/>
        <w:jc w:val="both"/>
        <w:rPr>
          <w:rFonts w:eastAsia="Calibri"/>
          <w:sz w:val="24"/>
          <w:lang w:val="fr-FR"/>
        </w:rPr>
      </w:pPr>
    </w:p>
    <w:p w14:paraId="4337654B" w14:textId="2511BD2A" w:rsidR="00977E0C" w:rsidRPr="00DB1610" w:rsidRDefault="00EA20A4" w:rsidP="00DB1610">
      <w:pPr>
        <w:widowControl/>
        <w:numPr>
          <w:ilvl w:val="0"/>
          <w:numId w:val="47"/>
        </w:numPr>
        <w:autoSpaceDE/>
        <w:autoSpaceDN/>
        <w:adjustRightInd/>
        <w:ind w:left="0" w:firstLine="0"/>
        <w:jc w:val="both"/>
        <w:rPr>
          <w:rFonts w:eastAsia="Calibri"/>
          <w:sz w:val="24"/>
          <w:lang w:val="fr-FR"/>
        </w:rPr>
      </w:pPr>
      <w:r w:rsidRPr="00EA20A4">
        <w:rPr>
          <w:i/>
          <w:sz w:val="24"/>
          <w:lang w:val="fr-FR"/>
        </w:rPr>
        <w:t>C</w:t>
      </w:r>
      <w:r w:rsidR="00977E0C" w:rsidRPr="00EA20A4">
        <w:rPr>
          <w:i/>
          <w:sz w:val="24"/>
          <w:lang w:val="fr-FR"/>
        </w:rPr>
        <w:t>harge</w:t>
      </w:r>
      <w:r w:rsidR="00977E0C" w:rsidRPr="00977E0C">
        <w:rPr>
          <w:sz w:val="24"/>
          <w:lang w:val="fr-FR"/>
        </w:rPr>
        <w:t xml:space="preserve"> le Conseil scientifique de la CMS et le Secrétariat de mettre à jour la </w:t>
      </w:r>
      <w:r>
        <w:rPr>
          <w:sz w:val="24"/>
          <w:lang w:val="fr-FR"/>
        </w:rPr>
        <w:t>r</w:t>
      </w:r>
      <w:r w:rsidR="00977E0C" w:rsidRPr="00977E0C">
        <w:rPr>
          <w:sz w:val="24"/>
          <w:lang w:val="fr-FR"/>
        </w:rPr>
        <w:t>ésolution 1.5 en développant un nouveau modèle et de</w:t>
      </w:r>
      <w:r w:rsidR="009E4421">
        <w:rPr>
          <w:sz w:val="24"/>
          <w:lang w:val="fr-FR"/>
        </w:rPr>
        <w:t xml:space="preserve"> nouvelles </w:t>
      </w:r>
      <w:r w:rsidR="00F5187D">
        <w:rPr>
          <w:sz w:val="24"/>
          <w:lang w:val="fr-FR"/>
        </w:rPr>
        <w:t>lignes directrices</w:t>
      </w:r>
      <w:r w:rsidR="00977E0C" w:rsidRPr="00977E0C">
        <w:rPr>
          <w:sz w:val="24"/>
          <w:lang w:val="fr-FR"/>
        </w:rPr>
        <w:t xml:space="preserve"> pour la rédaction de</w:t>
      </w:r>
      <w:r w:rsidR="007F2F11">
        <w:rPr>
          <w:sz w:val="24"/>
          <w:lang w:val="fr-FR"/>
        </w:rPr>
        <w:t>s</w:t>
      </w:r>
      <w:r w:rsidR="00977E0C" w:rsidRPr="00977E0C">
        <w:rPr>
          <w:sz w:val="24"/>
          <w:lang w:val="fr-FR"/>
        </w:rPr>
        <w:t xml:space="preserve"> propositions d</w:t>
      </w:r>
      <w:r w:rsidR="004B2554">
        <w:rPr>
          <w:sz w:val="24"/>
          <w:lang w:val="fr-FR"/>
        </w:rPr>
        <w:t>’</w:t>
      </w:r>
      <w:r w:rsidR="009E4421">
        <w:rPr>
          <w:sz w:val="24"/>
          <w:lang w:val="fr-FR"/>
        </w:rPr>
        <w:t>inscription</w:t>
      </w:r>
      <w:r w:rsidR="007F2F11">
        <w:rPr>
          <w:sz w:val="24"/>
          <w:lang w:val="fr-FR"/>
        </w:rPr>
        <w:t>,</w:t>
      </w:r>
      <w:r w:rsidR="009E4421">
        <w:rPr>
          <w:sz w:val="24"/>
          <w:lang w:val="fr-FR"/>
        </w:rPr>
        <w:t xml:space="preserve"> </w:t>
      </w:r>
      <w:r w:rsidR="00F5187D">
        <w:rPr>
          <w:sz w:val="24"/>
          <w:lang w:val="fr-FR"/>
        </w:rPr>
        <w:t>suivant</w:t>
      </w:r>
      <w:r w:rsidR="00977E0C" w:rsidRPr="00977E0C">
        <w:rPr>
          <w:sz w:val="24"/>
          <w:lang w:val="fr-FR"/>
        </w:rPr>
        <w:t xml:space="preserve"> l</w:t>
      </w:r>
      <w:r w:rsidR="004B2554">
        <w:rPr>
          <w:sz w:val="24"/>
          <w:lang w:val="fr-FR"/>
        </w:rPr>
        <w:t>’</w:t>
      </w:r>
      <w:r w:rsidR="00977E0C" w:rsidRPr="00977E0C">
        <w:rPr>
          <w:sz w:val="24"/>
          <w:lang w:val="fr-FR"/>
        </w:rPr>
        <w:t xml:space="preserve">annexe </w:t>
      </w:r>
      <w:r w:rsidR="009E4421">
        <w:rPr>
          <w:sz w:val="24"/>
          <w:lang w:val="fr-FR"/>
        </w:rPr>
        <w:t>à</w:t>
      </w:r>
      <w:r w:rsidR="00977E0C" w:rsidRPr="00977E0C">
        <w:rPr>
          <w:sz w:val="24"/>
          <w:lang w:val="fr-FR"/>
        </w:rPr>
        <w:t xml:space="preserve"> la présente résolution, pour adoption par la 44</w:t>
      </w:r>
      <w:r w:rsidR="00F5187D">
        <w:rPr>
          <w:sz w:val="24"/>
          <w:vertAlign w:val="superscript"/>
          <w:lang w:val="fr-FR"/>
        </w:rPr>
        <w:t>ème</w:t>
      </w:r>
      <w:r w:rsidR="00F5187D">
        <w:rPr>
          <w:sz w:val="24"/>
          <w:lang w:val="fr-FR"/>
        </w:rPr>
        <w:t xml:space="preserve"> </w:t>
      </w:r>
      <w:r w:rsidR="00F5187D" w:rsidRPr="00977E0C">
        <w:rPr>
          <w:sz w:val="24"/>
          <w:lang w:val="fr-FR"/>
        </w:rPr>
        <w:t xml:space="preserve">ou </w:t>
      </w:r>
      <w:r w:rsidR="009E4421">
        <w:rPr>
          <w:sz w:val="24"/>
          <w:lang w:val="fr-FR"/>
        </w:rPr>
        <w:t xml:space="preserve">la </w:t>
      </w:r>
      <w:r w:rsidR="00F5187D" w:rsidRPr="00977E0C">
        <w:rPr>
          <w:sz w:val="24"/>
          <w:lang w:val="fr-FR"/>
        </w:rPr>
        <w:t>45</w:t>
      </w:r>
      <w:r w:rsidR="00F5187D">
        <w:rPr>
          <w:sz w:val="24"/>
          <w:vertAlign w:val="superscript"/>
          <w:lang w:val="fr-FR"/>
        </w:rPr>
        <w:t>ème</w:t>
      </w:r>
      <w:r w:rsidR="00F5187D">
        <w:rPr>
          <w:sz w:val="24"/>
          <w:lang w:val="fr-FR"/>
        </w:rPr>
        <w:t xml:space="preserve"> </w:t>
      </w:r>
      <w:r w:rsidR="00977E0C" w:rsidRPr="00977E0C">
        <w:rPr>
          <w:sz w:val="24"/>
          <w:lang w:val="fr-FR"/>
        </w:rPr>
        <w:t xml:space="preserve">réunion du Comité permanent </w:t>
      </w:r>
      <w:r w:rsidR="009E4421">
        <w:rPr>
          <w:sz w:val="24"/>
          <w:lang w:val="fr-FR"/>
        </w:rPr>
        <w:t>dans un délai permettant</w:t>
      </w:r>
      <w:r w:rsidR="00977E0C" w:rsidRPr="00977E0C">
        <w:rPr>
          <w:sz w:val="24"/>
          <w:lang w:val="fr-FR"/>
        </w:rPr>
        <w:t xml:space="preserve"> </w:t>
      </w:r>
      <w:r w:rsidR="00F5187D">
        <w:rPr>
          <w:sz w:val="24"/>
          <w:lang w:val="fr-FR"/>
        </w:rPr>
        <w:t>leur</w:t>
      </w:r>
      <w:r w:rsidR="00977E0C" w:rsidRPr="00977E0C">
        <w:rPr>
          <w:sz w:val="24"/>
          <w:lang w:val="fr-FR"/>
        </w:rPr>
        <w:t xml:space="preserve"> utilisation pour </w:t>
      </w:r>
      <w:r w:rsidR="00F5187D">
        <w:rPr>
          <w:sz w:val="24"/>
          <w:lang w:val="fr-FR"/>
        </w:rPr>
        <w:t>l</w:t>
      </w:r>
      <w:r w:rsidR="00977E0C" w:rsidRPr="00977E0C">
        <w:rPr>
          <w:sz w:val="24"/>
          <w:lang w:val="fr-FR"/>
        </w:rPr>
        <w:t>es propositions à soumettre à la Conférence des Parties à sa 12</w:t>
      </w:r>
      <w:r w:rsidR="00F5187D" w:rsidRPr="00F5187D">
        <w:rPr>
          <w:sz w:val="24"/>
          <w:vertAlign w:val="superscript"/>
          <w:lang w:val="fr-FR"/>
        </w:rPr>
        <w:t>ème</w:t>
      </w:r>
      <w:r w:rsidR="00F5187D">
        <w:rPr>
          <w:sz w:val="24"/>
          <w:lang w:val="fr-FR"/>
        </w:rPr>
        <w:t xml:space="preserve"> session ;</w:t>
      </w:r>
    </w:p>
    <w:p w14:paraId="325C0382" w14:textId="77777777" w:rsidR="00DB1610" w:rsidRDefault="00DB1610" w:rsidP="00DB1610">
      <w:pPr>
        <w:widowControl/>
        <w:autoSpaceDE/>
        <w:autoSpaceDN/>
        <w:adjustRightInd/>
        <w:jc w:val="both"/>
        <w:rPr>
          <w:rFonts w:eastAsia="Calibri"/>
          <w:sz w:val="24"/>
          <w:lang w:val="fr-FR"/>
        </w:rPr>
      </w:pPr>
    </w:p>
    <w:p w14:paraId="415A0A36" w14:textId="77777777" w:rsidR="00DB1610" w:rsidRPr="00977E0C" w:rsidRDefault="00DB1610" w:rsidP="00DB1610">
      <w:pPr>
        <w:widowControl/>
        <w:autoSpaceDE/>
        <w:autoSpaceDN/>
        <w:adjustRightInd/>
        <w:jc w:val="both"/>
        <w:rPr>
          <w:rFonts w:eastAsia="Calibri"/>
          <w:sz w:val="24"/>
          <w:lang w:val="fr-FR"/>
        </w:rPr>
      </w:pPr>
    </w:p>
    <w:p w14:paraId="73A3B497" w14:textId="3FA53E76" w:rsidR="00977E0C" w:rsidRPr="00DB1610" w:rsidRDefault="00DB1610" w:rsidP="00DB1610">
      <w:pPr>
        <w:widowControl/>
        <w:numPr>
          <w:ilvl w:val="0"/>
          <w:numId w:val="47"/>
        </w:numPr>
        <w:autoSpaceDE/>
        <w:autoSpaceDN/>
        <w:adjustRightInd/>
        <w:ind w:left="720" w:hanging="720"/>
        <w:jc w:val="both"/>
        <w:rPr>
          <w:rFonts w:eastAsia="Calibri"/>
          <w:sz w:val="24"/>
          <w:lang w:val="fr-FR"/>
        </w:rPr>
      </w:pPr>
      <w:r w:rsidRPr="001442FB">
        <w:rPr>
          <w:rFonts w:eastAsia="Calibri"/>
          <w:sz w:val="24"/>
          <w:lang w:val="fr-FR"/>
        </w:rPr>
        <w:lastRenderedPageBreak/>
        <w:t>[</w:t>
      </w:r>
      <w:r w:rsidR="00977E0C" w:rsidRPr="00F5187D">
        <w:rPr>
          <w:i/>
          <w:sz w:val="24"/>
          <w:lang w:val="fr-FR"/>
        </w:rPr>
        <w:t>Prie</w:t>
      </w:r>
      <w:r w:rsidR="00977E0C" w:rsidRPr="00977E0C">
        <w:rPr>
          <w:sz w:val="24"/>
          <w:lang w:val="fr-FR"/>
        </w:rPr>
        <w:t xml:space="preserve"> le Conseil scientifique et le Secrétariat </w:t>
      </w:r>
      <w:r w:rsidR="00F5187D">
        <w:rPr>
          <w:sz w:val="24"/>
          <w:lang w:val="fr-FR"/>
        </w:rPr>
        <w:t>de </w:t>
      </w:r>
      <w:r w:rsidR="00977E0C" w:rsidRPr="00977E0C">
        <w:rPr>
          <w:sz w:val="24"/>
          <w:lang w:val="fr-FR"/>
        </w:rPr>
        <w:t>:</w:t>
      </w:r>
    </w:p>
    <w:p w14:paraId="36468F30" w14:textId="77777777" w:rsidR="00DB1610" w:rsidRPr="00977E0C" w:rsidRDefault="00DB1610" w:rsidP="00DB1610">
      <w:pPr>
        <w:widowControl/>
        <w:autoSpaceDE/>
        <w:autoSpaceDN/>
        <w:adjustRightInd/>
        <w:ind w:left="720"/>
        <w:jc w:val="both"/>
        <w:rPr>
          <w:rFonts w:eastAsia="Calibri"/>
          <w:sz w:val="24"/>
          <w:lang w:val="fr-FR"/>
        </w:rPr>
      </w:pPr>
    </w:p>
    <w:p w14:paraId="5605E9CC" w14:textId="03E1009A" w:rsidR="00977E0C" w:rsidRPr="00DB1610" w:rsidRDefault="00F5187D" w:rsidP="00DB1610">
      <w:pPr>
        <w:widowControl/>
        <w:numPr>
          <w:ilvl w:val="1"/>
          <w:numId w:val="47"/>
        </w:numPr>
        <w:autoSpaceDE/>
        <w:autoSpaceDN/>
        <w:adjustRightInd/>
        <w:ind w:left="1440" w:hanging="720"/>
        <w:jc w:val="both"/>
        <w:rPr>
          <w:rFonts w:eastAsia="Calibri"/>
          <w:sz w:val="24"/>
          <w:lang w:val="fr-FR"/>
        </w:rPr>
      </w:pPr>
      <w:r w:rsidRPr="00977E0C">
        <w:rPr>
          <w:sz w:val="24"/>
          <w:lang w:val="fr-FR"/>
        </w:rPr>
        <w:t>É</w:t>
      </w:r>
      <w:r w:rsidR="00977E0C" w:rsidRPr="00977E0C">
        <w:rPr>
          <w:sz w:val="24"/>
          <w:lang w:val="fr-FR"/>
        </w:rPr>
        <w:t>laborer des lignes directrices plus détaillées pour l</w:t>
      </w:r>
      <w:r w:rsidR="004B2554">
        <w:rPr>
          <w:sz w:val="24"/>
          <w:lang w:val="fr-FR"/>
        </w:rPr>
        <w:t>’</w:t>
      </w:r>
      <w:r w:rsidR="00977E0C" w:rsidRPr="00977E0C">
        <w:rPr>
          <w:sz w:val="24"/>
          <w:lang w:val="fr-FR"/>
        </w:rPr>
        <w:t>évaluation des propositions d</w:t>
      </w:r>
      <w:r w:rsidR="004B2554">
        <w:rPr>
          <w:sz w:val="24"/>
          <w:lang w:val="fr-FR"/>
        </w:rPr>
        <w:t>’</w:t>
      </w:r>
      <w:r w:rsidR="00977E0C" w:rsidRPr="00977E0C">
        <w:rPr>
          <w:sz w:val="24"/>
          <w:lang w:val="fr-FR"/>
        </w:rPr>
        <w:t xml:space="preserve">inscription, en tenant compte des exigences de la Convention, </w:t>
      </w:r>
      <w:r>
        <w:rPr>
          <w:sz w:val="24"/>
          <w:lang w:val="fr-FR"/>
        </w:rPr>
        <w:t>de la r</w:t>
      </w:r>
      <w:r w:rsidR="00977E0C" w:rsidRPr="00977E0C">
        <w:rPr>
          <w:sz w:val="24"/>
          <w:lang w:val="fr-FR"/>
        </w:rPr>
        <w:t>ésolution</w:t>
      </w:r>
      <w:r>
        <w:rPr>
          <w:sz w:val="24"/>
          <w:lang w:val="fr-FR"/>
        </w:rPr>
        <w:t> </w:t>
      </w:r>
      <w:r w:rsidR="00977E0C" w:rsidRPr="00977E0C">
        <w:rPr>
          <w:sz w:val="24"/>
          <w:lang w:val="fr-FR"/>
        </w:rPr>
        <w:t>3.1, et d</w:t>
      </w:r>
      <w:r w:rsidR="004B2554">
        <w:rPr>
          <w:sz w:val="24"/>
          <w:lang w:val="fr-FR"/>
        </w:rPr>
        <w:t>’</w:t>
      </w:r>
      <w:r w:rsidR="00977E0C" w:rsidRPr="00977E0C">
        <w:rPr>
          <w:sz w:val="24"/>
          <w:lang w:val="fr-FR"/>
        </w:rPr>
        <w:t>autres documents p</w:t>
      </w:r>
      <w:r>
        <w:rPr>
          <w:sz w:val="24"/>
          <w:lang w:val="fr-FR"/>
        </w:rPr>
        <w:t>o</w:t>
      </w:r>
      <w:r w:rsidR="00977E0C" w:rsidRPr="00977E0C">
        <w:rPr>
          <w:sz w:val="24"/>
          <w:lang w:val="fr-FR"/>
        </w:rPr>
        <w:t>uv</w:t>
      </w:r>
      <w:r>
        <w:rPr>
          <w:sz w:val="24"/>
          <w:lang w:val="fr-FR"/>
        </w:rPr>
        <w:t>ant être pertinents comme la r</w:t>
      </w:r>
      <w:r w:rsidR="00977E0C" w:rsidRPr="00977E0C">
        <w:rPr>
          <w:sz w:val="24"/>
          <w:lang w:val="fr-FR"/>
        </w:rPr>
        <w:t>ésolution</w:t>
      </w:r>
      <w:r>
        <w:rPr>
          <w:sz w:val="24"/>
          <w:lang w:val="fr-FR"/>
        </w:rPr>
        <w:t> </w:t>
      </w:r>
      <w:r w:rsidR="00977E0C" w:rsidRPr="00977E0C">
        <w:rPr>
          <w:sz w:val="24"/>
          <w:lang w:val="fr-FR"/>
        </w:rPr>
        <w:t>9.24 (</w:t>
      </w:r>
      <w:proofErr w:type="spellStart"/>
      <w:r w:rsidR="00977E0C" w:rsidRPr="00977E0C">
        <w:rPr>
          <w:sz w:val="24"/>
          <w:lang w:val="fr-FR"/>
        </w:rPr>
        <w:t>Rev</w:t>
      </w:r>
      <w:proofErr w:type="spellEnd"/>
      <w:r w:rsidR="00977E0C" w:rsidRPr="00977E0C">
        <w:rPr>
          <w:sz w:val="24"/>
          <w:lang w:val="fr-FR"/>
        </w:rPr>
        <w:t>. CoP16)</w:t>
      </w:r>
      <w:r>
        <w:rPr>
          <w:sz w:val="24"/>
          <w:lang w:val="fr-FR"/>
        </w:rPr>
        <w:t xml:space="preserve"> de la </w:t>
      </w:r>
      <w:r w:rsidRPr="00977E0C">
        <w:rPr>
          <w:sz w:val="24"/>
          <w:lang w:val="fr-FR"/>
        </w:rPr>
        <w:t>CITES</w:t>
      </w:r>
      <w:r w:rsidR="00977E0C" w:rsidRPr="00977E0C">
        <w:rPr>
          <w:sz w:val="24"/>
          <w:lang w:val="fr-FR"/>
        </w:rPr>
        <w:t>, et les critères de la Liste rouge de l</w:t>
      </w:r>
      <w:r w:rsidR="004B2554">
        <w:rPr>
          <w:sz w:val="24"/>
          <w:lang w:val="fr-FR"/>
        </w:rPr>
        <w:t>’</w:t>
      </w:r>
      <w:r w:rsidR="00977E0C" w:rsidRPr="00977E0C">
        <w:rPr>
          <w:sz w:val="24"/>
          <w:lang w:val="fr-FR"/>
        </w:rPr>
        <w:t>UICN</w:t>
      </w:r>
      <w:r>
        <w:rPr>
          <w:sz w:val="24"/>
          <w:lang w:val="fr-FR"/>
        </w:rPr>
        <w:t> ;</w:t>
      </w:r>
    </w:p>
    <w:p w14:paraId="4BEFE88C" w14:textId="77777777" w:rsidR="00DB1610" w:rsidRPr="00977E0C" w:rsidRDefault="00DB1610" w:rsidP="00DB1610">
      <w:pPr>
        <w:widowControl/>
        <w:autoSpaceDE/>
        <w:autoSpaceDN/>
        <w:adjustRightInd/>
        <w:ind w:left="1080"/>
        <w:jc w:val="both"/>
        <w:rPr>
          <w:rFonts w:eastAsia="Calibri"/>
          <w:sz w:val="24"/>
          <w:lang w:val="fr-FR"/>
        </w:rPr>
      </w:pPr>
    </w:p>
    <w:p w14:paraId="7C70A4EE" w14:textId="3492AACE" w:rsidR="00977E0C" w:rsidRPr="00DB1610" w:rsidRDefault="00F5187D" w:rsidP="00DB1610">
      <w:pPr>
        <w:widowControl/>
        <w:numPr>
          <w:ilvl w:val="1"/>
          <w:numId w:val="47"/>
        </w:numPr>
        <w:autoSpaceDE/>
        <w:autoSpaceDN/>
        <w:adjustRightInd/>
        <w:ind w:left="1440" w:hanging="720"/>
        <w:jc w:val="both"/>
        <w:rPr>
          <w:rFonts w:eastAsia="Calibri"/>
          <w:sz w:val="24"/>
          <w:lang w:val="fr-FR"/>
        </w:rPr>
      </w:pPr>
      <w:r>
        <w:rPr>
          <w:sz w:val="24"/>
          <w:lang w:val="fr-FR"/>
        </w:rPr>
        <w:t>P</w:t>
      </w:r>
      <w:r w:rsidR="00977E0C" w:rsidRPr="00C74077">
        <w:rPr>
          <w:sz w:val="24"/>
          <w:lang w:val="fr-FR"/>
        </w:rPr>
        <w:t>réparer un rapport sur les résultats des travaux entrepris</w:t>
      </w:r>
      <w:r w:rsidR="007F2F11">
        <w:rPr>
          <w:sz w:val="24"/>
          <w:lang w:val="fr-FR"/>
        </w:rPr>
        <w:t>,</w:t>
      </w:r>
      <w:r w:rsidR="00977E0C" w:rsidRPr="00C74077">
        <w:rPr>
          <w:sz w:val="24"/>
          <w:lang w:val="fr-FR"/>
        </w:rPr>
        <w:t xml:space="preserve"> pour examen à la 19</w:t>
      </w:r>
      <w:r w:rsidRPr="00F5187D">
        <w:rPr>
          <w:sz w:val="24"/>
          <w:vertAlign w:val="superscript"/>
          <w:lang w:val="fr-FR"/>
        </w:rPr>
        <w:t>ème</w:t>
      </w:r>
      <w:r>
        <w:rPr>
          <w:sz w:val="24"/>
          <w:lang w:val="fr-FR"/>
        </w:rPr>
        <w:t> </w:t>
      </w:r>
      <w:r w:rsidR="00977E0C" w:rsidRPr="00C74077">
        <w:rPr>
          <w:sz w:val="24"/>
          <w:lang w:val="fr-FR"/>
        </w:rPr>
        <w:t>réunion du Conseil scientifique</w:t>
      </w:r>
      <w:r>
        <w:rPr>
          <w:sz w:val="24"/>
          <w:lang w:val="fr-FR"/>
        </w:rPr>
        <w:t> </w:t>
      </w:r>
      <w:r w:rsidR="00977E0C" w:rsidRPr="00C74077">
        <w:rPr>
          <w:sz w:val="24"/>
          <w:lang w:val="fr-FR"/>
        </w:rPr>
        <w:t>; et</w:t>
      </w:r>
      <w:r w:rsidR="00977E0C" w:rsidRPr="00C74077">
        <w:rPr>
          <w:rFonts w:eastAsia="Calibri"/>
          <w:bCs/>
          <w:sz w:val="24"/>
          <w:lang w:val="fr-FR"/>
        </w:rPr>
        <w:t xml:space="preserve"> </w:t>
      </w:r>
    </w:p>
    <w:p w14:paraId="4DB920F8" w14:textId="77777777" w:rsidR="00DB1610" w:rsidRPr="00C74077" w:rsidRDefault="00DB1610" w:rsidP="00DB1610">
      <w:pPr>
        <w:widowControl/>
        <w:autoSpaceDE/>
        <w:autoSpaceDN/>
        <w:adjustRightInd/>
        <w:ind w:left="1440" w:hanging="720"/>
        <w:jc w:val="both"/>
        <w:rPr>
          <w:rFonts w:eastAsia="Calibri"/>
          <w:sz w:val="24"/>
          <w:lang w:val="fr-FR"/>
        </w:rPr>
      </w:pPr>
    </w:p>
    <w:p w14:paraId="6DCB7764" w14:textId="0BE0505A" w:rsidR="00977E0C" w:rsidRPr="00DB1610" w:rsidRDefault="00F5187D" w:rsidP="00DB1610">
      <w:pPr>
        <w:widowControl/>
        <w:numPr>
          <w:ilvl w:val="1"/>
          <w:numId w:val="47"/>
        </w:numPr>
        <w:autoSpaceDE/>
        <w:autoSpaceDN/>
        <w:adjustRightInd/>
        <w:ind w:left="1440" w:hanging="720"/>
        <w:jc w:val="both"/>
        <w:rPr>
          <w:rFonts w:eastAsia="Calibri"/>
          <w:sz w:val="24"/>
          <w:lang w:val="fr-FR"/>
        </w:rPr>
      </w:pPr>
      <w:r>
        <w:rPr>
          <w:sz w:val="24"/>
          <w:lang w:val="fr-FR"/>
        </w:rPr>
        <w:t>P</w:t>
      </w:r>
      <w:r w:rsidR="00977E0C" w:rsidRPr="00977E0C">
        <w:rPr>
          <w:sz w:val="24"/>
          <w:lang w:val="fr-FR"/>
        </w:rPr>
        <w:t xml:space="preserve">réparer un projet de résolution </w:t>
      </w:r>
      <w:r w:rsidR="009F2F87">
        <w:rPr>
          <w:sz w:val="24"/>
          <w:lang w:val="fr-FR"/>
        </w:rPr>
        <w:t xml:space="preserve">portant </w:t>
      </w:r>
      <w:r w:rsidR="00977E0C" w:rsidRPr="00977E0C">
        <w:rPr>
          <w:sz w:val="24"/>
          <w:lang w:val="fr-FR"/>
        </w:rPr>
        <w:t xml:space="preserve">sur </w:t>
      </w:r>
      <w:r w:rsidR="009F2F87">
        <w:rPr>
          <w:sz w:val="24"/>
          <w:lang w:val="fr-FR"/>
        </w:rPr>
        <w:t>d</w:t>
      </w:r>
      <w:r w:rsidR="00977E0C" w:rsidRPr="00977E0C">
        <w:rPr>
          <w:sz w:val="24"/>
          <w:lang w:val="fr-FR"/>
        </w:rPr>
        <w:t xml:space="preserve">es lignes directrices plus détaillées pour la </w:t>
      </w:r>
      <w:r w:rsidR="009F2F87">
        <w:rPr>
          <w:sz w:val="24"/>
          <w:lang w:val="fr-FR"/>
        </w:rPr>
        <w:t>soumission</w:t>
      </w:r>
      <w:r w:rsidR="00977E0C" w:rsidRPr="00977E0C">
        <w:rPr>
          <w:sz w:val="24"/>
          <w:lang w:val="fr-FR"/>
        </w:rPr>
        <w:t xml:space="preserve"> et l</w:t>
      </w:r>
      <w:r w:rsidR="004B2554">
        <w:rPr>
          <w:sz w:val="24"/>
          <w:lang w:val="fr-FR"/>
        </w:rPr>
        <w:t>’</w:t>
      </w:r>
      <w:r w:rsidR="00977E0C" w:rsidRPr="00977E0C">
        <w:rPr>
          <w:sz w:val="24"/>
          <w:lang w:val="fr-FR"/>
        </w:rPr>
        <w:t>évaluation des propositions d</w:t>
      </w:r>
      <w:r w:rsidR="004B2554">
        <w:rPr>
          <w:sz w:val="24"/>
          <w:lang w:val="fr-FR"/>
        </w:rPr>
        <w:t>’</w:t>
      </w:r>
      <w:r w:rsidR="00977E0C" w:rsidRPr="00977E0C">
        <w:rPr>
          <w:sz w:val="24"/>
          <w:lang w:val="fr-FR"/>
        </w:rPr>
        <w:t>inscription</w:t>
      </w:r>
      <w:r w:rsidR="009F2F87">
        <w:rPr>
          <w:sz w:val="24"/>
          <w:lang w:val="fr-FR"/>
        </w:rPr>
        <w:t xml:space="preserve"> aux annexes</w:t>
      </w:r>
      <w:r>
        <w:rPr>
          <w:sz w:val="24"/>
          <w:lang w:val="fr-FR"/>
        </w:rPr>
        <w:t>,</w:t>
      </w:r>
      <w:r w:rsidR="00977E0C" w:rsidRPr="00977E0C">
        <w:rPr>
          <w:sz w:val="24"/>
          <w:lang w:val="fr-FR"/>
        </w:rPr>
        <w:t xml:space="preserve"> pour examen par la Conférence des Parties à sa 12</w:t>
      </w:r>
      <w:r w:rsidRPr="00F5187D">
        <w:rPr>
          <w:sz w:val="24"/>
          <w:vertAlign w:val="superscript"/>
          <w:lang w:val="fr-FR"/>
        </w:rPr>
        <w:t>ème</w:t>
      </w:r>
      <w:r>
        <w:rPr>
          <w:sz w:val="24"/>
          <w:lang w:val="fr-FR"/>
        </w:rPr>
        <w:t xml:space="preserve"> </w:t>
      </w:r>
      <w:r w:rsidR="00977E0C" w:rsidRPr="00977E0C">
        <w:rPr>
          <w:sz w:val="24"/>
          <w:lang w:val="fr-FR"/>
        </w:rPr>
        <w:t>session</w:t>
      </w:r>
      <w:r w:rsidR="009E4421">
        <w:rPr>
          <w:sz w:val="24"/>
          <w:lang w:val="fr-FR"/>
        </w:rPr>
        <w:t> </w:t>
      </w:r>
      <w:r w:rsidR="00977E0C" w:rsidRPr="00977E0C">
        <w:rPr>
          <w:sz w:val="24"/>
          <w:lang w:val="fr-FR"/>
        </w:rPr>
        <w:t>;]</w:t>
      </w:r>
    </w:p>
    <w:p w14:paraId="5232A954" w14:textId="77777777" w:rsidR="00DB1610" w:rsidRPr="00977E0C" w:rsidRDefault="00DB1610" w:rsidP="00DB1610">
      <w:pPr>
        <w:widowControl/>
        <w:autoSpaceDE/>
        <w:autoSpaceDN/>
        <w:adjustRightInd/>
        <w:ind w:left="1080"/>
        <w:jc w:val="both"/>
        <w:rPr>
          <w:rFonts w:eastAsia="Calibri"/>
          <w:sz w:val="24"/>
          <w:lang w:val="fr-FR"/>
        </w:rPr>
      </w:pPr>
    </w:p>
    <w:p w14:paraId="1A813A43" w14:textId="69BF5949" w:rsidR="00977E0C" w:rsidRPr="00DB1610" w:rsidRDefault="00977E0C" w:rsidP="00DB1610">
      <w:pPr>
        <w:widowControl/>
        <w:numPr>
          <w:ilvl w:val="0"/>
          <w:numId w:val="47"/>
        </w:numPr>
        <w:autoSpaceDE/>
        <w:autoSpaceDN/>
        <w:adjustRightInd/>
        <w:ind w:left="0" w:firstLine="0"/>
        <w:jc w:val="both"/>
        <w:rPr>
          <w:rFonts w:eastAsia="Calibri"/>
          <w:sz w:val="24"/>
          <w:lang w:val="fr-FR"/>
        </w:rPr>
      </w:pPr>
      <w:r w:rsidRPr="00F5187D">
        <w:rPr>
          <w:i/>
          <w:sz w:val="24"/>
          <w:lang w:val="fr-FR"/>
        </w:rPr>
        <w:t>Prie</w:t>
      </w:r>
      <w:r w:rsidRPr="00C74077">
        <w:rPr>
          <w:sz w:val="24"/>
          <w:lang w:val="fr-FR"/>
        </w:rPr>
        <w:t xml:space="preserve"> le Secrétariat de consulter d</w:t>
      </w:r>
      <w:r w:rsidR="004B2554">
        <w:rPr>
          <w:sz w:val="24"/>
          <w:lang w:val="fr-FR"/>
        </w:rPr>
        <w:t>’</w:t>
      </w:r>
      <w:r w:rsidRPr="00C74077">
        <w:rPr>
          <w:sz w:val="24"/>
          <w:lang w:val="fr-FR"/>
        </w:rPr>
        <w:t xml:space="preserve">autres organismes intergouvernementaux compétents ayant une fonction en relation avec </w:t>
      </w:r>
      <w:r w:rsidR="009F2F87">
        <w:rPr>
          <w:sz w:val="24"/>
          <w:lang w:val="fr-FR"/>
        </w:rPr>
        <w:t>toute espèce</w:t>
      </w:r>
      <w:r w:rsidRPr="00C74077">
        <w:rPr>
          <w:sz w:val="24"/>
          <w:lang w:val="fr-FR"/>
        </w:rPr>
        <w:t xml:space="preserve"> </w:t>
      </w:r>
      <w:r w:rsidR="009E4421">
        <w:rPr>
          <w:sz w:val="24"/>
          <w:lang w:val="fr-FR"/>
        </w:rPr>
        <w:t>faisant l’objet</w:t>
      </w:r>
      <w:r w:rsidRPr="00C74077">
        <w:rPr>
          <w:sz w:val="24"/>
          <w:lang w:val="fr-FR"/>
        </w:rPr>
        <w:t xml:space="preserve"> </w:t>
      </w:r>
      <w:r w:rsidR="009E4421">
        <w:rPr>
          <w:sz w:val="24"/>
          <w:lang w:val="fr-FR"/>
        </w:rPr>
        <w:t>d’</w:t>
      </w:r>
      <w:r w:rsidRPr="00C74077">
        <w:rPr>
          <w:sz w:val="24"/>
          <w:lang w:val="fr-FR"/>
        </w:rPr>
        <w:t>une proposition d</w:t>
      </w:r>
      <w:r w:rsidR="004B2554">
        <w:rPr>
          <w:sz w:val="24"/>
          <w:lang w:val="fr-FR"/>
        </w:rPr>
        <w:t>’</w:t>
      </w:r>
      <w:r w:rsidRPr="00C74077">
        <w:rPr>
          <w:sz w:val="24"/>
          <w:lang w:val="fr-FR"/>
        </w:rPr>
        <w:t>amendement des annexes</w:t>
      </w:r>
      <w:r w:rsidR="009F2F87">
        <w:rPr>
          <w:sz w:val="24"/>
          <w:lang w:val="fr-FR"/>
        </w:rPr>
        <w:t> ;</w:t>
      </w:r>
      <w:r w:rsidRPr="00C74077">
        <w:rPr>
          <w:sz w:val="24"/>
          <w:lang w:val="fr-FR"/>
        </w:rPr>
        <w:t xml:space="preserve"> et de </w:t>
      </w:r>
      <w:r w:rsidR="004A4EB9">
        <w:rPr>
          <w:sz w:val="24"/>
          <w:lang w:val="fr-FR"/>
        </w:rPr>
        <w:t>rendre compte des</w:t>
      </w:r>
      <w:r w:rsidRPr="00C74077">
        <w:rPr>
          <w:sz w:val="24"/>
          <w:lang w:val="fr-FR"/>
        </w:rPr>
        <w:t xml:space="preserve"> résu</w:t>
      </w:r>
      <w:r w:rsidR="009F2F87">
        <w:rPr>
          <w:sz w:val="24"/>
          <w:lang w:val="fr-FR"/>
        </w:rPr>
        <w:t xml:space="preserve">ltats de ces consultations à </w:t>
      </w:r>
      <w:r w:rsidRPr="00C74077">
        <w:rPr>
          <w:sz w:val="24"/>
          <w:lang w:val="fr-FR"/>
        </w:rPr>
        <w:t>la Conférence des Parties</w:t>
      </w:r>
      <w:r w:rsidR="004A4EB9">
        <w:rPr>
          <w:sz w:val="24"/>
          <w:lang w:val="fr-FR"/>
        </w:rPr>
        <w:t> </w:t>
      </w:r>
      <w:r w:rsidRPr="00C74077">
        <w:rPr>
          <w:sz w:val="24"/>
          <w:lang w:val="fr-FR"/>
        </w:rPr>
        <w:t>; et</w:t>
      </w:r>
    </w:p>
    <w:p w14:paraId="7C96D02E" w14:textId="77777777" w:rsidR="00DB1610" w:rsidRPr="00C74077" w:rsidRDefault="00DB1610" w:rsidP="00DB1610">
      <w:pPr>
        <w:widowControl/>
        <w:autoSpaceDE/>
        <w:autoSpaceDN/>
        <w:adjustRightInd/>
        <w:jc w:val="both"/>
        <w:rPr>
          <w:rFonts w:eastAsia="Calibri"/>
          <w:sz w:val="24"/>
          <w:lang w:val="fr-FR"/>
        </w:rPr>
      </w:pPr>
    </w:p>
    <w:p w14:paraId="50BF2BCA" w14:textId="6090197C" w:rsidR="00977E0C" w:rsidRPr="00977E0C" w:rsidRDefault="00977E0C" w:rsidP="00DB1610">
      <w:pPr>
        <w:widowControl/>
        <w:numPr>
          <w:ilvl w:val="0"/>
          <w:numId w:val="47"/>
        </w:numPr>
        <w:autoSpaceDE/>
        <w:autoSpaceDN/>
        <w:adjustRightInd/>
        <w:ind w:left="0" w:firstLine="0"/>
        <w:jc w:val="both"/>
        <w:rPr>
          <w:rFonts w:eastAsia="Calibri"/>
          <w:sz w:val="24"/>
          <w:lang w:val="fr-FR"/>
        </w:rPr>
      </w:pPr>
      <w:r w:rsidRPr="004A4EB9">
        <w:rPr>
          <w:i/>
          <w:sz w:val="24"/>
          <w:lang w:val="fr-FR"/>
        </w:rPr>
        <w:t>Décide</w:t>
      </w:r>
      <w:r w:rsidRPr="00977E0C">
        <w:rPr>
          <w:sz w:val="24"/>
          <w:lang w:val="fr-FR"/>
        </w:rPr>
        <w:t xml:space="preserve"> que la présente résolution remplace les résolutions 2.2 et 5.3 pour l</w:t>
      </w:r>
      <w:r w:rsidR="004B2554">
        <w:rPr>
          <w:sz w:val="24"/>
          <w:lang w:val="fr-FR"/>
        </w:rPr>
        <w:t>’</w:t>
      </w:r>
      <w:r w:rsidRPr="00977E0C">
        <w:rPr>
          <w:sz w:val="24"/>
          <w:lang w:val="fr-FR"/>
        </w:rPr>
        <w:t>évaluation des propositions d</w:t>
      </w:r>
      <w:r w:rsidR="004B2554">
        <w:rPr>
          <w:sz w:val="24"/>
          <w:lang w:val="fr-FR"/>
        </w:rPr>
        <w:t>’</w:t>
      </w:r>
      <w:r w:rsidRPr="00977E0C">
        <w:rPr>
          <w:sz w:val="24"/>
          <w:lang w:val="fr-FR"/>
        </w:rPr>
        <w:t>inscription aux Annexes I et II de la Convention.</w:t>
      </w:r>
    </w:p>
    <w:p w14:paraId="12FDB064" w14:textId="77777777" w:rsidR="00931A94" w:rsidRPr="006C72AF" w:rsidRDefault="00931A94" w:rsidP="005B4DC1">
      <w:pPr>
        <w:widowControl/>
        <w:autoSpaceDE/>
        <w:autoSpaceDN/>
        <w:adjustRightInd/>
        <w:spacing w:after="120"/>
        <w:jc w:val="both"/>
        <w:rPr>
          <w:rFonts w:eastAsia="Calibri"/>
          <w:sz w:val="24"/>
          <w:lang w:val="fr-FR"/>
        </w:rPr>
        <w:sectPr w:rsidR="00931A94" w:rsidRPr="006C72AF" w:rsidSect="00BF4956">
          <w:headerReference w:type="even" r:id="rId27"/>
          <w:headerReference w:type="default" r:id="rId28"/>
          <w:pgSz w:w="11906" w:h="16838" w:code="9"/>
          <w:pgMar w:top="1440" w:right="1440" w:bottom="1440" w:left="1440" w:header="567" w:footer="567" w:gutter="0"/>
          <w:cols w:space="708"/>
          <w:docGrid w:linePitch="360"/>
        </w:sectPr>
      </w:pPr>
    </w:p>
    <w:p w14:paraId="12E0A432" w14:textId="1A91E6DA" w:rsidR="00931A94" w:rsidRDefault="001D1C09" w:rsidP="00931A94">
      <w:pPr>
        <w:widowControl/>
        <w:autoSpaceDE/>
        <w:autoSpaceDN/>
        <w:adjustRightInd/>
        <w:spacing w:after="120"/>
        <w:jc w:val="right"/>
        <w:rPr>
          <w:rFonts w:eastAsia="Calibri"/>
          <w:b/>
          <w:sz w:val="24"/>
          <w:lang w:val="fr-FR"/>
        </w:rPr>
      </w:pPr>
      <w:r w:rsidRPr="001D1C09">
        <w:rPr>
          <w:rFonts w:eastAsia="Calibri"/>
          <w:b/>
          <w:sz w:val="24"/>
          <w:lang w:val="fr-FR"/>
        </w:rPr>
        <w:lastRenderedPageBreak/>
        <w:t>Annexe</w:t>
      </w:r>
    </w:p>
    <w:p w14:paraId="3326F432" w14:textId="77777777" w:rsidR="00E90F4A" w:rsidRPr="001D1C09" w:rsidRDefault="00E90F4A" w:rsidP="00931A94">
      <w:pPr>
        <w:widowControl/>
        <w:autoSpaceDE/>
        <w:autoSpaceDN/>
        <w:adjustRightInd/>
        <w:spacing w:after="120"/>
        <w:jc w:val="right"/>
        <w:rPr>
          <w:rFonts w:eastAsia="Calibri"/>
          <w:b/>
          <w:sz w:val="24"/>
          <w:lang w:val="fr-FR"/>
        </w:rPr>
      </w:pPr>
    </w:p>
    <w:p w14:paraId="64BE61E4" w14:textId="37720E42" w:rsidR="001D1C09" w:rsidRDefault="001D1C09" w:rsidP="00931A94">
      <w:pPr>
        <w:widowControl/>
        <w:autoSpaceDE/>
        <w:autoSpaceDN/>
        <w:adjustRightInd/>
        <w:spacing w:after="120"/>
        <w:jc w:val="center"/>
        <w:rPr>
          <w:rFonts w:eastAsia="Calibri"/>
          <w:b/>
          <w:sz w:val="24"/>
          <w:lang w:val="fr-FR"/>
        </w:rPr>
      </w:pPr>
      <w:r w:rsidRPr="001D1C09">
        <w:rPr>
          <w:rFonts w:eastAsia="Calibri"/>
          <w:b/>
          <w:sz w:val="24"/>
          <w:lang w:val="fr-FR"/>
        </w:rPr>
        <w:t>Lignes directrices pour l</w:t>
      </w:r>
      <w:r w:rsidR="004B2554">
        <w:rPr>
          <w:rFonts w:eastAsia="Calibri"/>
          <w:b/>
          <w:sz w:val="24"/>
          <w:lang w:val="fr-FR"/>
        </w:rPr>
        <w:t>’</w:t>
      </w:r>
      <w:r w:rsidRPr="001D1C09">
        <w:rPr>
          <w:rFonts w:eastAsia="Calibri"/>
          <w:b/>
          <w:sz w:val="24"/>
          <w:lang w:val="fr-FR"/>
        </w:rPr>
        <w:t>évaluation des propositions d</w:t>
      </w:r>
      <w:r w:rsidR="004B2554">
        <w:rPr>
          <w:rFonts w:eastAsia="Calibri"/>
          <w:b/>
          <w:sz w:val="24"/>
          <w:lang w:val="fr-FR"/>
        </w:rPr>
        <w:t>’</w:t>
      </w:r>
      <w:r>
        <w:rPr>
          <w:rFonts w:eastAsia="Calibri"/>
          <w:b/>
          <w:sz w:val="24"/>
          <w:lang w:val="fr-FR"/>
        </w:rPr>
        <w:t xml:space="preserve">inscription </w:t>
      </w:r>
      <w:r w:rsidR="00A1537B">
        <w:rPr>
          <w:rFonts w:eastAsia="Calibri"/>
          <w:b/>
          <w:sz w:val="24"/>
          <w:lang w:val="fr-FR"/>
        </w:rPr>
        <w:t xml:space="preserve">aux </w:t>
      </w:r>
      <w:r>
        <w:rPr>
          <w:rFonts w:eastAsia="Calibri"/>
          <w:b/>
          <w:sz w:val="24"/>
          <w:lang w:val="fr-FR"/>
        </w:rPr>
        <w:t>Annexe</w:t>
      </w:r>
      <w:r w:rsidR="00A1537B">
        <w:rPr>
          <w:rFonts w:eastAsia="Calibri"/>
          <w:b/>
          <w:sz w:val="24"/>
          <w:lang w:val="fr-FR"/>
        </w:rPr>
        <w:t>s</w:t>
      </w:r>
      <w:r>
        <w:rPr>
          <w:rFonts w:eastAsia="Calibri"/>
          <w:b/>
          <w:sz w:val="24"/>
          <w:lang w:val="fr-FR"/>
        </w:rPr>
        <w:t xml:space="preserve"> I</w:t>
      </w:r>
      <w:r w:rsidR="00937C65">
        <w:rPr>
          <w:rFonts w:eastAsia="Calibri"/>
          <w:b/>
          <w:sz w:val="24"/>
          <w:lang w:val="fr-FR"/>
        </w:rPr>
        <w:t xml:space="preserve"> et II</w:t>
      </w:r>
    </w:p>
    <w:p w14:paraId="5E019F5F" w14:textId="77777777" w:rsidR="00931A94" w:rsidRPr="006C72AF" w:rsidRDefault="00931A94" w:rsidP="005B4DC1">
      <w:pPr>
        <w:widowControl/>
        <w:autoSpaceDE/>
        <w:autoSpaceDN/>
        <w:adjustRightInd/>
        <w:spacing w:after="120"/>
        <w:jc w:val="both"/>
        <w:rPr>
          <w:rFonts w:eastAsia="Calibri"/>
          <w:b/>
          <w:sz w:val="24"/>
          <w:lang w:val="fr-FR"/>
        </w:rPr>
      </w:pPr>
    </w:p>
    <w:p w14:paraId="4337380A" w14:textId="6C2B3A41" w:rsidR="001D1C09" w:rsidRPr="00766CF2" w:rsidRDefault="00B82A8B" w:rsidP="00766CF2">
      <w:pPr>
        <w:widowControl/>
        <w:numPr>
          <w:ilvl w:val="0"/>
          <w:numId w:val="48"/>
        </w:numPr>
        <w:autoSpaceDE/>
        <w:autoSpaceDN/>
        <w:adjustRightInd/>
        <w:ind w:left="0" w:firstLine="0"/>
        <w:jc w:val="both"/>
        <w:rPr>
          <w:rFonts w:eastAsia="Calibri"/>
          <w:sz w:val="24"/>
          <w:lang w:val="fr-FR"/>
        </w:rPr>
      </w:pPr>
      <w:r>
        <w:rPr>
          <w:sz w:val="24"/>
          <w:lang w:val="fr-FR"/>
        </w:rPr>
        <w:t xml:space="preserve">Les </w:t>
      </w:r>
      <w:r w:rsidR="001D1C09" w:rsidRPr="001D1C09">
        <w:rPr>
          <w:sz w:val="24"/>
          <w:lang w:val="fr-FR"/>
        </w:rPr>
        <w:t>exigences de la CMS pour l</w:t>
      </w:r>
      <w:r w:rsidR="004B2554">
        <w:rPr>
          <w:sz w:val="24"/>
          <w:lang w:val="fr-FR"/>
        </w:rPr>
        <w:t>’</w:t>
      </w:r>
      <w:r>
        <w:rPr>
          <w:sz w:val="24"/>
          <w:lang w:val="fr-FR"/>
        </w:rPr>
        <w:t xml:space="preserve">inscription d’espèces ou de </w:t>
      </w:r>
      <w:r w:rsidR="001D1C09" w:rsidRPr="001D1C09">
        <w:rPr>
          <w:sz w:val="24"/>
          <w:lang w:val="fr-FR"/>
        </w:rPr>
        <w:t>populations à l</w:t>
      </w:r>
      <w:r w:rsidR="004B2554">
        <w:rPr>
          <w:sz w:val="24"/>
          <w:lang w:val="fr-FR"/>
        </w:rPr>
        <w:t>’</w:t>
      </w:r>
      <w:r w:rsidR="001D1C09" w:rsidRPr="001D1C09">
        <w:rPr>
          <w:sz w:val="24"/>
          <w:lang w:val="fr-FR"/>
        </w:rPr>
        <w:t xml:space="preserve">Annexe I sont </w:t>
      </w:r>
      <w:r>
        <w:rPr>
          <w:sz w:val="24"/>
          <w:lang w:val="fr-FR"/>
        </w:rPr>
        <w:t>énoncées</w:t>
      </w:r>
      <w:r w:rsidR="00937C65">
        <w:rPr>
          <w:sz w:val="24"/>
          <w:lang w:val="fr-FR"/>
        </w:rPr>
        <w:t xml:space="preserve"> au paragraphe</w:t>
      </w:r>
      <w:r w:rsidR="001D1C09" w:rsidRPr="001D1C09">
        <w:rPr>
          <w:sz w:val="24"/>
          <w:lang w:val="fr-FR"/>
        </w:rPr>
        <w:t xml:space="preserve"> 1 et </w:t>
      </w:r>
      <w:r w:rsidR="00937C65" w:rsidRPr="00937C65">
        <w:rPr>
          <w:sz w:val="24"/>
          <w:lang w:val="fr-FR"/>
        </w:rPr>
        <w:t xml:space="preserve">au paragraphe </w:t>
      </w:r>
      <w:r w:rsidR="001D1C09" w:rsidRPr="001D1C09">
        <w:rPr>
          <w:sz w:val="24"/>
          <w:lang w:val="fr-FR"/>
        </w:rPr>
        <w:t>2 de l</w:t>
      </w:r>
      <w:r w:rsidR="004B2554">
        <w:rPr>
          <w:sz w:val="24"/>
          <w:lang w:val="fr-FR"/>
        </w:rPr>
        <w:t>’</w:t>
      </w:r>
      <w:r w:rsidR="001D1C09" w:rsidRPr="001D1C09">
        <w:rPr>
          <w:sz w:val="24"/>
          <w:lang w:val="fr-FR"/>
        </w:rPr>
        <w:t>article III</w:t>
      </w:r>
      <w:r>
        <w:rPr>
          <w:sz w:val="24"/>
          <w:lang w:val="fr-FR"/>
        </w:rPr>
        <w:t> :</w:t>
      </w:r>
    </w:p>
    <w:p w14:paraId="0A7E8318" w14:textId="77777777" w:rsidR="00766CF2" w:rsidRPr="001D1C09" w:rsidRDefault="00766CF2" w:rsidP="00766CF2">
      <w:pPr>
        <w:widowControl/>
        <w:autoSpaceDE/>
        <w:autoSpaceDN/>
        <w:adjustRightInd/>
        <w:jc w:val="both"/>
        <w:rPr>
          <w:rFonts w:eastAsia="Calibri"/>
          <w:sz w:val="24"/>
          <w:lang w:val="fr-FR"/>
        </w:rPr>
      </w:pPr>
    </w:p>
    <w:p w14:paraId="06A76032" w14:textId="25CD831A" w:rsidR="001D1C09" w:rsidRDefault="00766CF2" w:rsidP="00766CF2">
      <w:pPr>
        <w:widowControl/>
        <w:autoSpaceDE/>
        <w:autoSpaceDN/>
        <w:adjustRightInd/>
        <w:ind w:firstLine="720"/>
        <w:jc w:val="both"/>
        <w:rPr>
          <w:rFonts w:eastAsia="Calibri"/>
          <w:i/>
          <w:sz w:val="24"/>
          <w:lang w:val="fr-FR"/>
        </w:rPr>
      </w:pPr>
      <w:r>
        <w:rPr>
          <w:sz w:val="24"/>
          <w:lang w:val="fr-FR"/>
        </w:rPr>
        <w:t>i.</w:t>
      </w:r>
      <w:r>
        <w:rPr>
          <w:sz w:val="24"/>
          <w:lang w:val="fr-FR"/>
        </w:rPr>
        <w:tab/>
      </w:r>
      <w:r w:rsidR="00A1537B" w:rsidRPr="00D9288F">
        <w:rPr>
          <w:sz w:val="24"/>
          <w:lang w:val="fr-FR"/>
        </w:rPr>
        <w:t xml:space="preserve"> </w:t>
      </w:r>
      <w:r w:rsidR="00B82A8B" w:rsidRPr="00D9288F">
        <w:rPr>
          <w:sz w:val="24"/>
          <w:lang w:val="fr-FR"/>
        </w:rPr>
        <w:t>« </w:t>
      </w:r>
      <w:r w:rsidR="00B82A8B" w:rsidRPr="00D9288F">
        <w:rPr>
          <w:i/>
          <w:sz w:val="24"/>
          <w:lang w:val="fr-FR"/>
        </w:rPr>
        <w:t>L’</w:t>
      </w:r>
      <w:r w:rsidR="001D1C09" w:rsidRPr="00D9288F">
        <w:rPr>
          <w:i/>
          <w:sz w:val="24"/>
          <w:lang w:val="fr-FR"/>
        </w:rPr>
        <w:t>Annexe I énumère des espèces migratrices en danger</w:t>
      </w:r>
      <w:r w:rsidR="00937C65">
        <w:rPr>
          <w:i/>
          <w:sz w:val="24"/>
          <w:lang w:val="fr-FR"/>
        </w:rPr>
        <w:t> »</w:t>
      </w:r>
      <w:r w:rsidR="00C35E0E">
        <w:rPr>
          <w:i/>
          <w:sz w:val="24"/>
          <w:lang w:val="fr-FR"/>
        </w:rPr>
        <w:t> </w:t>
      </w:r>
      <w:r w:rsidR="00C35E0E" w:rsidRPr="00C35E0E">
        <w:rPr>
          <w:sz w:val="24"/>
          <w:lang w:val="fr-FR"/>
        </w:rPr>
        <w:t>;</w:t>
      </w:r>
      <w:r w:rsidR="001D1C09" w:rsidRPr="00D9288F">
        <w:rPr>
          <w:rFonts w:eastAsia="Calibri"/>
          <w:i/>
          <w:sz w:val="24"/>
          <w:lang w:val="fr-FR"/>
        </w:rPr>
        <w:t xml:space="preserve"> </w:t>
      </w:r>
    </w:p>
    <w:p w14:paraId="023A0D3A" w14:textId="77777777" w:rsidR="00766CF2" w:rsidRPr="00D9288F" w:rsidRDefault="00766CF2" w:rsidP="00766CF2">
      <w:pPr>
        <w:widowControl/>
        <w:autoSpaceDE/>
        <w:autoSpaceDN/>
        <w:adjustRightInd/>
        <w:jc w:val="both"/>
        <w:rPr>
          <w:rFonts w:eastAsia="Calibri"/>
          <w:i/>
          <w:sz w:val="24"/>
          <w:lang w:val="fr-FR"/>
        </w:rPr>
      </w:pPr>
    </w:p>
    <w:p w14:paraId="1A80A1E3" w14:textId="0CDFD6A4" w:rsidR="001D1C09" w:rsidRDefault="00766CF2" w:rsidP="00766CF2">
      <w:pPr>
        <w:widowControl/>
        <w:autoSpaceDE/>
        <w:autoSpaceDN/>
        <w:adjustRightInd/>
        <w:ind w:firstLine="720"/>
        <w:jc w:val="both"/>
        <w:rPr>
          <w:bCs/>
          <w:i/>
          <w:sz w:val="24"/>
          <w:lang w:val="fr-FR"/>
        </w:rPr>
      </w:pPr>
      <w:r>
        <w:rPr>
          <w:bCs/>
          <w:sz w:val="24"/>
          <w:lang w:val="fr-FR"/>
        </w:rPr>
        <w:t>ii.</w:t>
      </w:r>
      <w:r>
        <w:rPr>
          <w:bCs/>
          <w:sz w:val="24"/>
          <w:lang w:val="fr-FR"/>
        </w:rPr>
        <w:tab/>
      </w:r>
      <w:r w:rsidR="00937C65">
        <w:rPr>
          <w:bCs/>
          <w:sz w:val="24"/>
          <w:lang w:val="fr-FR"/>
        </w:rPr>
        <w:t xml:space="preserve"> </w:t>
      </w:r>
      <w:r w:rsidR="00B82A8B">
        <w:rPr>
          <w:bCs/>
          <w:sz w:val="24"/>
          <w:lang w:val="fr-FR"/>
        </w:rPr>
        <w:t>« </w:t>
      </w:r>
      <w:r w:rsidR="00B82A8B" w:rsidRPr="00B82A8B">
        <w:rPr>
          <w:bCs/>
          <w:i/>
          <w:sz w:val="24"/>
          <w:lang w:val="fr-FR"/>
        </w:rPr>
        <w:t>Une espèce migratrice peut figurer à l'Annexe I à condition qu'il soit établi sur la base de données probantes, notamment des meilleures données scientifiques disponibles, que cette espèce est en danger</w:t>
      </w:r>
      <w:r w:rsidR="00937C65">
        <w:rPr>
          <w:bCs/>
          <w:i/>
          <w:sz w:val="24"/>
          <w:lang w:val="fr-FR"/>
        </w:rPr>
        <w:t> »</w:t>
      </w:r>
      <w:r w:rsidR="00B82A8B" w:rsidRPr="00B82A8B">
        <w:rPr>
          <w:bCs/>
          <w:i/>
          <w:sz w:val="24"/>
          <w:lang w:val="fr-FR"/>
        </w:rPr>
        <w:t>.</w:t>
      </w:r>
    </w:p>
    <w:p w14:paraId="3277D3D6" w14:textId="77777777" w:rsidR="00766CF2" w:rsidRPr="00B82A8B" w:rsidRDefault="00766CF2" w:rsidP="00766CF2">
      <w:pPr>
        <w:widowControl/>
        <w:autoSpaceDE/>
        <w:autoSpaceDN/>
        <w:adjustRightInd/>
        <w:jc w:val="both"/>
        <w:rPr>
          <w:rFonts w:eastAsia="Calibri"/>
          <w:i/>
          <w:sz w:val="24"/>
          <w:lang w:val="fr-FR"/>
        </w:rPr>
      </w:pPr>
    </w:p>
    <w:p w14:paraId="425FCC6B" w14:textId="05DC94D8" w:rsidR="001D1C09" w:rsidRPr="00766CF2" w:rsidRDefault="00B82A8B" w:rsidP="00766CF2">
      <w:pPr>
        <w:widowControl/>
        <w:numPr>
          <w:ilvl w:val="0"/>
          <w:numId w:val="48"/>
        </w:numPr>
        <w:autoSpaceDE/>
        <w:autoSpaceDN/>
        <w:adjustRightInd/>
        <w:ind w:left="0" w:firstLine="0"/>
        <w:jc w:val="both"/>
        <w:rPr>
          <w:rFonts w:eastAsia="Calibri"/>
          <w:sz w:val="24"/>
          <w:lang w:val="fr-FR"/>
        </w:rPr>
      </w:pPr>
      <w:r>
        <w:rPr>
          <w:sz w:val="24"/>
          <w:lang w:val="fr-FR"/>
        </w:rPr>
        <w:t xml:space="preserve">Les </w:t>
      </w:r>
      <w:r w:rsidR="001D1C09" w:rsidRPr="001D1C09">
        <w:rPr>
          <w:sz w:val="24"/>
          <w:lang w:val="fr-FR"/>
        </w:rPr>
        <w:t>exigences de la CMS pour l</w:t>
      </w:r>
      <w:r w:rsidR="004B2554">
        <w:rPr>
          <w:sz w:val="24"/>
          <w:lang w:val="fr-FR"/>
        </w:rPr>
        <w:t>’</w:t>
      </w:r>
      <w:r>
        <w:rPr>
          <w:sz w:val="24"/>
          <w:lang w:val="fr-FR"/>
        </w:rPr>
        <w:t>inscription d’</w:t>
      </w:r>
      <w:r w:rsidR="001D1C09" w:rsidRPr="001D1C09">
        <w:rPr>
          <w:sz w:val="24"/>
          <w:lang w:val="fr-FR"/>
        </w:rPr>
        <w:t>espèces migratrices à l</w:t>
      </w:r>
      <w:r w:rsidR="004B2554">
        <w:rPr>
          <w:sz w:val="24"/>
          <w:lang w:val="fr-FR"/>
        </w:rPr>
        <w:t>’</w:t>
      </w:r>
      <w:r w:rsidR="001D1C09" w:rsidRPr="001D1C09">
        <w:rPr>
          <w:sz w:val="24"/>
          <w:lang w:val="fr-FR"/>
        </w:rPr>
        <w:t>Annexe II sont énoncées au paragraphe 1 de l</w:t>
      </w:r>
      <w:r w:rsidR="004B2554">
        <w:rPr>
          <w:sz w:val="24"/>
          <w:lang w:val="fr-FR"/>
        </w:rPr>
        <w:t>’</w:t>
      </w:r>
      <w:r w:rsidR="001D1C09" w:rsidRPr="001D1C09">
        <w:rPr>
          <w:sz w:val="24"/>
          <w:lang w:val="fr-FR"/>
        </w:rPr>
        <w:t>article IV, et indique</w:t>
      </w:r>
      <w:r w:rsidR="00937C65">
        <w:rPr>
          <w:sz w:val="24"/>
          <w:lang w:val="fr-FR"/>
        </w:rPr>
        <w:t>nt</w:t>
      </w:r>
      <w:r w:rsidR="001D1C09" w:rsidRPr="001D1C09">
        <w:rPr>
          <w:sz w:val="24"/>
          <w:lang w:val="fr-FR"/>
        </w:rPr>
        <w:t xml:space="preserve"> deux scénarios - </w:t>
      </w:r>
      <w:r w:rsidR="00A1537B">
        <w:rPr>
          <w:sz w:val="24"/>
          <w:lang w:val="fr-FR"/>
        </w:rPr>
        <w:t>pouvant</w:t>
      </w:r>
      <w:r w:rsidR="001D1C09" w:rsidRPr="001D1C09">
        <w:rPr>
          <w:sz w:val="24"/>
          <w:lang w:val="fr-FR"/>
        </w:rPr>
        <w:t xml:space="preserve"> être évalués à travers trois </w:t>
      </w:r>
      <w:r>
        <w:rPr>
          <w:sz w:val="24"/>
          <w:lang w:val="fr-FR"/>
        </w:rPr>
        <w:t>« </w:t>
      </w:r>
      <w:r w:rsidR="001D1C09" w:rsidRPr="001D1C09">
        <w:rPr>
          <w:sz w:val="24"/>
          <w:lang w:val="fr-FR"/>
        </w:rPr>
        <w:t>tests</w:t>
      </w:r>
      <w:r>
        <w:rPr>
          <w:sz w:val="24"/>
          <w:lang w:val="fr-FR"/>
        </w:rPr>
        <w:t> »</w:t>
      </w:r>
      <w:r w:rsidR="001D1C09" w:rsidRPr="001D1C09">
        <w:rPr>
          <w:sz w:val="24"/>
          <w:lang w:val="fr-FR"/>
        </w:rPr>
        <w:t>, les deux premi</w:t>
      </w:r>
      <w:r w:rsidR="00D9288F">
        <w:rPr>
          <w:sz w:val="24"/>
          <w:lang w:val="fr-FR"/>
        </w:rPr>
        <w:t>ers</w:t>
      </w:r>
      <w:r w:rsidR="001D1C09" w:rsidRPr="001D1C09">
        <w:rPr>
          <w:sz w:val="24"/>
          <w:lang w:val="fr-FR"/>
        </w:rPr>
        <w:t xml:space="preserve"> (</w:t>
      </w:r>
      <w:r w:rsidR="00D9288F">
        <w:rPr>
          <w:sz w:val="24"/>
          <w:lang w:val="fr-FR"/>
        </w:rPr>
        <w:t>tests</w:t>
      </w:r>
      <w:r w:rsidR="001D1C09" w:rsidRPr="001D1C09">
        <w:rPr>
          <w:sz w:val="24"/>
          <w:lang w:val="fr-FR"/>
        </w:rPr>
        <w:t xml:space="preserve"> 1a et 1b) </w:t>
      </w:r>
      <w:r w:rsidR="00937C65">
        <w:rPr>
          <w:sz w:val="24"/>
          <w:lang w:val="fr-FR"/>
        </w:rPr>
        <w:t>étant</w:t>
      </w:r>
      <w:r w:rsidR="001D1C09" w:rsidRPr="001D1C09">
        <w:rPr>
          <w:sz w:val="24"/>
          <w:lang w:val="fr-FR"/>
        </w:rPr>
        <w:t xml:space="preserve"> liés</w:t>
      </w:r>
      <w:r w:rsidR="00937C65">
        <w:rPr>
          <w:sz w:val="24"/>
          <w:lang w:val="fr-FR"/>
        </w:rPr>
        <w:t xml:space="preserve"> -</w:t>
      </w:r>
      <w:r w:rsidR="001D1C09" w:rsidRPr="001D1C09">
        <w:rPr>
          <w:sz w:val="24"/>
          <w:lang w:val="fr-FR"/>
        </w:rPr>
        <w:t xml:space="preserve"> qui doivent être </w:t>
      </w:r>
      <w:r w:rsidR="00A1537B">
        <w:rPr>
          <w:sz w:val="24"/>
          <w:lang w:val="fr-FR"/>
        </w:rPr>
        <w:t>pris en compte</w:t>
      </w:r>
      <w:r w:rsidR="001D1C09" w:rsidRPr="001D1C09">
        <w:rPr>
          <w:sz w:val="24"/>
          <w:lang w:val="fr-FR"/>
        </w:rPr>
        <w:t xml:space="preserve"> pour </w:t>
      </w:r>
      <w:r w:rsidR="00D9288F">
        <w:rPr>
          <w:sz w:val="24"/>
          <w:lang w:val="fr-FR"/>
        </w:rPr>
        <w:t>qu’</w:t>
      </w:r>
      <w:r w:rsidR="001D1C09" w:rsidRPr="001D1C09">
        <w:rPr>
          <w:sz w:val="24"/>
          <w:lang w:val="fr-FR"/>
        </w:rPr>
        <w:t>une proposition d</w:t>
      </w:r>
      <w:r w:rsidR="004B2554">
        <w:rPr>
          <w:sz w:val="24"/>
          <w:lang w:val="fr-FR"/>
        </w:rPr>
        <w:t>’</w:t>
      </w:r>
      <w:r w:rsidR="001D1C09" w:rsidRPr="001D1C09">
        <w:rPr>
          <w:sz w:val="24"/>
          <w:lang w:val="fr-FR"/>
        </w:rPr>
        <w:t xml:space="preserve">inscription </w:t>
      </w:r>
      <w:r w:rsidR="00D9288F">
        <w:rPr>
          <w:sz w:val="24"/>
          <w:lang w:val="fr-FR"/>
        </w:rPr>
        <w:t>soit retenue :</w:t>
      </w:r>
    </w:p>
    <w:p w14:paraId="3A068159" w14:textId="77777777" w:rsidR="00766CF2" w:rsidRPr="001D1C09" w:rsidRDefault="00766CF2" w:rsidP="00766CF2">
      <w:pPr>
        <w:widowControl/>
        <w:autoSpaceDE/>
        <w:autoSpaceDN/>
        <w:adjustRightInd/>
        <w:jc w:val="both"/>
        <w:rPr>
          <w:rFonts w:eastAsia="Calibri"/>
          <w:sz w:val="24"/>
          <w:lang w:val="fr-FR"/>
        </w:rPr>
      </w:pPr>
    </w:p>
    <w:p w14:paraId="6B7D5B10" w14:textId="2D110D56" w:rsidR="00D9288F" w:rsidRDefault="00D9288F" w:rsidP="00766CF2">
      <w:pPr>
        <w:widowControl/>
        <w:autoSpaceDE/>
        <w:autoSpaceDN/>
        <w:adjustRightInd/>
        <w:ind w:left="720"/>
        <w:jc w:val="both"/>
        <w:rPr>
          <w:rFonts w:eastAsia="Calibri"/>
          <w:i/>
          <w:sz w:val="24"/>
          <w:lang w:val="fr-FR"/>
        </w:rPr>
      </w:pPr>
      <w:r>
        <w:rPr>
          <w:rFonts w:eastAsia="Calibri"/>
          <w:i/>
          <w:sz w:val="24"/>
          <w:lang w:val="fr-FR"/>
        </w:rPr>
        <w:t>« </w:t>
      </w:r>
      <w:r w:rsidRPr="00D9288F">
        <w:rPr>
          <w:rFonts w:eastAsia="Calibri"/>
          <w:i/>
          <w:sz w:val="24"/>
          <w:lang w:val="fr-FR"/>
        </w:rPr>
        <w:t xml:space="preserve">L'Annexe II énumère des espèces migratrices </w:t>
      </w:r>
      <w:r w:rsidRPr="00D9288F">
        <w:rPr>
          <w:rFonts w:eastAsia="Calibri"/>
          <w:i/>
          <w:sz w:val="24"/>
          <w:u w:val="single"/>
          <w:lang w:val="fr-FR"/>
        </w:rPr>
        <w:t>dont l'état de conservation est défavorable</w:t>
      </w:r>
      <w:r w:rsidRPr="00D9288F">
        <w:rPr>
          <w:rFonts w:eastAsia="Calibri"/>
          <w:i/>
          <w:sz w:val="24"/>
          <w:lang w:val="fr-FR"/>
        </w:rPr>
        <w:t xml:space="preserve"> </w:t>
      </w:r>
      <w:r w:rsidRPr="00D9288F">
        <w:rPr>
          <w:rFonts w:eastAsia="Calibri"/>
          <w:sz w:val="24"/>
          <w:lang w:val="fr-FR"/>
        </w:rPr>
        <w:t>(Test 1a)</w:t>
      </w:r>
      <w:r w:rsidRPr="00D9288F">
        <w:rPr>
          <w:rFonts w:eastAsia="Calibri"/>
          <w:i/>
          <w:sz w:val="24"/>
          <w:lang w:val="fr-FR"/>
        </w:rPr>
        <w:t xml:space="preserve"> et qui </w:t>
      </w:r>
      <w:r w:rsidRPr="00D9288F">
        <w:rPr>
          <w:rFonts w:eastAsia="Calibri"/>
          <w:i/>
          <w:sz w:val="24"/>
          <w:u w:val="single"/>
          <w:lang w:val="fr-FR"/>
        </w:rPr>
        <w:t>nécessitent la conclusion d'accords internationaux pour leur conservation et leur gestion</w:t>
      </w:r>
      <w:r w:rsidRPr="00D9288F">
        <w:rPr>
          <w:rFonts w:eastAsia="Calibri"/>
          <w:sz w:val="24"/>
          <w:lang w:val="fr-FR"/>
        </w:rPr>
        <w:t xml:space="preserve"> (Test 1b)</w:t>
      </w:r>
      <w:r w:rsidRPr="00D9288F">
        <w:rPr>
          <w:rFonts w:eastAsia="Calibri"/>
          <w:i/>
          <w:sz w:val="24"/>
          <w:lang w:val="fr-FR"/>
        </w:rPr>
        <w:t>,</w:t>
      </w:r>
      <w:r w:rsidR="0080038A">
        <w:rPr>
          <w:rFonts w:eastAsia="Calibri"/>
          <w:i/>
          <w:sz w:val="24"/>
          <w:lang w:val="fr-FR"/>
        </w:rPr>
        <w:t xml:space="preserve"> </w:t>
      </w:r>
      <w:r w:rsidRPr="00D9288F">
        <w:rPr>
          <w:rFonts w:eastAsia="Calibri"/>
          <w:i/>
          <w:sz w:val="24"/>
          <w:lang w:val="fr-FR"/>
        </w:rPr>
        <w:t xml:space="preserve">ainsi que celles </w:t>
      </w:r>
      <w:r w:rsidRPr="00D9288F">
        <w:rPr>
          <w:rFonts w:eastAsia="Calibri"/>
          <w:i/>
          <w:sz w:val="24"/>
          <w:u w:val="single"/>
          <w:lang w:val="fr-FR"/>
        </w:rPr>
        <w:t>dont l'état de conservation bénéficierait d'une manière significative de la coopération internationale</w:t>
      </w:r>
      <w:r w:rsidRPr="00D9288F">
        <w:rPr>
          <w:rFonts w:eastAsia="Calibri"/>
          <w:i/>
          <w:sz w:val="24"/>
          <w:lang w:val="fr-FR"/>
        </w:rPr>
        <w:t xml:space="preserve"> </w:t>
      </w:r>
      <w:r w:rsidRPr="00D9288F">
        <w:rPr>
          <w:rFonts w:eastAsia="Calibri"/>
          <w:sz w:val="24"/>
          <w:lang w:val="fr-FR"/>
        </w:rPr>
        <w:t>(Test 2)</w:t>
      </w:r>
      <w:r w:rsidRPr="00D9288F">
        <w:rPr>
          <w:rFonts w:eastAsia="Calibri"/>
          <w:i/>
          <w:sz w:val="24"/>
          <w:lang w:val="fr-FR"/>
        </w:rPr>
        <w:t xml:space="preserve"> qui résulterait d'un accord international.</w:t>
      </w:r>
    </w:p>
    <w:p w14:paraId="269D0D8C" w14:textId="77777777" w:rsidR="00766CF2" w:rsidRPr="00C74077" w:rsidRDefault="00766CF2" w:rsidP="00766CF2">
      <w:pPr>
        <w:widowControl/>
        <w:autoSpaceDE/>
        <w:autoSpaceDN/>
        <w:adjustRightInd/>
        <w:ind w:left="720"/>
        <w:jc w:val="both"/>
        <w:rPr>
          <w:rFonts w:eastAsia="Calibri"/>
          <w:i/>
          <w:sz w:val="24"/>
          <w:lang w:val="fr-FR"/>
        </w:rPr>
      </w:pPr>
    </w:p>
    <w:p w14:paraId="61DDEE59" w14:textId="197FD048" w:rsidR="001D1C09" w:rsidRPr="00766CF2" w:rsidRDefault="00A1537B" w:rsidP="00766CF2">
      <w:pPr>
        <w:widowControl/>
        <w:numPr>
          <w:ilvl w:val="0"/>
          <w:numId w:val="48"/>
        </w:numPr>
        <w:autoSpaceDE/>
        <w:autoSpaceDN/>
        <w:adjustRightInd/>
        <w:ind w:left="0" w:firstLine="0"/>
        <w:jc w:val="both"/>
        <w:rPr>
          <w:rFonts w:eastAsia="Calibri"/>
          <w:sz w:val="24"/>
          <w:lang w:val="fr-FR"/>
        </w:rPr>
      </w:pPr>
      <w:r>
        <w:rPr>
          <w:sz w:val="24"/>
          <w:lang w:val="fr-FR"/>
        </w:rPr>
        <w:t xml:space="preserve">Il </w:t>
      </w:r>
      <w:r w:rsidR="001D1C09" w:rsidRPr="001D1C09">
        <w:rPr>
          <w:sz w:val="24"/>
          <w:lang w:val="fr-FR"/>
        </w:rPr>
        <w:t>doit ê</w:t>
      </w:r>
      <w:r w:rsidR="008F3499">
        <w:rPr>
          <w:sz w:val="24"/>
          <w:lang w:val="fr-FR"/>
        </w:rPr>
        <w:t>tre clairement prouvé</w:t>
      </w:r>
      <w:r w:rsidR="001D1C09" w:rsidRPr="001D1C09">
        <w:rPr>
          <w:sz w:val="24"/>
          <w:lang w:val="fr-FR"/>
        </w:rPr>
        <w:t xml:space="preserve"> dans une proposition d</w:t>
      </w:r>
      <w:r w:rsidR="004B2554">
        <w:rPr>
          <w:sz w:val="24"/>
          <w:lang w:val="fr-FR"/>
        </w:rPr>
        <w:t>’</w:t>
      </w:r>
      <w:r w:rsidR="001D1C09" w:rsidRPr="001D1C09">
        <w:rPr>
          <w:sz w:val="24"/>
          <w:lang w:val="fr-FR"/>
        </w:rPr>
        <w:t>inscription</w:t>
      </w:r>
      <w:r>
        <w:rPr>
          <w:sz w:val="24"/>
          <w:lang w:val="fr-FR"/>
        </w:rPr>
        <w:t xml:space="preserve"> que l’espèce considérée est migratrice</w:t>
      </w:r>
      <w:r w:rsidR="001D1C09" w:rsidRPr="001D1C09">
        <w:rPr>
          <w:sz w:val="24"/>
          <w:lang w:val="fr-FR"/>
        </w:rPr>
        <w:t xml:space="preserve">. </w:t>
      </w:r>
      <w:r>
        <w:rPr>
          <w:sz w:val="24"/>
          <w:lang w:val="fr-FR"/>
        </w:rPr>
        <w:t>La nature</w:t>
      </w:r>
      <w:r w:rsidR="001D1C09" w:rsidRPr="001D1C09">
        <w:rPr>
          <w:sz w:val="24"/>
          <w:lang w:val="fr-FR"/>
        </w:rPr>
        <w:t xml:space="preserve"> </w:t>
      </w:r>
      <w:r w:rsidR="00D9288F">
        <w:rPr>
          <w:sz w:val="24"/>
          <w:lang w:val="fr-FR"/>
        </w:rPr>
        <w:t>« </w:t>
      </w:r>
      <w:r w:rsidR="001D1C09" w:rsidRPr="001D1C09">
        <w:rPr>
          <w:sz w:val="24"/>
          <w:lang w:val="fr-FR"/>
        </w:rPr>
        <w:t>cyclique et prévisible</w:t>
      </w:r>
      <w:r w:rsidR="00D9288F">
        <w:rPr>
          <w:sz w:val="24"/>
          <w:lang w:val="fr-FR"/>
        </w:rPr>
        <w:t> »</w:t>
      </w:r>
      <w:r w:rsidR="001D1C09" w:rsidRPr="001D1C09">
        <w:rPr>
          <w:sz w:val="24"/>
          <w:lang w:val="fr-FR"/>
        </w:rPr>
        <w:t xml:space="preserve"> des migrations à travers </w:t>
      </w:r>
      <w:r w:rsidR="00D9288F">
        <w:rPr>
          <w:sz w:val="24"/>
          <w:lang w:val="fr-FR"/>
        </w:rPr>
        <w:t>d</w:t>
      </w:r>
      <w:r w:rsidR="001D1C09" w:rsidRPr="001D1C09">
        <w:rPr>
          <w:sz w:val="24"/>
          <w:lang w:val="fr-FR"/>
        </w:rPr>
        <w:t>es frontière</w:t>
      </w:r>
      <w:r w:rsidR="0077397E">
        <w:rPr>
          <w:sz w:val="24"/>
          <w:lang w:val="fr-FR"/>
        </w:rPr>
        <w:t xml:space="preserve">s nationales doit </w:t>
      </w:r>
      <w:r>
        <w:rPr>
          <w:sz w:val="24"/>
          <w:lang w:val="fr-FR"/>
        </w:rPr>
        <w:t xml:space="preserve">notamment </w:t>
      </w:r>
      <w:r w:rsidR="0077397E">
        <w:rPr>
          <w:sz w:val="24"/>
          <w:lang w:val="fr-FR"/>
        </w:rPr>
        <w:t>être démontré</w:t>
      </w:r>
      <w:r>
        <w:rPr>
          <w:sz w:val="24"/>
          <w:lang w:val="fr-FR"/>
        </w:rPr>
        <w:t>e</w:t>
      </w:r>
      <w:r w:rsidR="001D1C09" w:rsidRPr="001D1C09">
        <w:rPr>
          <w:sz w:val="24"/>
          <w:lang w:val="fr-FR"/>
        </w:rPr>
        <w:t>.</w:t>
      </w:r>
    </w:p>
    <w:p w14:paraId="721D8202" w14:textId="77777777" w:rsidR="00766CF2" w:rsidRPr="00C74077" w:rsidRDefault="00766CF2" w:rsidP="00766CF2">
      <w:pPr>
        <w:widowControl/>
        <w:autoSpaceDE/>
        <w:autoSpaceDN/>
        <w:adjustRightInd/>
        <w:jc w:val="both"/>
        <w:rPr>
          <w:rFonts w:eastAsia="Calibri"/>
          <w:sz w:val="24"/>
          <w:lang w:val="fr-FR"/>
        </w:rPr>
      </w:pPr>
    </w:p>
    <w:p w14:paraId="3861E670" w14:textId="4028CE21" w:rsidR="001D1C09" w:rsidRPr="00766CF2" w:rsidRDefault="00D9288F" w:rsidP="00766CF2">
      <w:pPr>
        <w:widowControl/>
        <w:numPr>
          <w:ilvl w:val="0"/>
          <w:numId w:val="48"/>
        </w:numPr>
        <w:autoSpaceDE/>
        <w:autoSpaceDN/>
        <w:adjustRightInd/>
        <w:ind w:left="0" w:firstLine="0"/>
        <w:jc w:val="both"/>
        <w:rPr>
          <w:rFonts w:eastAsia="Calibri"/>
          <w:sz w:val="24"/>
          <w:lang w:val="fr-FR"/>
        </w:rPr>
      </w:pPr>
      <w:r w:rsidRPr="00D9288F">
        <w:rPr>
          <w:sz w:val="24"/>
          <w:lang w:val="fr-FR"/>
        </w:rPr>
        <w:t>L</w:t>
      </w:r>
      <w:r w:rsidRPr="001D1C09">
        <w:rPr>
          <w:sz w:val="24"/>
          <w:lang w:val="fr-FR"/>
        </w:rPr>
        <w:t xml:space="preserve">es catégories et critères </w:t>
      </w:r>
      <w:r>
        <w:rPr>
          <w:sz w:val="24"/>
          <w:lang w:val="fr-FR"/>
        </w:rPr>
        <w:t>de la</w:t>
      </w:r>
      <w:r w:rsidR="001D1C09" w:rsidRPr="001D1C09">
        <w:rPr>
          <w:sz w:val="24"/>
          <w:lang w:val="fr-FR"/>
        </w:rPr>
        <w:t xml:space="preserve"> Liste rouge de l</w:t>
      </w:r>
      <w:r w:rsidR="004B2554">
        <w:rPr>
          <w:sz w:val="24"/>
          <w:lang w:val="fr-FR"/>
        </w:rPr>
        <w:t>’</w:t>
      </w:r>
      <w:r w:rsidR="001D1C09" w:rsidRPr="001D1C09">
        <w:rPr>
          <w:sz w:val="24"/>
          <w:lang w:val="fr-FR"/>
        </w:rPr>
        <w:t>UICN (Version 3.1, deuxième édition) doivent être utilisés comme suggéré ci-dessous</w:t>
      </w:r>
      <w:r w:rsidR="00D25A6C">
        <w:rPr>
          <w:sz w:val="24"/>
          <w:lang w:val="fr-FR"/>
        </w:rPr>
        <w:t xml:space="preserve"> pour </w:t>
      </w:r>
      <w:r w:rsidR="001D1C09" w:rsidRPr="001D1C09">
        <w:rPr>
          <w:sz w:val="24"/>
          <w:lang w:val="fr-FR"/>
        </w:rPr>
        <w:t>l</w:t>
      </w:r>
      <w:r w:rsidR="004B2554">
        <w:rPr>
          <w:sz w:val="24"/>
          <w:lang w:val="fr-FR"/>
        </w:rPr>
        <w:t>’</w:t>
      </w:r>
      <w:r w:rsidR="001D1C09" w:rsidRPr="001D1C09">
        <w:rPr>
          <w:sz w:val="24"/>
          <w:lang w:val="fr-FR"/>
        </w:rPr>
        <w:t>évaluation des propositions d</w:t>
      </w:r>
      <w:r w:rsidR="004B2554">
        <w:rPr>
          <w:sz w:val="24"/>
          <w:lang w:val="fr-FR"/>
        </w:rPr>
        <w:t>’</w:t>
      </w:r>
      <w:r w:rsidR="001D1C09" w:rsidRPr="001D1C09">
        <w:rPr>
          <w:sz w:val="24"/>
          <w:lang w:val="fr-FR"/>
        </w:rPr>
        <w:t>inscription d</w:t>
      </w:r>
      <w:r w:rsidR="004B2554">
        <w:rPr>
          <w:sz w:val="24"/>
          <w:lang w:val="fr-FR"/>
        </w:rPr>
        <w:t>’</w:t>
      </w:r>
      <w:r w:rsidR="001D1C09" w:rsidRPr="001D1C09">
        <w:rPr>
          <w:sz w:val="24"/>
          <w:lang w:val="fr-FR"/>
        </w:rPr>
        <w:t>espèces migratrices aux Annexes I et II</w:t>
      </w:r>
      <w:r>
        <w:rPr>
          <w:sz w:val="24"/>
          <w:lang w:val="fr-FR"/>
        </w:rPr>
        <w:t> :</w:t>
      </w:r>
    </w:p>
    <w:p w14:paraId="711171DF" w14:textId="77777777" w:rsidR="00766CF2" w:rsidRPr="001D1C09" w:rsidRDefault="00766CF2" w:rsidP="00766CF2">
      <w:pPr>
        <w:widowControl/>
        <w:autoSpaceDE/>
        <w:autoSpaceDN/>
        <w:adjustRightInd/>
        <w:jc w:val="both"/>
        <w:rPr>
          <w:rFonts w:eastAsia="Calibri"/>
          <w:sz w:val="24"/>
          <w:lang w:val="fr-FR"/>
        </w:rPr>
      </w:pPr>
    </w:p>
    <w:p w14:paraId="18891CAD" w14:textId="61E34CEA"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u</w:t>
      </w:r>
      <w:r w:rsidR="001D1C09" w:rsidRPr="001D1C09">
        <w:rPr>
          <w:sz w:val="24"/>
          <w:lang w:val="fr-FR"/>
        </w:rPr>
        <w:t xml:space="preserve">n taxon évalué comme </w:t>
      </w:r>
      <w:r w:rsidR="00D9288F">
        <w:rPr>
          <w:sz w:val="24"/>
          <w:lang w:val="fr-FR"/>
        </w:rPr>
        <w:t>« </w:t>
      </w:r>
      <w:r w:rsidR="00795B1D" w:rsidRPr="001D1C09">
        <w:rPr>
          <w:sz w:val="24"/>
          <w:lang w:val="fr-FR"/>
        </w:rPr>
        <w:t>É</w:t>
      </w:r>
      <w:r w:rsidR="001D1C09" w:rsidRPr="001D1C09">
        <w:rPr>
          <w:sz w:val="24"/>
          <w:lang w:val="fr-FR"/>
        </w:rPr>
        <w:t>teint à l</w:t>
      </w:r>
      <w:r w:rsidR="004B2554">
        <w:rPr>
          <w:sz w:val="24"/>
          <w:lang w:val="fr-FR"/>
        </w:rPr>
        <w:t>’</w:t>
      </w:r>
      <w:r w:rsidR="001D1C09" w:rsidRPr="001D1C09">
        <w:rPr>
          <w:sz w:val="24"/>
          <w:lang w:val="fr-FR"/>
        </w:rPr>
        <w:t>état sauvage</w:t>
      </w:r>
      <w:r w:rsidR="00D9288F">
        <w:rPr>
          <w:sz w:val="24"/>
          <w:lang w:val="fr-FR"/>
        </w:rPr>
        <w:t> »</w:t>
      </w:r>
      <w:r w:rsidR="001D1C09" w:rsidRPr="001D1C09">
        <w:rPr>
          <w:sz w:val="24"/>
          <w:lang w:val="fr-FR"/>
        </w:rPr>
        <w:t xml:space="preserve">, </w:t>
      </w:r>
      <w:r w:rsidR="00D9288F">
        <w:rPr>
          <w:sz w:val="24"/>
          <w:lang w:val="fr-FR"/>
        </w:rPr>
        <w:t xml:space="preserve">« En </w:t>
      </w:r>
      <w:r w:rsidR="001D1C09" w:rsidRPr="001D1C09">
        <w:rPr>
          <w:sz w:val="24"/>
          <w:lang w:val="fr-FR"/>
        </w:rPr>
        <w:t>danger critique d</w:t>
      </w:r>
      <w:r w:rsidR="004B2554">
        <w:rPr>
          <w:sz w:val="24"/>
          <w:lang w:val="fr-FR"/>
        </w:rPr>
        <w:t>’</w:t>
      </w:r>
      <w:r w:rsidR="001D1C09" w:rsidRPr="001D1C09">
        <w:rPr>
          <w:sz w:val="24"/>
          <w:lang w:val="fr-FR"/>
        </w:rPr>
        <w:t>extinction</w:t>
      </w:r>
      <w:r w:rsidR="008E211E">
        <w:rPr>
          <w:sz w:val="24"/>
          <w:lang w:val="fr-FR"/>
        </w:rPr>
        <w:t> </w:t>
      </w:r>
      <w:r w:rsidR="001D1C09" w:rsidRPr="001D1C09">
        <w:rPr>
          <w:sz w:val="24"/>
          <w:lang w:val="fr-FR"/>
        </w:rPr>
        <w:t>»</w:t>
      </w:r>
      <w:r w:rsidR="008E211E">
        <w:rPr>
          <w:sz w:val="24"/>
          <w:lang w:val="fr-FR"/>
        </w:rPr>
        <w:t>,</w:t>
      </w:r>
      <w:r w:rsidR="001D1C09" w:rsidRPr="001D1C09">
        <w:rPr>
          <w:sz w:val="24"/>
          <w:lang w:val="fr-FR"/>
        </w:rPr>
        <w:t xml:space="preserve"> ou «</w:t>
      </w:r>
      <w:r w:rsidR="00D9288F">
        <w:rPr>
          <w:sz w:val="24"/>
          <w:lang w:val="fr-FR"/>
        </w:rPr>
        <w:t> En danger »</w:t>
      </w:r>
      <w:r w:rsidR="001D1C09" w:rsidRPr="001D1C09">
        <w:rPr>
          <w:sz w:val="24"/>
          <w:lang w:val="fr-FR"/>
        </w:rPr>
        <w:t xml:space="preserve"> </w:t>
      </w:r>
      <w:r w:rsidR="008F3499">
        <w:rPr>
          <w:sz w:val="24"/>
          <w:lang w:val="fr-FR"/>
        </w:rPr>
        <w:t>selon</w:t>
      </w:r>
      <w:r w:rsidR="001D1C09" w:rsidRPr="001D1C09">
        <w:rPr>
          <w:sz w:val="24"/>
          <w:lang w:val="fr-FR"/>
        </w:rPr>
        <w:t xml:space="preserve"> les critères de la Liste rouge de l</w:t>
      </w:r>
      <w:r w:rsidR="004B2554">
        <w:rPr>
          <w:sz w:val="24"/>
          <w:lang w:val="fr-FR"/>
        </w:rPr>
        <w:t>’</w:t>
      </w:r>
      <w:r w:rsidR="001D1C09" w:rsidRPr="001D1C09">
        <w:rPr>
          <w:sz w:val="24"/>
          <w:lang w:val="fr-FR"/>
        </w:rPr>
        <w:t>UICN est admissible à l</w:t>
      </w:r>
      <w:r w:rsidR="004B2554">
        <w:rPr>
          <w:sz w:val="24"/>
          <w:lang w:val="fr-FR"/>
        </w:rPr>
        <w:t>’</w:t>
      </w:r>
      <w:r w:rsidR="001D1C09" w:rsidRPr="001D1C09">
        <w:rPr>
          <w:sz w:val="24"/>
          <w:lang w:val="fr-FR"/>
        </w:rPr>
        <w:t xml:space="preserve">examen </w:t>
      </w:r>
      <w:r w:rsidR="001F2B94">
        <w:rPr>
          <w:sz w:val="24"/>
          <w:lang w:val="fr-FR"/>
        </w:rPr>
        <w:t>en vue d’une</w:t>
      </w:r>
      <w:r w:rsidR="008F3499">
        <w:rPr>
          <w:sz w:val="24"/>
          <w:lang w:val="fr-FR"/>
        </w:rPr>
        <w:t xml:space="preserve"> </w:t>
      </w:r>
      <w:r w:rsidR="001D1C09" w:rsidRPr="001D1C09">
        <w:rPr>
          <w:sz w:val="24"/>
          <w:lang w:val="fr-FR"/>
        </w:rPr>
        <w:t>inscription à l</w:t>
      </w:r>
      <w:r w:rsidR="004B2554">
        <w:rPr>
          <w:sz w:val="24"/>
          <w:lang w:val="fr-FR"/>
        </w:rPr>
        <w:t>’</w:t>
      </w:r>
      <w:r w:rsidR="001D1C09" w:rsidRPr="001D1C09">
        <w:rPr>
          <w:sz w:val="24"/>
          <w:lang w:val="fr-FR"/>
        </w:rPr>
        <w:t>Annexe I, en reconnaissant que les espèces de l</w:t>
      </w:r>
      <w:r w:rsidR="004B2554">
        <w:rPr>
          <w:sz w:val="24"/>
          <w:lang w:val="fr-FR"/>
        </w:rPr>
        <w:t>’</w:t>
      </w:r>
      <w:r w:rsidR="001D1C09" w:rsidRPr="001D1C09">
        <w:rPr>
          <w:sz w:val="24"/>
          <w:lang w:val="fr-FR"/>
        </w:rPr>
        <w:t xml:space="preserve">Annexe I de la CMS sont </w:t>
      </w:r>
      <w:r w:rsidR="008F3499">
        <w:rPr>
          <w:sz w:val="24"/>
          <w:lang w:val="fr-FR"/>
        </w:rPr>
        <w:t>considérées</w:t>
      </w:r>
      <w:r w:rsidR="001D1C09" w:rsidRPr="001D1C09">
        <w:rPr>
          <w:sz w:val="24"/>
          <w:lang w:val="fr-FR"/>
        </w:rPr>
        <w:t xml:space="preserve"> </w:t>
      </w:r>
      <w:r w:rsidR="00D9288F">
        <w:rPr>
          <w:sz w:val="24"/>
          <w:lang w:val="fr-FR"/>
        </w:rPr>
        <w:t>d’une manière générale comme</w:t>
      </w:r>
      <w:r w:rsidR="00795B1D">
        <w:rPr>
          <w:sz w:val="24"/>
          <w:lang w:val="fr-FR"/>
        </w:rPr>
        <w:t xml:space="preserve"> étant </w:t>
      </w:r>
      <w:r w:rsidR="00D9288F">
        <w:rPr>
          <w:sz w:val="24"/>
          <w:lang w:val="fr-FR"/>
        </w:rPr>
        <w:t>« </w:t>
      </w:r>
      <w:r w:rsidR="00795B1D">
        <w:rPr>
          <w:sz w:val="24"/>
          <w:lang w:val="fr-FR"/>
        </w:rPr>
        <w:t>e</w:t>
      </w:r>
      <w:r w:rsidR="001D1C09" w:rsidRPr="001D1C09">
        <w:rPr>
          <w:sz w:val="24"/>
          <w:lang w:val="fr-FR"/>
        </w:rPr>
        <w:t>n danger</w:t>
      </w:r>
      <w:r w:rsidR="00D9288F">
        <w:rPr>
          <w:sz w:val="24"/>
          <w:lang w:val="fr-FR"/>
        </w:rPr>
        <w:t> </w:t>
      </w:r>
      <w:r w:rsidR="001D1C09" w:rsidRPr="001D1C09">
        <w:rPr>
          <w:sz w:val="24"/>
          <w:lang w:val="fr-FR"/>
        </w:rPr>
        <w:t>»;</w:t>
      </w:r>
    </w:p>
    <w:p w14:paraId="454A6EA0" w14:textId="77777777" w:rsidR="00766CF2" w:rsidRPr="001D1C09" w:rsidRDefault="00766CF2" w:rsidP="00766CF2">
      <w:pPr>
        <w:widowControl/>
        <w:tabs>
          <w:tab w:val="left" w:pos="-90"/>
        </w:tabs>
        <w:autoSpaceDE/>
        <w:autoSpaceDN/>
        <w:adjustRightInd/>
        <w:ind w:left="1440"/>
        <w:jc w:val="both"/>
        <w:rPr>
          <w:rFonts w:eastAsia="Calibri"/>
          <w:sz w:val="24"/>
          <w:lang w:val="fr-FR"/>
        </w:rPr>
      </w:pPr>
    </w:p>
    <w:p w14:paraId="34F5ED76" w14:textId="77F23858"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u</w:t>
      </w:r>
      <w:r w:rsidR="001D1C09" w:rsidRPr="001D1C09">
        <w:rPr>
          <w:sz w:val="24"/>
          <w:lang w:val="fr-FR"/>
        </w:rPr>
        <w:t>n taxon évalué comme «</w:t>
      </w:r>
      <w:r w:rsidR="00795B1D">
        <w:rPr>
          <w:sz w:val="24"/>
          <w:lang w:val="fr-FR"/>
        </w:rPr>
        <w:t> V</w:t>
      </w:r>
      <w:r w:rsidR="001D1C09" w:rsidRPr="001D1C09">
        <w:rPr>
          <w:sz w:val="24"/>
          <w:lang w:val="fr-FR"/>
        </w:rPr>
        <w:t>ulnérable</w:t>
      </w:r>
      <w:r w:rsidR="00795B1D">
        <w:rPr>
          <w:sz w:val="24"/>
          <w:lang w:val="fr-FR"/>
        </w:rPr>
        <w:t> </w:t>
      </w:r>
      <w:r w:rsidR="001D1C09" w:rsidRPr="001D1C09">
        <w:rPr>
          <w:sz w:val="24"/>
          <w:lang w:val="fr-FR"/>
        </w:rPr>
        <w:t>» ou «</w:t>
      </w:r>
      <w:r w:rsidR="00795B1D">
        <w:rPr>
          <w:sz w:val="24"/>
          <w:lang w:val="fr-FR"/>
        </w:rPr>
        <w:t> </w:t>
      </w:r>
      <w:r w:rsidR="001D1C09" w:rsidRPr="001D1C09">
        <w:rPr>
          <w:sz w:val="24"/>
          <w:lang w:val="fr-FR"/>
        </w:rPr>
        <w:t>Quasi menacé</w:t>
      </w:r>
      <w:r w:rsidR="00795B1D">
        <w:rPr>
          <w:sz w:val="24"/>
          <w:lang w:val="fr-FR"/>
        </w:rPr>
        <w:t> </w:t>
      </w:r>
      <w:r w:rsidR="001D1C09" w:rsidRPr="001D1C09">
        <w:rPr>
          <w:sz w:val="24"/>
          <w:lang w:val="fr-FR"/>
        </w:rPr>
        <w:t xml:space="preserve">» ne </w:t>
      </w:r>
      <w:r w:rsidR="00795B1D">
        <w:rPr>
          <w:sz w:val="24"/>
          <w:lang w:val="fr-FR"/>
        </w:rPr>
        <w:t>d</w:t>
      </w:r>
      <w:r w:rsidR="001F2B94">
        <w:rPr>
          <w:sz w:val="24"/>
          <w:lang w:val="fr-FR"/>
        </w:rPr>
        <w:t>oi</w:t>
      </w:r>
      <w:r w:rsidR="00795B1D">
        <w:rPr>
          <w:sz w:val="24"/>
          <w:lang w:val="fr-FR"/>
        </w:rPr>
        <w:t>t</w:t>
      </w:r>
      <w:r w:rsidR="001D1C09" w:rsidRPr="001D1C09">
        <w:rPr>
          <w:sz w:val="24"/>
          <w:lang w:val="fr-FR"/>
        </w:rPr>
        <w:t xml:space="preserve"> pas</w:t>
      </w:r>
      <w:r w:rsidR="008F3499">
        <w:rPr>
          <w:sz w:val="24"/>
          <w:lang w:val="fr-FR"/>
        </w:rPr>
        <w:t>, normalement,</w:t>
      </w:r>
      <w:r w:rsidR="001D1C09" w:rsidRPr="001D1C09">
        <w:rPr>
          <w:sz w:val="24"/>
          <w:lang w:val="fr-FR"/>
        </w:rPr>
        <w:t xml:space="preserve"> être </w:t>
      </w:r>
      <w:r w:rsidR="008F3499">
        <w:rPr>
          <w:sz w:val="24"/>
          <w:lang w:val="fr-FR"/>
        </w:rPr>
        <w:t>examiné</w:t>
      </w:r>
      <w:r w:rsidR="001D1C09" w:rsidRPr="001D1C09">
        <w:rPr>
          <w:sz w:val="24"/>
          <w:lang w:val="fr-FR"/>
        </w:rPr>
        <w:t xml:space="preserve"> </w:t>
      </w:r>
      <w:r w:rsidR="001F2B94">
        <w:rPr>
          <w:sz w:val="24"/>
          <w:lang w:val="fr-FR"/>
        </w:rPr>
        <w:t>en vue d’u</w:t>
      </w:r>
      <w:r w:rsidR="008F3499">
        <w:rPr>
          <w:sz w:val="24"/>
          <w:lang w:val="fr-FR"/>
        </w:rPr>
        <w:t xml:space="preserve">ne </w:t>
      </w:r>
      <w:r w:rsidR="001D1C09" w:rsidRPr="001D1C09">
        <w:rPr>
          <w:sz w:val="24"/>
          <w:lang w:val="fr-FR"/>
        </w:rPr>
        <w:t>inscription à l</w:t>
      </w:r>
      <w:r w:rsidR="004B2554">
        <w:rPr>
          <w:sz w:val="24"/>
          <w:lang w:val="fr-FR"/>
        </w:rPr>
        <w:t>’</w:t>
      </w:r>
      <w:r w:rsidR="001D1C09" w:rsidRPr="001D1C09">
        <w:rPr>
          <w:sz w:val="24"/>
          <w:lang w:val="fr-FR"/>
        </w:rPr>
        <w:t xml:space="preserve">Annexe I, à moins </w:t>
      </w:r>
      <w:r w:rsidR="00795B1D">
        <w:rPr>
          <w:sz w:val="24"/>
          <w:lang w:val="fr-FR"/>
        </w:rPr>
        <w:t>que</w:t>
      </w:r>
      <w:r w:rsidR="001D1C09" w:rsidRPr="001D1C09">
        <w:rPr>
          <w:sz w:val="24"/>
          <w:lang w:val="fr-FR"/>
        </w:rPr>
        <w:t xml:space="preserve"> des </w:t>
      </w:r>
      <w:r w:rsidR="00A11A9A">
        <w:rPr>
          <w:sz w:val="24"/>
          <w:lang w:val="fr-FR"/>
        </w:rPr>
        <w:t>renseignements</w:t>
      </w:r>
      <w:r w:rsidR="001D1C09" w:rsidRPr="001D1C09">
        <w:rPr>
          <w:sz w:val="24"/>
          <w:lang w:val="fr-FR"/>
        </w:rPr>
        <w:t xml:space="preserve"> de fond </w:t>
      </w:r>
      <w:r w:rsidR="00DB101B">
        <w:rPr>
          <w:sz w:val="24"/>
          <w:lang w:val="fr-FR"/>
        </w:rPr>
        <w:t>plus récents que</w:t>
      </w:r>
      <w:r w:rsidR="0080038A">
        <w:rPr>
          <w:sz w:val="24"/>
          <w:lang w:val="fr-FR"/>
        </w:rPr>
        <w:t xml:space="preserve"> </w:t>
      </w:r>
      <w:r w:rsidR="001D1C09" w:rsidRPr="001D1C09">
        <w:rPr>
          <w:sz w:val="24"/>
          <w:lang w:val="fr-FR"/>
        </w:rPr>
        <w:t>l</w:t>
      </w:r>
      <w:r w:rsidR="004B2554">
        <w:rPr>
          <w:sz w:val="24"/>
          <w:lang w:val="fr-FR"/>
        </w:rPr>
        <w:t>’</w:t>
      </w:r>
      <w:r w:rsidR="001D1C09" w:rsidRPr="001D1C09">
        <w:rPr>
          <w:sz w:val="24"/>
          <w:lang w:val="fr-FR"/>
        </w:rPr>
        <w:t xml:space="preserve">évaluation de la </w:t>
      </w:r>
      <w:r w:rsidR="008F3499">
        <w:rPr>
          <w:sz w:val="24"/>
          <w:lang w:val="fr-FR"/>
        </w:rPr>
        <w:t>L</w:t>
      </w:r>
      <w:r w:rsidR="001D1C09" w:rsidRPr="001D1C09">
        <w:rPr>
          <w:sz w:val="24"/>
          <w:lang w:val="fr-FR"/>
        </w:rPr>
        <w:t>iste rouge de l</w:t>
      </w:r>
      <w:r w:rsidR="004B2554">
        <w:rPr>
          <w:sz w:val="24"/>
          <w:lang w:val="fr-FR"/>
        </w:rPr>
        <w:t>’</w:t>
      </w:r>
      <w:r w:rsidR="001D1C09" w:rsidRPr="001D1C09">
        <w:rPr>
          <w:sz w:val="24"/>
          <w:lang w:val="fr-FR"/>
        </w:rPr>
        <w:t>UICN fourni</w:t>
      </w:r>
      <w:r w:rsidR="00795B1D">
        <w:rPr>
          <w:sz w:val="24"/>
          <w:lang w:val="fr-FR"/>
        </w:rPr>
        <w:t>ssent</w:t>
      </w:r>
      <w:r w:rsidR="001D1C09" w:rsidRPr="001D1C09">
        <w:rPr>
          <w:sz w:val="24"/>
          <w:lang w:val="fr-FR"/>
        </w:rPr>
        <w:t xml:space="preserve"> la preuve de la détérioration de </w:t>
      </w:r>
      <w:r w:rsidR="00795B1D">
        <w:rPr>
          <w:sz w:val="24"/>
          <w:lang w:val="fr-FR"/>
        </w:rPr>
        <w:t xml:space="preserve">son </w:t>
      </w:r>
      <w:r w:rsidR="001D1C09" w:rsidRPr="001D1C09">
        <w:rPr>
          <w:sz w:val="24"/>
          <w:lang w:val="fr-FR"/>
        </w:rPr>
        <w:t xml:space="preserve">état de conservation, </w:t>
      </w:r>
      <w:r w:rsidR="001D1C09" w:rsidRPr="00795B1D">
        <w:rPr>
          <w:sz w:val="24"/>
          <w:u w:val="single"/>
          <w:lang w:val="fr-FR"/>
        </w:rPr>
        <w:t>et</w:t>
      </w:r>
      <w:r w:rsidR="001D1C09" w:rsidRPr="001D1C09">
        <w:rPr>
          <w:sz w:val="24"/>
          <w:lang w:val="fr-FR"/>
        </w:rPr>
        <w:t xml:space="preserve"> </w:t>
      </w:r>
      <w:r w:rsidR="00A11A9A">
        <w:rPr>
          <w:sz w:val="24"/>
          <w:lang w:val="fr-FR"/>
        </w:rPr>
        <w:t>que l’on dispose d’</w:t>
      </w:r>
      <w:r w:rsidR="001D1C09" w:rsidRPr="001D1C09">
        <w:rPr>
          <w:sz w:val="24"/>
          <w:lang w:val="fr-FR"/>
        </w:rPr>
        <w:t xml:space="preserve">informations sur les avantages </w:t>
      </w:r>
      <w:r w:rsidR="00795B1D">
        <w:rPr>
          <w:sz w:val="24"/>
          <w:lang w:val="fr-FR"/>
        </w:rPr>
        <w:t xml:space="preserve">en </w:t>
      </w:r>
      <w:r w:rsidR="00D8689E">
        <w:rPr>
          <w:sz w:val="24"/>
          <w:lang w:val="fr-FR"/>
        </w:rPr>
        <w:t>matière</w:t>
      </w:r>
      <w:r w:rsidR="001D1C09" w:rsidRPr="001D1C09">
        <w:rPr>
          <w:sz w:val="24"/>
          <w:lang w:val="fr-FR"/>
        </w:rPr>
        <w:t xml:space="preserve"> </w:t>
      </w:r>
      <w:r w:rsidR="008F3499">
        <w:rPr>
          <w:sz w:val="24"/>
          <w:lang w:val="fr-FR"/>
        </w:rPr>
        <w:t xml:space="preserve">de </w:t>
      </w:r>
      <w:r w:rsidR="001D1C09" w:rsidRPr="001D1C09">
        <w:rPr>
          <w:sz w:val="24"/>
          <w:lang w:val="fr-FR"/>
        </w:rPr>
        <w:t>conservation qu</w:t>
      </w:r>
      <w:r w:rsidR="00795B1D">
        <w:rPr>
          <w:sz w:val="24"/>
          <w:lang w:val="fr-FR"/>
        </w:rPr>
        <w:t>’apporterait une inscription à</w:t>
      </w:r>
      <w:r w:rsidR="001D1C09" w:rsidRPr="001D1C09">
        <w:rPr>
          <w:sz w:val="24"/>
          <w:lang w:val="fr-FR"/>
        </w:rPr>
        <w:t xml:space="preserve"> l</w:t>
      </w:r>
      <w:r w:rsidR="004B2554">
        <w:rPr>
          <w:sz w:val="24"/>
          <w:lang w:val="fr-FR"/>
        </w:rPr>
        <w:t>’</w:t>
      </w:r>
      <w:r w:rsidR="001D1C09" w:rsidRPr="001D1C09">
        <w:rPr>
          <w:sz w:val="24"/>
          <w:lang w:val="fr-FR"/>
        </w:rPr>
        <w:t>Annexe I</w:t>
      </w:r>
      <w:r w:rsidR="00C35E0E">
        <w:rPr>
          <w:sz w:val="24"/>
          <w:lang w:val="fr-FR"/>
        </w:rPr>
        <w:t> ;</w:t>
      </w:r>
    </w:p>
    <w:p w14:paraId="5382B848" w14:textId="77777777" w:rsidR="00766CF2" w:rsidRPr="001D1C09" w:rsidRDefault="00766CF2" w:rsidP="00766CF2">
      <w:pPr>
        <w:widowControl/>
        <w:tabs>
          <w:tab w:val="left" w:pos="-90"/>
        </w:tabs>
        <w:autoSpaceDE/>
        <w:autoSpaceDN/>
        <w:adjustRightInd/>
        <w:ind w:left="1440"/>
        <w:jc w:val="both"/>
        <w:rPr>
          <w:rFonts w:eastAsia="Calibri"/>
          <w:sz w:val="24"/>
          <w:lang w:val="fr-FR"/>
        </w:rPr>
      </w:pPr>
    </w:p>
    <w:p w14:paraId="58C87556" w14:textId="1E9BD8FA" w:rsidR="001D1C09" w:rsidRPr="001D1C09"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u</w:t>
      </w:r>
      <w:r w:rsidR="001D1C09" w:rsidRPr="001D1C09">
        <w:rPr>
          <w:sz w:val="24"/>
          <w:lang w:val="fr-FR"/>
        </w:rPr>
        <w:t>n taxon évalué comme «</w:t>
      </w:r>
      <w:r w:rsidR="0077397E">
        <w:rPr>
          <w:sz w:val="24"/>
          <w:lang w:val="fr-FR"/>
        </w:rPr>
        <w:t> </w:t>
      </w:r>
      <w:r w:rsidR="0077397E" w:rsidRPr="001D1C09">
        <w:rPr>
          <w:sz w:val="24"/>
          <w:lang w:val="fr-FR"/>
        </w:rPr>
        <w:t>É</w:t>
      </w:r>
      <w:r w:rsidR="001D1C09" w:rsidRPr="001D1C09">
        <w:rPr>
          <w:sz w:val="24"/>
          <w:lang w:val="fr-FR"/>
        </w:rPr>
        <w:t>teint à l</w:t>
      </w:r>
      <w:r w:rsidR="004B2554">
        <w:rPr>
          <w:sz w:val="24"/>
          <w:lang w:val="fr-FR"/>
        </w:rPr>
        <w:t>’</w:t>
      </w:r>
      <w:r w:rsidR="001D1C09" w:rsidRPr="001D1C09">
        <w:rPr>
          <w:sz w:val="24"/>
          <w:lang w:val="fr-FR"/>
        </w:rPr>
        <w:t>état sauvage», «</w:t>
      </w:r>
      <w:r w:rsidR="0077397E">
        <w:rPr>
          <w:sz w:val="24"/>
          <w:lang w:val="fr-FR"/>
        </w:rPr>
        <w:t xml:space="preserve"> En </w:t>
      </w:r>
      <w:r w:rsidR="001D1C09" w:rsidRPr="001D1C09">
        <w:rPr>
          <w:sz w:val="24"/>
          <w:lang w:val="fr-FR"/>
        </w:rPr>
        <w:t>danger critique d</w:t>
      </w:r>
      <w:r w:rsidR="004B2554">
        <w:rPr>
          <w:sz w:val="24"/>
          <w:lang w:val="fr-FR"/>
        </w:rPr>
        <w:t>’</w:t>
      </w:r>
      <w:r w:rsidR="001D1C09" w:rsidRPr="001D1C09">
        <w:rPr>
          <w:sz w:val="24"/>
          <w:lang w:val="fr-FR"/>
        </w:rPr>
        <w:t>extinction</w:t>
      </w:r>
      <w:r w:rsidR="0077397E">
        <w:rPr>
          <w:sz w:val="24"/>
          <w:lang w:val="fr-FR"/>
        </w:rPr>
        <w:t> </w:t>
      </w:r>
      <w:r w:rsidR="001D1C09" w:rsidRPr="001D1C09">
        <w:rPr>
          <w:sz w:val="24"/>
          <w:lang w:val="fr-FR"/>
        </w:rPr>
        <w:t>», «</w:t>
      </w:r>
      <w:r w:rsidR="0077397E">
        <w:rPr>
          <w:sz w:val="24"/>
          <w:lang w:val="fr-FR"/>
        </w:rPr>
        <w:t> En danger </w:t>
      </w:r>
      <w:r w:rsidR="001D1C09" w:rsidRPr="001D1C09">
        <w:rPr>
          <w:sz w:val="24"/>
          <w:lang w:val="fr-FR"/>
        </w:rPr>
        <w:t>», «</w:t>
      </w:r>
      <w:r w:rsidR="0077397E">
        <w:rPr>
          <w:sz w:val="24"/>
          <w:lang w:val="fr-FR"/>
        </w:rPr>
        <w:t> Vulnérable </w:t>
      </w:r>
      <w:r w:rsidR="001D1C09" w:rsidRPr="001D1C09">
        <w:rPr>
          <w:sz w:val="24"/>
          <w:lang w:val="fr-FR"/>
        </w:rPr>
        <w:t>» ou «</w:t>
      </w:r>
      <w:r w:rsidR="0077397E">
        <w:rPr>
          <w:sz w:val="24"/>
          <w:lang w:val="fr-FR"/>
        </w:rPr>
        <w:t> </w:t>
      </w:r>
      <w:r w:rsidR="001D1C09" w:rsidRPr="001D1C09">
        <w:rPr>
          <w:sz w:val="24"/>
          <w:lang w:val="fr-FR"/>
        </w:rPr>
        <w:t>Quasi menacé</w:t>
      </w:r>
      <w:r w:rsidR="0077397E">
        <w:rPr>
          <w:sz w:val="24"/>
          <w:lang w:val="fr-FR"/>
        </w:rPr>
        <w:t> »</w:t>
      </w:r>
      <w:r w:rsidR="001D1C09" w:rsidRPr="001D1C09">
        <w:rPr>
          <w:sz w:val="24"/>
          <w:lang w:val="fr-FR"/>
        </w:rPr>
        <w:t xml:space="preserve"> </w:t>
      </w:r>
      <w:r w:rsidR="008F3499">
        <w:rPr>
          <w:sz w:val="24"/>
          <w:lang w:val="fr-FR"/>
        </w:rPr>
        <w:t>selon les</w:t>
      </w:r>
      <w:r w:rsidR="001D1C09" w:rsidRPr="001D1C09">
        <w:rPr>
          <w:sz w:val="24"/>
          <w:lang w:val="fr-FR"/>
        </w:rPr>
        <w:t xml:space="preserve"> critères de la Liste rouge de l</w:t>
      </w:r>
      <w:r w:rsidR="004B2554">
        <w:rPr>
          <w:sz w:val="24"/>
          <w:lang w:val="fr-FR"/>
        </w:rPr>
        <w:t>’</w:t>
      </w:r>
      <w:r w:rsidR="001D1C09" w:rsidRPr="001D1C09">
        <w:rPr>
          <w:sz w:val="24"/>
          <w:lang w:val="fr-FR"/>
        </w:rPr>
        <w:t xml:space="preserve">UICN </w:t>
      </w:r>
      <w:r w:rsidR="001F2B94">
        <w:rPr>
          <w:sz w:val="24"/>
          <w:lang w:val="fr-FR"/>
        </w:rPr>
        <w:t>est</w:t>
      </w:r>
      <w:r w:rsidR="001D1C09" w:rsidRPr="001D1C09">
        <w:rPr>
          <w:sz w:val="24"/>
          <w:lang w:val="fr-FR"/>
        </w:rPr>
        <w:t xml:space="preserve"> admissible à l</w:t>
      </w:r>
      <w:r w:rsidR="004B2554">
        <w:rPr>
          <w:sz w:val="24"/>
          <w:lang w:val="fr-FR"/>
        </w:rPr>
        <w:t>’</w:t>
      </w:r>
      <w:r w:rsidR="001D1C09" w:rsidRPr="001D1C09">
        <w:rPr>
          <w:sz w:val="24"/>
          <w:lang w:val="fr-FR"/>
        </w:rPr>
        <w:t xml:space="preserve">examen pour </w:t>
      </w:r>
      <w:r w:rsidR="008F3499">
        <w:rPr>
          <w:sz w:val="24"/>
          <w:lang w:val="fr-FR"/>
        </w:rPr>
        <w:t xml:space="preserve">une </w:t>
      </w:r>
      <w:r w:rsidR="001D1C09" w:rsidRPr="001D1C09">
        <w:rPr>
          <w:sz w:val="24"/>
          <w:lang w:val="fr-FR"/>
        </w:rPr>
        <w:lastRenderedPageBreak/>
        <w:t>inscription à l</w:t>
      </w:r>
      <w:r w:rsidR="004B2554">
        <w:rPr>
          <w:sz w:val="24"/>
          <w:lang w:val="fr-FR"/>
        </w:rPr>
        <w:t>’</w:t>
      </w:r>
      <w:r w:rsidR="001D1C09" w:rsidRPr="001D1C09">
        <w:rPr>
          <w:sz w:val="24"/>
          <w:lang w:val="fr-FR"/>
        </w:rPr>
        <w:t>Annexe II</w:t>
      </w:r>
      <w:r w:rsidR="00BD2191">
        <w:rPr>
          <w:sz w:val="24"/>
          <w:lang w:val="fr-FR"/>
        </w:rPr>
        <w:t> ;</w:t>
      </w:r>
      <w:r w:rsidR="001D1C09" w:rsidRPr="001D1C09">
        <w:rPr>
          <w:sz w:val="24"/>
          <w:lang w:val="fr-FR"/>
        </w:rPr>
        <w:t xml:space="preserve"> reconnaissant qu</w:t>
      </w:r>
      <w:r w:rsidR="008F3499">
        <w:rPr>
          <w:sz w:val="24"/>
          <w:lang w:val="fr-FR"/>
        </w:rPr>
        <w:t>’un tel</w:t>
      </w:r>
      <w:r w:rsidR="001D1C09" w:rsidRPr="001D1C09">
        <w:rPr>
          <w:sz w:val="24"/>
          <w:lang w:val="fr-FR"/>
        </w:rPr>
        <w:t xml:space="preserve"> taxon répondent </w:t>
      </w:r>
      <w:r w:rsidR="008F3499">
        <w:rPr>
          <w:sz w:val="24"/>
          <w:lang w:val="fr-FR"/>
        </w:rPr>
        <w:t>au critère</w:t>
      </w:r>
      <w:r w:rsidR="001D1C09" w:rsidRPr="001D1C09">
        <w:rPr>
          <w:sz w:val="24"/>
          <w:lang w:val="fr-FR"/>
        </w:rPr>
        <w:t xml:space="preserve"> de </w:t>
      </w:r>
      <w:r w:rsidR="00BD2191">
        <w:rPr>
          <w:sz w:val="24"/>
          <w:lang w:val="fr-FR"/>
        </w:rPr>
        <w:t>« </w:t>
      </w:r>
      <w:r w:rsidR="001D1C09" w:rsidRPr="001D1C09">
        <w:rPr>
          <w:sz w:val="24"/>
          <w:lang w:val="fr-FR"/>
        </w:rPr>
        <w:t>statut de conservation défavorable</w:t>
      </w:r>
      <w:r w:rsidR="00BD2191">
        <w:rPr>
          <w:sz w:val="24"/>
          <w:lang w:val="fr-FR"/>
        </w:rPr>
        <w:t> »</w:t>
      </w:r>
      <w:r w:rsidR="001D1C09" w:rsidRPr="001D1C09">
        <w:rPr>
          <w:sz w:val="24"/>
          <w:lang w:val="fr-FR"/>
        </w:rPr>
        <w:t xml:space="preserve"> en vertu de la Convention</w:t>
      </w:r>
      <w:r w:rsidR="008F3499">
        <w:rPr>
          <w:sz w:val="24"/>
          <w:lang w:val="fr-FR"/>
        </w:rPr>
        <w:t> ;</w:t>
      </w:r>
    </w:p>
    <w:p w14:paraId="475E82D0" w14:textId="2E7322FF"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u</w:t>
      </w:r>
      <w:r w:rsidR="001D1C09" w:rsidRPr="001D1C09">
        <w:rPr>
          <w:sz w:val="24"/>
          <w:lang w:val="fr-FR"/>
        </w:rPr>
        <w:t>n taxon évalué comme</w:t>
      </w:r>
      <w:r w:rsidR="00BD2191">
        <w:rPr>
          <w:sz w:val="24"/>
          <w:lang w:val="fr-FR"/>
        </w:rPr>
        <w:t xml:space="preserve"> étant dans la catégorie</w:t>
      </w:r>
      <w:r w:rsidR="001D1C09" w:rsidRPr="001D1C09">
        <w:rPr>
          <w:sz w:val="24"/>
          <w:lang w:val="fr-FR"/>
        </w:rPr>
        <w:t xml:space="preserve"> «</w:t>
      </w:r>
      <w:r w:rsidR="0077397E">
        <w:rPr>
          <w:sz w:val="24"/>
          <w:lang w:val="fr-FR"/>
        </w:rPr>
        <w:t> D</w:t>
      </w:r>
      <w:r w:rsidR="001D1C09" w:rsidRPr="001D1C09">
        <w:rPr>
          <w:sz w:val="24"/>
          <w:lang w:val="fr-FR"/>
        </w:rPr>
        <w:t>onnées insuffisantes</w:t>
      </w:r>
      <w:r w:rsidR="0077397E">
        <w:rPr>
          <w:sz w:val="24"/>
          <w:lang w:val="fr-FR"/>
        </w:rPr>
        <w:t> </w:t>
      </w:r>
      <w:r w:rsidR="001D1C09" w:rsidRPr="001D1C09">
        <w:rPr>
          <w:sz w:val="24"/>
          <w:lang w:val="fr-FR"/>
        </w:rPr>
        <w:t xml:space="preserve">» </w:t>
      </w:r>
      <w:r w:rsidR="008F3499">
        <w:rPr>
          <w:sz w:val="24"/>
          <w:lang w:val="fr-FR"/>
        </w:rPr>
        <w:t>selon</w:t>
      </w:r>
      <w:r w:rsidR="007E2E58">
        <w:rPr>
          <w:sz w:val="24"/>
          <w:lang w:val="fr-FR"/>
        </w:rPr>
        <w:t xml:space="preserve"> les critères de la L</w:t>
      </w:r>
      <w:r w:rsidR="001D1C09" w:rsidRPr="001D1C09">
        <w:rPr>
          <w:sz w:val="24"/>
          <w:lang w:val="fr-FR"/>
        </w:rPr>
        <w:t>iste rouge de l</w:t>
      </w:r>
      <w:r w:rsidR="004B2554">
        <w:rPr>
          <w:sz w:val="24"/>
          <w:lang w:val="fr-FR"/>
        </w:rPr>
        <w:t>’</w:t>
      </w:r>
      <w:r w:rsidR="001D1C09" w:rsidRPr="001D1C09">
        <w:rPr>
          <w:sz w:val="24"/>
          <w:lang w:val="fr-FR"/>
        </w:rPr>
        <w:t xml:space="preserve">UICN </w:t>
      </w:r>
      <w:r w:rsidR="00461D8A">
        <w:rPr>
          <w:sz w:val="24"/>
          <w:lang w:val="fr-FR"/>
        </w:rPr>
        <w:t>sera</w:t>
      </w:r>
      <w:r w:rsidR="001D1C09" w:rsidRPr="001D1C09">
        <w:rPr>
          <w:sz w:val="24"/>
          <w:lang w:val="fr-FR"/>
        </w:rPr>
        <w:t xml:space="preserve"> évalué </w:t>
      </w:r>
      <w:r w:rsidR="00A11A9A">
        <w:rPr>
          <w:sz w:val="24"/>
          <w:lang w:val="fr-FR"/>
        </w:rPr>
        <w:t>au regard de</w:t>
      </w:r>
      <w:r w:rsidR="00C35E0E">
        <w:rPr>
          <w:sz w:val="24"/>
          <w:lang w:val="fr-FR"/>
        </w:rPr>
        <w:t xml:space="preserve"> son intérêt </w:t>
      </w:r>
      <w:r w:rsidR="00A11A9A">
        <w:rPr>
          <w:sz w:val="24"/>
          <w:lang w:val="fr-FR"/>
        </w:rPr>
        <w:t>pour une</w:t>
      </w:r>
      <w:r w:rsidR="001D1C09" w:rsidRPr="001D1C09">
        <w:rPr>
          <w:sz w:val="24"/>
          <w:lang w:val="fr-FR"/>
        </w:rPr>
        <w:t xml:space="preserve"> proposition individuelle </w:t>
      </w:r>
      <w:r w:rsidR="00BD2191">
        <w:rPr>
          <w:sz w:val="24"/>
          <w:lang w:val="fr-FR"/>
        </w:rPr>
        <w:t>d’inscription à l’A</w:t>
      </w:r>
      <w:r w:rsidR="001D1C09" w:rsidRPr="001D1C09">
        <w:rPr>
          <w:sz w:val="24"/>
          <w:lang w:val="fr-FR"/>
        </w:rPr>
        <w:t xml:space="preserve">nnexe II. </w:t>
      </w:r>
      <w:r w:rsidR="001D1C09" w:rsidRPr="00C74077">
        <w:rPr>
          <w:sz w:val="24"/>
          <w:lang w:val="fr-FR"/>
        </w:rPr>
        <w:t>Les informations qui peuvent être disponibles depuis l</w:t>
      </w:r>
      <w:r w:rsidR="004B2554">
        <w:rPr>
          <w:sz w:val="24"/>
          <w:lang w:val="fr-FR"/>
        </w:rPr>
        <w:t>’</w:t>
      </w:r>
      <w:r w:rsidR="001D1C09" w:rsidRPr="00C74077">
        <w:rPr>
          <w:sz w:val="24"/>
          <w:lang w:val="fr-FR"/>
        </w:rPr>
        <w:t xml:space="preserve">évaluation </w:t>
      </w:r>
      <w:r w:rsidR="00A11A9A">
        <w:rPr>
          <w:sz w:val="24"/>
          <w:lang w:val="fr-FR"/>
        </w:rPr>
        <w:t>UICN</w:t>
      </w:r>
      <w:r w:rsidR="007E2E58">
        <w:rPr>
          <w:sz w:val="24"/>
          <w:lang w:val="fr-FR"/>
        </w:rPr>
        <w:t xml:space="preserve"> </w:t>
      </w:r>
      <w:r w:rsidR="001D1C09" w:rsidRPr="00C74077">
        <w:rPr>
          <w:sz w:val="24"/>
          <w:lang w:val="fr-FR"/>
        </w:rPr>
        <w:t>doi</w:t>
      </w:r>
      <w:r w:rsidR="00BD2191">
        <w:rPr>
          <w:sz w:val="24"/>
          <w:lang w:val="fr-FR"/>
        </w:rPr>
        <w:t>vent</w:t>
      </w:r>
      <w:r w:rsidR="001D1C09" w:rsidRPr="00C74077">
        <w:rPr>
          <w:sz w:val="24"/>
          <w:lang w:val="fr-FR"/>
        </w:rPr>
        <w:t xml:space="preserve"> être examinée</w:t>
      </w:r>
      <w:r w:rsidR="00BD2191">
        <w:rPr>
          <w:sz w:val="24"/>
          <w:lang w:val="fr-FR"/>
        </w:rPr>
        <w:t>s</w:t>
      </w:r>
      <w:r w:rsidR="001D1C09" w:rsidRPr="00C74077">
        <w:rPr>
          <w:sz w:val="24"/>
          <w:lang w:val="fr-FR"/>
        </w:rPr>
        <w:t xml:space="preserve"> au cas par cas. Il sera exceptionnel </w:t>
      </w:r>
      <w:r w:rsidR="007D19F3">
        <w:rPr>
          <w:sz w:val="24"/>
          <w:lang w:val="fr-FR"/>
        </w:rPr>
        <w:t>qu’</w:t>
      </w:r>
      <w:r w:rsidR="001D1C09" w:rsidRPr="00C74077">
        <w:rPr>
          <w:sz w:val="24"/>
          <w:lang w:val="fr-FR"/>
        </w:rPr>
        <w:t xml:space="preserve">un taxon évalué </w:t>
      </w:r>
      <w:r w:rsidR="00461D8A" w:rsidRPr="00461D8A">
        <w:rPr>
          <w:sz w:val="24"/>
          <w:lang w:val="fr-FR"/>
        </w:rPr>
        <w:t xml:space="preserve">comme étant dans la catégorie « Données insuffisantes » </w:t>
      </w:r>
      <w:r w:rsidR="007D19F3">
        <w:rPr>
          <w:sz w:val="24"/>
          <w:lang w:val="fr-FR"/>
        </w:rPr>
        <w:t>soit</w:t>
      </w:r>
      <w:r w:rsidR="001D1C09" w:rsidRPr="00C74077">
        <w:rPr>
          <w:sz w:val="24"/>
          <w:lang w:val="fr-FR"/>
        </w:rPr>
        <w:t xml:space="preserve"> </w:t>
      </w:r>
      <w:r w:rsidR="00BD2191">
        <w:rPr>
          <w:sz w:val="24"/>
          <w:lang w:val="fr-FR"/>
        </w:rPr>
        <w:t>examiné</w:t>
      </w:r>
      <w:r w:rsidR="001D1C09" w:rsidRPr="00C74077">
        <w:rPr>
          <w:sz w:val="24"/>
          <w:lang w:val="fr-FR"/>
        </w:rPr>
        <w:t xml:space="preserve"> pour </w:t>
      </w:r>
      <w:r w:rsidR="007E2E58">
        <w:rPr>
          <w:sz w:val="24"/>
          <w:lang w:val="fr-FR"/>
        </w:rPr>
        <w:t xml:space="preserve">une </w:t>
      </w:r>
      <w:r w:rsidR="001D1C09" w:rsidRPr="00C74077">
        <w:rPr>
          <w:sz w:val="24"/>
          <w:lang w:val="fr-FR"/>
        </w:rPr>
        <w:t>inscription à l</w:t>
      </w:r>
      <w:r w:rsidR="004B2554">
        <w:rPr>
          <w:sz w:val="24"/>
          <w:lang w:val="fr-FR"/>
        </w:rPr>
        <w:t>’</w:t>
      </w:r>
      <w:r w:rsidR="001D1C09" w:rsidRPr="00C74077">
        <w:rPr>
          <w:sz w:val="24"/>
          <w:lang w:val="fr-FR"/>
        </w:rPr>
        <w:t>Annexe</w:t>
      </w:r>
      <w:r w:rsidR="00BD2191">
        <w:rPr>
          <w:sz w:val="24"/>
          <w:lang w:val="fr-FR"/>
        </w:rPr>
        <w:t> </w:t>
      </w:r>
      <w:r w:rsidR="001D1C09" w:rsidRPr="00C74077">
        <w:rPr>
          <w:sz w:val="24"/>
          <w:lang w:val="fr-FR"/>
        </w:rPr>
        <w:t>I.</w:t>
      </w:r>
    </w:p>
    <w:p w14:paraId="58E478EC" w14:textId="77777777" w:rsidR="00766CF2" w:rsidRPr="00C74077" w:rsidRDefault="00766CF2" w:rsidP="00766CF2">
      <w:pPr>
        <w:widowControl/>
        <w:tabs>
          <w:tab w:val="left" w:pos="-90"/>
        </w:tabs>
        <w:autoSpaceDE/>
        <w:autoSpaceDN/>
        <w:adjustRightInd/>
        <w:ind w:left="1440"/>
        <w:jc w:val="both"/>
        <w:rPr>
          <w:rFonts w:eastAsia="Calibri"/>
          <w:sz w:val="24"/>
          <w:lang w:val="fr-FR"/>
        </w:rPr>
      </w:pPr>
    </w:p>
    <w:p w14:paraId="3D55AD44" w14:textId="664C8A58"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l</w:t>
      </w:r>
      <w:r w:rsidR="004B2554">
        <w:rPr>
          <w:sz w:val="24"/>
          <w:lang w:val="fr-FR"/>
        </w:rPr>
        <w:t>’</w:t>
      </w:r>
      <w:r w:rsidR="001D1C09" w:rsidRPr="001D1C09">
        <w:rPr>
          <w:sz w:val="24"/>
          <w:lang w:val="fr-FR"/>
        </w:rPr>
        <w:t>échelle de l</w:t>
      </w:r>
      <w:r w:rsidR="004B2554">
        <w:rPr>
          <w:sz w:val="24"/>
          <w:lang w:val="fr-FR"/>
        </w:rPr>
        <w:t>’</w:t>
      </w:r>
      <w:r w:rsidR="001D1C09" w:rsidRPr="001D1C09">
        <w:rPr>
          <w:sz w:val="24"/>
          <w:lang w:val="fr-FR"/>
        </w:rPr>
        <w:t xml:space="preserve">évaluation de la </w:t>
      </w:r>
      <w:r w:rsidR="00BD2191">
        <w:rPr>
          <w:sz w:val="24"/>
          <w:lang w:val="fr-FR"/>
        </w:rPr>
        <w:t>L</w:t>
      </w:r>
      <w:r w:rsidR="001D1C09" w:rsidRPr="001D1C09">
        <w:rPr>
          <w:sz w:val="24"/>
          <w:lang w:val="fr-FR"/>
        </w:rPr>
        <w:t>iste rouge doit correspondre à l</w:t>
      </w:r>
      <w:r w:rsidR="004B2554">
        <w:rPr>
          <w:sz w:val="24"/>
          <w:lang w:val="fr-FR"/>
        </w:rPr>
        <w:t>’</w:t>
      </w:r>
      <w:r w:rsidR="001D1C09" w:rsidRPr="001D1C09">
        <w:rPr>
          <w:sz w:val="24"/>
          <w:lang w:val="fr-FR"/>
        </w:rPr>
        <w:t>échelle de la proposition d</w:t>
      </w:r>
      <w:r w:rsidR="004B2554">
        <w:rPr>
          <w:sz w:val="24"/>
          <w:lang w:val="fr-FR"/>
        </w:rPr>
        <w:t>’</w:t>
      </w:r>
      <w:r w:rsidR="001D1C09" w:rsidRPr="001D1C09">
        <w:rPr>
          <w:sz w:val="24"/>
          <w:lang w:val="fr-FR"/>
        </w:rPr>
        <w:t xml:space="preserve">inscription. </w:t>
      </w:r>
      <w:r w:rsidR="001D1C09" w:rsidRPr="00C74077">
        <w:rPr>
          <w:sz w:val="24"/>
          <w:lang w:val="fr-FR"/>
        </w:rPr>
        <w:t xml:space="preserve">Ainsi, pour une proposition visant à </w:t>
      </w:r>
      <w:r w:rsidR="00BD2191">
        <w:rPr>
          <w:sz w:val="24"/>
          <w:lang w:val="fr-FR"/>
        </w:rPr>
        <w:t>inscrire</w:t>
      </w:r>
      <w:r w:rsidR="001D1C09" w:rsidRPr="00C74077">
        <w:rPr>
          <w:sz w:val="24"/>
          <w:lang w:val="fr-FR"/>
        </w:rPr>
        <w:t xml:space="preserve"> une espèce </w:t>
      </w:r>
      <w:r w:rsidR="00BD2191">
        <w:rPr>
          <w:sz w:val="24"/>
          <w:lang w:val="fr-FR"/>
        </w:rPr>
        <w:t>aux</w:t>
      </w:r>
      <w:r w:rsidR="001D1C09" w:rsidRPr="00C74077">
        <w:rPr>
          <w:sz w:val="24"/>
          <w:lang w:val="fr-FR"/>
        </w:rPr>
        <w:t xml:space="preserve"> </w:t>
      </w:r>
      <w:r w:rsidR="00F455BC">
        <w:rPr>
          <w:sz w:val="24"/>
          <w:lang w:val="fr-FR"/>
        </w:rPr>
        <w:t>a</w:t>
      </w:r>
      <w:r w:rsidR="001D1C09" w:rsidRPr="00C74077">
        <w:rPr>
          <w:sz w:val="24"/>
          <w:lang w:val="fr-FR"/>
        </w:rPr>
        <w:t>nnexes, l</w:t>
      </w:r>
      <w:r w:rsidR="004B2554">
        <w:rPr>
          <w:sz w:val="24"/>
          <w:lang w:val="fr-FR"/>
        </w:rPr>
        <w:t>’</w:t>
      </w:r>
      <w:r w:rsidR="001D1C09" w:rsidRPr="00C74077">
        <w:rPr>
          <w:sz w:val="24"/>
          <w:lang w:val="fr-FR"/>
        </w:rPr>
        <w:t xml:space="preserve">évaluation de la </w:t>
      </w:r>
      <w:r w:rsidR="00BD2191">
        <w:rPr>
          <w:sz w:val="24"/>
          <w:lang w:val="fr-FR"/>
        </w:rPr>
        <w:t>L</w:t>
      </w:r>
      <w:r w:rsidR="001D1C09" w:rsidRPr="00C74077">
        <w:rPr>
          <w:sz w:val="24"/>
          <w:lang w:val="fr-FR"/>
        </w:rPr>
        <w:t xml:space="preserve">iste rouge utilisée doit être une évaluation </w:t>
      </w:r>
      <w:r w:rsidR="00A11A9A">
        <w:rPr>
          <w:sz w:val="24"/>
          <w:lang w:val="fr-FR"/>
        </w:rPr>
        <w:t>globale</w:t>
      </w:r>
      <w:r w:rsidR="001D1C09" w:rsidRPr="00C74077">
        <w:rPr>
          <w:sz w:val="24"/>
          <w:lang w:val="fr-FR"/>
        </w:rPr>
        <w:t xml:space="preserve">. </w:t>
      </w:r>
      <w:r w:rsidR="001D1C09" w:rsidRPr="001D1C09">
        <w:rPr>
          <w:sz w:val="24"/>
          <w:lang w:val="fr-FR"/>
        </w:rPr>
        <w:t xml:space="preserve">Cependant, </w:t>
      </w:r>
      <w:r w:rsidR="00BD2191" w:rsidRPr="001D1C09">
        <w:rPr>
          <w:sz w:val="24"/>
          <w:lang w:val="fr-FR"/>
        </w:rPr>
        <w:t>s’il</w:t>
      </w:r>
      <w:r w:rsidR="001D1C09" w:rsidRPr="001D1C09">
        <w:rPr>
          <w:sz w:val="24"/>
          <w:lang w:val="fr-FR"/>
        </w:rPr>
        <w:t xml:space="preserve"> est proposé d</w:t>
      </w:r>
      <w:r w:rsidR="004B2554">
        <w:rPr>
          <w:sz w:val="24"/>
          <w:lang w:val="fr-FR"/>
        </w:rPr>
        <w:t>’</w:t>
      </w:r>
      <w:r w:rsidR="001D1C09" w:rsidRPr="001D1C09">
        <w:rPr>
          <w:sz w:val="24"/>
          <w:lang w:val="fr-FR"/>
        </w:rPr>
        <w:t>in</w:t>
      </w:r>
      <w:r w:rsidR="00BD2191">
        <w:rPr>
          <w:sz w:val="24"/>
          <w:lang w:val="fr-FR"/>
        </w:rPr>
        <w:t xml:space="preserve">scrire une population ou </w:t>
      </w:r>
      <w:r w:rsidR="001D1C09" w:rsidRPr="001D1C09">
        <w:rPr>
          <w:sz w:val="24"/>
          <w:lang w:val="fr-FR"/>
        </w:rPr>
        <w:t xml:space="preserve">une partie géographiquement </w:t>
      </w:r>
      <w:r w:rsidR="00BD2191">
        <w:rPr>
          <w:sz w:val="24"/>
          <w:lang w:val="fr-FR"/>
        </w:rPr>
        <w:t xml:space="preserve">distincte </w:t>
      </w:r>
      <w:r w:rsidR="001D1C09" w:rsidRPr="001D1C09">
        <w:rPr>
          <w:sz w:val="24"/>
          <w:lang w:val="fr-FR"/>
        </w:rPr>
        <w:t xml:space="preserve">de la population </w:t>
      </w:r>
      <w:r w:rsidR="00BD2191">
        <w:rPr>
          <w:sz w:val="24"/>
          <w:lang w:val="fr-FR"/>
        </w:rPr>
        <w:t>d’une espèce</w:t>
      </w:r>
      <w:r w:rsidR="001D1C09" w:rsidRPr="001D1C09">
        <w:rPr>
          <w:sz w:val="24"/>
          <w:lang w:val="fr-FR"/>
        </w:rPr>
        <w:t>, l</w:t>
      </w:r>
      <w:r w:rsidR="004B2554">
        <w:rPr>
          <w:sz w:val="24"/>
          <w:lang w:val="fr-FR"/>
        </w:rPr>
        <w:t>’</w:t>
      </w:r>
      <w:r w:rsidR="00BD2191">
        <w:rPr>
          <w:sz w:val="24"/>
          <w:lang w:val="fr-FR"/>
        </w:rPr>
        <w:t>évaluation de la L</w:t>
      </w:r>
      <w:r w:rsidR="001D1C09" w:rsidRPr="001D1C09">
        <w:rPr>
          <w:sz w:val="24"/>
          <w:lang w:val="fr-FR"/>
        </w:rPr>
        <w:t>iste rouge utilisé</w:t>
      </w:r>
      <w:r w:rsidR="00BD2191">
        <w:rPr>
          <w:sz w:val="24"/>
          <w:lang w:val="fr-FR"/>
        </w:rPr>
        <w:t>e</w:t>
      </w:r>
      <w:r w:rsidR="001D1C09" w:rsidRPr="001D1C09">
        <w:rPr>
          <w:sz w:val="24"/>
          <w:lang w:val="fr-FR"/>
        </w:rPr>
        <w:t xml:space="preserve"> </w:t>
      </w:r>
      <w:r w:rsidR="00BD2191">
        <w:rPr>
          <w:sz w:val="24"/>
          <w:lang w:val="fr-FR"/>
        </w:rPr>
        <w:t>doit porter sur</w:t>
      </w:r>
      <w:r w:rsidR="001D1C09" w:rsidRPr="001D1C09">
        <w:rPr>
          <w:sz w:val="24"/>
          <w:lang w:val="fr-FR"/>
        </w:rPr>
        <w:t xml:space="preserve"> cette population ou </w:t>
      </w:r>
      <w:r w:rsidR="00BD2191">
        <w:rPr>
          <w:sz w:val="24"/>
          <w:lang w:val="fr-FR"/>
        </w:rPr>
        <w:t>cette</w:t>
      </w:r>
      <w:r w:rsidR="001D1C09" w:rsidRPr="001D1C09">
        <w:rPr>
          <w:sz w:val="24"/>
          <w:lang w:val="fr-FR"/>
        </w:rPr>
        <w:t xml:space="preserve"> partie de </w:t>
      </w:r>
      <w:r w:rsidR="00BD2191">
        <w:rPr>
          <w:sz w:val="24"/>
          <w:lang w:val="fr-FR"/>
        </w:rPr>
        <w:t>la</w:t>
      </w:r>
      <w:r w:rsidR="001D1C09" w:rsidRPr="001D1C09">
        <w:rPr>
          <w:sz w:val="24"/>
          <w:lang w:val="fr-FR"/>
        </w:rPr>
        <w:t xml:space="preserve"> population</w:t>
      </w:r>
      <w:r w:rsidR="00C35E0E">
        <w:rPr>
          <w:sz w:val="24"/>
          <w:lang w:val="fr-FR"/>
        </w:rPr>
        <w:t> ;</w:t>
      </w:r>
    </w:p>
    <w:p w14:paraId="4FFFDC9C" w14:textId="77777777" w:rsidR="00766CF2" w:rsidRPr="00C74077" w:rsidRDefault="00766CF2" w:rsidP="00766CF2">
      <w:pPr>
        <w:widowControl/>
        <w:tabs>
          <w:tab w:val="left" w:pos="-90"/>
        </w:tabs>
        <w:autoSpaceDE/>
        <w:autoSpaceDN/>
        <w:adjustRightInd/>
        <w:ind w:left="1440"/>
        <w:jc w:val="both"/>
        <w:rPr>
          <w:rFonts w:eastAsia="Calibri"/>
          <w:sz w:val="24"/>
          <w:lang w:val="fr-FR"/>
        </w:rPr>
      </w:pPr>
    </w:p>
    <w:p w14:paraId="23C05E98" w14:textId="202FD97A"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l</w:t>
      </w:r>
      <w:r w:rsidR="00B6367B">
        <w:rPr>
          <w:sz w:val="24"/>
          <w:lang w:val="fr-FR"/>
        </w:rPr>
        <w:t xml:space="preserve">orsqu’il est décidé si </w:t>
      </w:r>
      <w:r w:rsidR="001D1C09" w:rsidRPr="001D1C09">
        <w:rPr>
          <w:sz w:val="24"/>
          <w:lang w:val="fr-FR"/>
        </w:rPr>
        <w:t xml:space="preserve">un taxon </w:t>
      </w:r>
      <w:r w:rsidR="00B6367B">
        <w:rPr>
          <w:sz w:val="24"/>
          <w:lang w:val="fr-FR"/>
        </w:rPr>
        <w:t xml:space="preserve">remplit les critères d’inscription à </w:t>
      </w:r>
      <w:r w:rsidR="001D1C09" w:rsidRPr="001D1C09">
        <w:rPr>
          <w:sz w:val="24"/>
          <w:lang w:val="fr-FR"/>
        </w:rPr>
        <w:t>l</w:t>
      </w:r>
      <w:r w:rsidR="004B2554">
        <w:rPr>
          <w:sz w:val="24"/>
          <w:lang w:val="fr-FR"/>
        </w:rPr>
        <w:t>’</w:t>
      </w:r>
      <w:r w:rsidR="001D1C09" w:rsidRPr="001D1C09">
        <w:rPr>
          <w:sz w:val="24"/>
          <w:lang w:val="fr-FR"/>
        </w:rPr>
        <w:t xml:space="preserve">Annexe I ou </w:t>
      </w:r>
      <w:r w:rsidR="00B6367B">
        <w:rPr>
          <w:sz w:val="24"/>
          <w:lang w:val="fr-FR"/>
        </w:rPr>
        <w:t xml:space="preserve">à </w:t>
      </w:r>
      <w:r w:rsidR="001D1C09" w:rsidRPr="001D1C09">
        <w:rPr>
          <w:sz w:val="24"/>
          <w:lang w:val="fr-FR"/>
        </w:rPr>
        <w:t>l</w:t>
      </w:r>
      <w:r w:rsidR="004B2554">
        <w:rPr>
          <w:sz w:val="24"/>
          <w:lang w:val="fr-FR"/>
        </w:rPr>
        <w:t>’</w:t>
      </w:r>
      <w:r w:rsidR="00B6367B">
        <w:rPr>
          <w:sz w:val="24"/>
          <w:lang w:val="fr-FR"/>
        </w:rPr>
        <w:t>A</w:t>
      </w:r>
      <w:r w:rsidR="001D1C09" w:rsidRPr="001D1C09">
        <w:rPr>
          <w:sz w:val="24"/>
          <w:lang w:val="fr-FR"/>
        </w:rPr>
        <w:t xml:space="preserve">nnexe II, les informations disponibles depuis la dernière évaluation </w:t>
      </w:r>
      <w:r w:rsidR="00B6367B">
        <w:rPr>
          <w:sz w:val="24"/>
          <w:lang w:val="fr-FR"/>
        </w:rPr>
        <w:t>de la L</w:t>
      </w:r>
      <w:r w:rsidR="001D1C09" w:rsidRPr="001D1C09">
        <w:rPr>
          <w:sz w:val="24"/>
          <w:lang w:val="fr-FR"/>
        </w:rPr>
        <w:t>iste rouge de l</w:t>
      </w:r>
      <w:r w:rsidR="004B2554">
        <w:rPr>
          <w:sz w:val="24"/>
          <w:lang w:val="fr-FR"/>
        </w:rPr>
        <w:t>’</w:t>
      </w:r>
      <w:r w:rsidR="001D1C09" w:rsidRPr="001D1C09">
        <w:rPr>
          <w:sz w:val="24"/>
          <w:lang w:val="fr-FR"/>
        </w:rPr>
        <w:t xml:space="preserve">UICN pour </w:t>
      </w:r>
      <w:r w:rsidR="00B6367B">
        <w:rPr>
          <w:sz w:val="24"/>
          <w:lang w:val="fr-FR"/>
        </w:rPr>
        <w:t>ce</w:t>
      </w:r>
      <w:r w:rsidR="001D1C09" w:rsidRPr="001D1C09">
        <w:rPr>
          <w:sz w:val="24"/>
          <w:lang w:val="fr-FR"/>
        </w:rPr>
        <w:t xml:space="preserve"> taxon doi</w:t>
      </w:r>
      <w:r w:rsidR="00B6367B">
        <w:rPr>
          <w:sz w:val="24"/>
          <w:lang w:val="fr-FR"/>
        </w:rPr>
        <w:t>vent</w:t>
      </w:r>
      <w:r w:rsidR="001D1C09" w:rsidRPr="001D1C09">
        <w:rPr>
          <w:sz w:val="24"/>
          <w:lang w:val="fr-FR"/>
        </w:rPr>
        <w:t xml:space="preserve"> également être pris</w:t>
      </w:r>
      <w:r w:rsidR="00B6367B">
        <w:rPr>
          <w:sz w:val="24"/>
          <w:lang w:val="fr-FR"/>
        </w:rPr>
        <w:t>es</w:t>
      </w:r>
      <w:r w:rsidR="001D1C09" w:rsidRPr="001D1C09">
        <w:rPr>
          <w:sz w:val="24"/>
          <w:lang w:val="fr-FR"/>
        </w:rPr>
        <w:t xml:space="preserve"> en compte - en utilisant les mêmes principes et pourcentage</w:t>
      </w:r>
      <w:r w:rsidR="00B6367B">
        <w:rPr>
          <w:sz w:val="24"/>
          <w:lang w:val="fr-FR"/>
        </w:rPr>
        <w:t>s de variation</w:t>
      </w:r>
      <w:r w:rsidR="001D1C09" w:rsidRPr="001D1C09">
        <w:rPr>
          <w:sz w:val="24"/>
          <w:lang w:val="fr-FR"/>
        </w:rPr>
        <w:t xml:space="preserve"> </w:t>
      </w:r>
      <w:r w:rsidR="00B6367B">
        <w:rPr>
          <w:sz w:val="24"/>
          <w:lang w:val="fr-FR"/>
        </w:rPr>
        <w:t xml:space="preserve">des </w:t>
      </w:r>
      <w:r w:rsidR="001D1C09" w:rsidRPr="001D1C09">
        <w:rPr>
          <w:sz w:val="24"/>
          <w:lang w:val="fr-FR"/>
        </w:rPr>
        <w:t xml:space="preserve">populations que </w:t>
      </w:r>
      <w:r w:rsidR="00B6367B">
        <w:rPr>
          <w:sz w:val="24"/>
          <w:lang w:val="fr-FR"/>
        </w:rPr>
        <w:t xml:space="preserve">dans </w:t>
      </w:r>
      <w:r w:rsidR="001D1C09" w:rsidRPr="001D1C09">
        <w:rPr>
          <w:sz w:val="24"/>
          <w:lang w:val="fr-FR"/>
        </w:rPr>
        <w:t xml:space="preserve">le processus </w:t>
      </w:r>
      <w:r w:rsidR="00B6367B">
        <w:rPr>
          <w:sz w:val="24"/>
          <w:lang w:val="fr-FR"/>
        </w:rPr>
        <w:t>d’évaluation de la Liste rouge</w:t>
      </w:r>
      <w:r w:rsidR="00C35E0E">
        <w:rPr>
          <w:sz w:val="24"/>
          <w:lang w:val="fr-FR"/>
        </w:rPr>
        <w:t> ;</w:t>
      </w:r>
    </w:p>
    <w:p w14:paraId="25BF3593" w14:textId="77777777" w:rsidR="00766CF2" w:rsidRPr="001D1C09" w:rsidRDefault="00766CF2" w:rsidP="00766CF2">
      <w:pPr>
        <w:widowControl/>
        <w:tabs>
          <w:tab w:val="left" w:pos="-90"/>
        </w:tabs>
        <w:autoSpaceDE/>
        <w:autoSpaceDN/>
        <w:adjustRightInd/>
        <w:ind w:left="1440"/>
        <w:jc w:val="both"/>
        <w:rPr>
          <w:rFonts w:eastAsia="Calibri"/>
          <w:sz w:val="24"/>
          <w:lang w:val="fr-FR"/>
        </w:rPr>
      </w:pPr>
    </w:p>
    <w:p w14:paraId="4521038C" w14:textId="132F1D57" w:rsidR="001D1C09" w:rsidRPr="00766CF2" w:rsidRDefault="00766CF2" w:rsidP="00766CF2">
      <w:pPr>
        <w:widowControl/>
        <w:numPr>
          <w:ilvl w:val="1"/>
          <w:numId w:val="48"/>
        </w:numPr>
        <w:tabs>
          <w:tab w:val="left" w:pos="-90"/>
        </w:tabs>
        <w:autoSpaceDE/>
        <w:autoSpaceDN/>
        <w:adjustRightInd/>
        <w:ind w:hanging="720"/>
        <w:jc w:val="both"/>
        <w:rPr>
          <w:rFonts w:eastAsia="Calibri"/>
          <w:sz w:val="24"/>
          <w:lang w:val="fr-FR"/>
        </w:rPr>
      </w:pPr>
      <w:r>
        <w:rPr>
          <w:sz w:val="24"/>
          <w:lang w:val="fr-FR"/>
        </w:rPr>
        <w:t>s</w:t>
      </w:r>
      <w:r w:rsidR="001D1C09" w:rsidRPr="001D1C09">
        <w:rPr>
          <w:sz w:val="24"/>
          <w:lang w:val="fr-FR"/>
        </w:rPr>
        <w:t xml:space="preserve">i une évaluation </w:t>
      </w:r>
      <w:r w:rsidR="00D24EBD">
        <w:rPr>
          <w:sz w:val="24"/>
          <w:lang w:val="fr-FR"/>
        </w:rPr>
        <w:t>de la L</w:t>
      </w:r>
      <w:r w:rsidR="001D1C09" w:rsidRPr="001D1C09">
        <w:rPr>
          <w:sz w:val="24"/>
          <w:lang w:val="fr-FR"/>
        </w:rPr>
        <w:t>iste rouge de l</w:t>
      </w:r>
      <w:r w:rsidR="004B2554">
        <w:rPr>
          <w:sz w:val="24"/>
          <w:lang w:val="fr-FR"/>
        </w:rPr>
        <w:t>’</w:t>
      </w:r>
      <w:r w:rsidR="001D1C09" w:rsidRPr="001D1C09">
        <w:rPr>
          <w:sz w:val="24"/>
          <w:lang w:val="fr-FR"/>
        </w:rPr>
        <w:t>UICN n</w:t>
      </w:r>
      <w:r w:rsidR="004B2554">
        <w:rPr>
          <w:sz w:val="24"/>
          <w:lang w:val="fr-FR"/>
        </w:rPr>
        <w:t>’</w:t>
      </w:r>
      <w:r w:rsidR="001D1C09" w:rsidRPr="001D1C09">
        <w:rPr>
          <w:sz w:val="24"/>
          <w:lang w:val="fr-FR"/>
        </w:rPr>
        <w:t xml:space="preserve">est pas disponible pour un taxon, des informations équivalentes - en utilisant les mêmes </w:t>
      </w:r>
      <w:r w:rsidR="00D24EBD" w:rsidRPr="00D24EBD">
        <w:rPr>
          <w:sz w:val="24"/>
          <w:lang w:val="fr-FR"/>
        </w:rPr>
        <w:t>principes et pourcentages de variation des populations que dans le processus d’évaluation de la Liste rouge</w:t>
      </w:r>
      <w:r w:rsidR="00D24EBD">
        <w:rPr>
          <w:sz w:val="24"/>
          <w:lang w:val="fr-FR"/>
        </w:rPr>
        <w:t xml:space="preserve"> -</w:t>
      </w:r>
      <w:r w:rsidR="001D1C09" w:rsidRPr="001D1C09">
        <w:rPr>
          <w:sz w:val="24"/>
          <w:lang w:val="fr-FR"/>
        </w:rPr>
        <w:t xml:space="preserve"> </w:t>
      </w:r>
      <w:r w:rsidR="00D24EBD">
        <w:rPr>
          <w:sz w:val="24"/>
          <w:lang w:val="fr-FR"/>
        </w:rPr>
        <w:t>doivent</w:t>
      </w:r>
      <w:r w:rsidR="001D1C09" w:rsidRPr="001D1C09">
        <w:rPr>
          <w:sz w:val="24"/>
          <w:lang w:val="fr-FR"/>
        </w:rPr>
        <w:t xml:space="preserve"> être fournie</w:t>
      </w:r>
      <w:r w:rsidR="00D24EBD">
        <w:rPr>
          <w:sz w:val="24"/>
          <w:lang w:val="fr-FR"/>
        </w:rPr>
        <w:t>s</w:t>
      </w:r>
      <w:r w:rsidR="001D1C09" w:rsidRPr="001D1C09">
        <w:rPr>
          <w:sz w:val="24"/>
          <w:lang w:val="fr-FR"/>
        </w:rPr>
        <w:t xml:space="preserve"> dans la proposition d</w:t>
      </w:r>
      <w:r w:rsidR="004B2554">
        <w:rPr>
          <w:sz w:val="24"/>
          <w:lang w:val="fr-FR"/>
        </w:rPr>
        <w:t>’</w:t>
      </w:r>
      <w:r w:rsidR="001D1C09" w:rsidRPr="001D1C09">
        <w:rPr>
          <w:sz w:val="24"/>
          <w:lang w:val="fr-FR"/>
        </w:rPr>
        <w:t xml:space="preserve">inscription pour </w:t>
      </w:r>
      <w:r w:rsidR="007D19F3">
        <w:rPr>
          <w:sz w:val="24"/>
          <w:lang w:val="fr-FR"/>
        </w:rPr>
        <w:t>qu’elle puisse être</w:t>
      </w:r>
      <w:r w:rsidR="001D1C09" w:rsidRPr="001D1C09">
        <w:rPr>
          <w:sz w:val="24"/>
          <w:lang w:val="fr-FR"/>
        </w:rPr>
        <w:t xml:space="preserve"> évalué</w:t>
      </w:r>
      <w:r w:rsidR="00D24EBD">
        <w:rPr>
          <w:sz w:val="24"/>
          <w:lang w:val="fr-FR"/>
        </w:rPr>
        <w:t>e</w:t>
      </w:r>
      <w:r w:rsidR="001D1C09" w:rsidRPr="001D1C09">
        <w:rPr>
          <w:sz w:val="24"/>
          <w:lang w:val="fr-FR"/>
        </w:rPr>
        <w:t xml:space="preserve"> sur une base équivalente.</w:t>
      </w:r>
    </w:p>
    <w:p w14:paraId="33770745" w14:textId="77777777" w:rsidR="00766CF2" w:rsidRPr="001D1C09" w:rsidRDefault="00766CF2" w:rsidP="00766CF2">
      <w:pPr>
        <w:widowControl/>
        <w:tabs>
          <w:tab w:val="left" w:pos="-90"/>
        </w:tabs>
        <w:autoSpaceDE/>
        <w:autoSpaceDN/>
        <w:adjustRightInd/>
        <w:ind w:left="1440"/>
        <w:jc w:val="both"/>
        <w:rPr>
          <w:rFonts w:eastAsia="Calibri"/>
          <w:sz w:val="24"/>
          <w:lang w:val="fr-FR"/>
        </w:rPr>
      </w:pPr>
    </w:p>
    <w:p w14:paraId="4B993140" w14:textId="740A01C8" w:rsidR="001D1C09" w:rsidRPr="00766CF2" w:rsidRDefault="001D1C09" w:rsidP="00766CF2">
      <w:pPr>
        <w:widowControl/>
        <w:numPr>
          <w:ilvl w:val="0"/>
          <w:numId w:val="48"/>
        </w:numPr>
        <w:autoSpaceDE/>
        <w:autoSpaceDN/>
        <w:adjustRightInd/>
        <w:ind w:left="0" w:firstLine="0"/>
        <w:jc w:val="both"/>
        <w:rPr>
          <w:rFonts w:eastAsia="Calibri"/>
          <w:spacing w:val="-2"/>
          <w:sz w:val="24"/>
          <w:lang w:val="fr-FR"/>
        </w:rPr>
      </w:pPr>
      <w:r w:rsidRPr="00C74077">
        <w:rPr>
          <w:sz w:val="24"/>
          <w:lang w:val="fr-FR"/>
        </w:rPr>
        <w:t xml:space="preserve">Les avantages et les risques </w:t>
      </w:r>
      <w:r w:rsidR="002470E8">
        <w:rPr>
          <w:sz w:val="24"/>
          <w:lang w:val="fr-FR"/>
        </w:rPr>
        <w:t xml:space="preserve">en </w:t>
      </w:r>
      <w:r w:rsidR="00D8689E">
        <w:rPr>
          <w:sz w:val="24"/>
          <w:lang w:val="fr-FR"/>
        </w:rPr>
        <w:t>matière</w:t>
      </w:r>
      <w:r w:rsidRPr="00C74077">
        <w:rPr>
          <w:sz w:val="24"/>
          <w:lang w:val="fr-FR"/>
        </w:rPr>
        <w:t xml:space="preserve"> </w:t>
      </w:r>
      <w:r w:rsidR="007E2E58">
        <w:rPr>
          <w:sz w:val="24"/>
          <w:lang w:val="fr-FR"/>
        </w:rPr>
        <w:t xml:space="preserve">de </w:t>
      </w:r>
      <w:r w:rsidRPr="00C74077">
        <w:rPr>
          <w:sz w:val="24"/>
          <w:lang w:val="fr-FR"/>
        </w:rPr>
        <w:t>conservation</w:t>
      </w:r>
      <w:r w:rsidR="007E2E58">
        <w:rPr>
          <w:sz w:val="24"/>
          <w:lang w:val="fr-FR"/>
        </w:rPr>
        <w:t>,</w:t>
      </w:r>
      <w:r w:rsidRPr="00C74077">
        <w:rPr>
          <w:sz w:val="24"/>
          <w:lang w:val="fr-FR"/>
        </w:rPr>
        <w:t xml:space="preserve"> </w:t>
      </w:r>
      <w:r w:rsidR="00FA1A69">
        <w:rPr>
          <w:sz w:val="24"/>
          <w:lang w:val="fr-FR"/>
        </w:rPr>
        <w:t>découlant de</w:t>
      </w:r>
      <w:r w:rsidRPr="00C74077">
        <w:rPr>
          <w:sz w:val="24"/>
          <w:lang w:val="fr-FR"/>
        </w:rPr>
        <w:t xml:space="preserve"> l</w:t>
      </w:r>
      <w:r w:rsidR="004B2554">
        <w:rPr>
          <w:sz w:val="24"/>
          <w:lang w:val="fr-FR"/>
        </w:rPr>
        <w:t>’</w:t>
      </w:r>
      <w:r w:rsidRPr="00C74077">
        <w:rPr>
          <w:sz w:val="24"/>
          <w:lang w:val="fr-FR"/>
        </w:rPr>
        <w:t xml:space="preserve">inscription ou </w:t>
      </w:r>
      <w:r w:rsidR="00FA1A69">
        <w:rPr>
          <w:sz w:val="24"/>
          <w:lang w:val="fr-FR"/>
        </w:rPr>
        <w:t>du</w:t>
      </w:r>
      <w:r w:rsidR="007E2E58">
        <w:rPr>
          <w:sz w:val="24"/>
          <w:lang w:val="fr-FR"/>
        </w:rPr>
        <w:t xml:space="preserve"> retrait d’un taxon,</w:t>
      </w:r>
      <w:r w:rsidRPr="00C74077">
        <w:rPr>
          <w:sz w:val="24"/>
          <w:lang w:val="fr-FR"/>
        </w:rPr>
        <w:t xml:space="preserve"> doivent être indiqués explicitement </w:t>
      </w:r>
      <w:r w:rsidR="002470E8">
        <w:rPr>
          <w:sz w:val="24"/>
          <w:lang w:val="fr-FR"/>
        </w:rPr>
        <w:t xml:space="preserve">dans </w:t>
      </w:r>
      <w:r w:rsidRPr="00C74077">
        <w:rPr>
          <w:sz w:val="24"/>
          <w:lang w:val="fr-FR"/>
        </w:rPr>
        <w:t>les propositions</w:t>
      </w:r>
      <w:r w:rsidR="002470E8">
        <w:rPr>
          <w:sz w:val="24"/>
          <w:lang w:val="fr-FR"/>
        </w:rPr>
        <w:t xml:space="preserve"> </w:t>
      </w:r>
      <w:r w:rsidR="00174343">
        <w:rPr>
          <w:sz w:val="24"/>
          <w:lang w:val="fr-FR"/>
        </w:rPr>
        <w:t>relatives à</w:t>
      </w:r>
      <w:r w:rsidR="002470E8">
        <w:rPr>
          <w:sz w:val="24"/>
          <w:lang w:val="fr-FR"/>
        </w:rPr>
        <w:t xml:space="preserve"> l’</w:t>
      </w:r>
      <w:r w:rsidRPr="00C74077">
        <w:rPr>
          <w:sz w:val="24"/>
          <w:lang w:val="fr-FR"/>
        </w:rPr>
        <w:t xml:space="preserve">Annexe I et </w:t>
      </w:r>
      <w:r w:rsidR="007E2E58">
        <w:rPr>
          <w:sz w:val="24"/>
          <w:lang w:val="fr-FR"/>
        </w:rPr>
        <w:t>à</w:t>
      </w:r>
      <w:r w:rsidR="002470E8">
        <w:rPr>
          <w:sz w:val="24"/>
          <w:lang w:val="fr-FR"/>
        </w:rPr>
        <w:t xml:space="preserve"> l’Annexe </w:t>
      </w:r>
      <w:r w:rsidRPr="00C74077">
        <w:rPr>
          <w:sz w:val="24"/>
          <w:lang w:val="fr-FR"/>
        </w:rPr>
        <w:t>II.</w:t>
      </w:r>
    </w:p>
    <w:p w14:paraId="11853D05" w14:textId="77777777" w:rsidR="00766CF2" w:rsidRPr="00C74077" w:rsidRDefault="00766CF2" w:rsidP="00766CF2">
      <w:pPr>
        <w:widowControl/>
        <w:autoSpaceDE/>
        <w:autoSpaceDN/>
        <w:adjustRightInd/>
        <w:jc w:val="both"/>
        <w:rPr>
          <w:rFonts w:eastAsia="Calibri"/>
          <w:spacing w:val="-2"/>
          <w:sz w:val="24"/>
          <w:lang w:val="fr-FR"/>
        </w:rPr>
      </w:pPr>
    </w:p>
    <w:p w14:paraId="591B60C5" w14:textId="2C46E3C5" w:rsidR="001D1C09" w:rsidRPr="00766CF2" w:rsidRDefault="001D1C09" w:rsidP="00766CF2">
      <w:pPr>
        <w:widowControl/>
        <w:numPr>
          <w:ilvl w:val="0"/>
          <w:numId w:val="48"/>
        </w:numPr>
        <w:autoSpaceDE/>
        <w:autoSpaceDN/>
        <w:adjustRightInd/>
        <w:ind w:left="0" w:firstLine="0"/>
        <w:jc w:val="both"/>
        <w:rPr>
          <w:rFonts w:eastAsia="Calibri"/>
          <w:sz w:val="24"/>
          <w:lang w:val="fr-FR"/>
        </w:rPr>
      </w:pPr>
      <w:r w:rsidRPr="001D1C09">
        <w:rPr>
          <w:sz w:val="24"/>
          <w:lang w:val="fr-FR"/>
        </w:rPr>
        <w:t xml:space="preserve">La question de savoir si les espèces </w:t>
      </w:r>
      <w:r w:rsidR="002470E8">
        <w:rPr>
          <w:sz w:val="24"/>
          <w:lang w:val="fr-FR"/>
        </w:rPr>
        <w:t>« </w:t>
      </w:r>
      <w:r w:rsidR="002470E8" w:rsidRPr="002470E8">
        <w:rPr>
          <w:rFonts w:eastAsia="Calibri"/>
          <w:i/>
          <w:sz w:val="24"/>
          <w:lang w:val="fr-FR"/>
        </w:rPr>
        <w:t>nécessitent la conclusion d'accords internationaux pour leur conservation et leur gestion</w:t>
      </w:r>
      <w:r w:rsidR="002470E8">
        <w:rPr>
          <w:rFonts w:eastAsia="Calibri"/>
          <w:i/>
          <w:sz w:val="24"/>
          <w:lang w:val="fr-FR"/>
        </w:rPr>
        <w:t> »</w:t>
      </w:r>
      <w:r w:rsidR="002470E8" w:rsidRPr="002470E8">
        <w:rPr>
          <w:rFonts w:eastAsia="Calibri"/>
          <w:sz w:val="24"/>
          <w:lang w:val="fr-FR"/>
        </w:rPr>
        <w:t xml:space="preserve"> (Test 1b)</w:t>
      </w:r>
      <w:r w:rsidR="002470E8" w:rsidRPr="002470E8">
        <w:rPr>
          <w:rFonts w:eastAsia="Calibri"/>
          <w:i/>
          <w:sz w:val="24"/>
          <w:lang w:val="fr-FR"/>
        </w:rPr>
        <w:t>,</w:t>
      </w:r>
      <w:r w:rsidR="0080038A">
        <w:rPr>
          <w:rFonts w:eastAsia="Calibri"/>
          <w:i/>
          <w:sz w:val="24"/>
          <w:lang w:val="fr-FR"/>
        </w:rPr>
        <w:t xml:space="preserve"> </w:t>
      </w:r>
      <w:r w:rsidR="002470E8" w:rsidRPr="00FA1A69">
        <w:rPr>
          <w:rFonts w:eastAsia="Calibri"/>
          <w:sz w:val="24"/>
          <w:lang w:val="fr-FR"/>
        </w:rPr>
        <w:t>ou si leur «</w:t>
      </w:r>
      <w:r w:rsidR="002470E8">
        <w:rPr>
          <w:rFonts w:eastAsia="Calibri"/>
          <w:i/>
          <w:sz w:val="24"/>
          <w:lang w:val="fr-FR"/>
        </w:rPr>
        <w:t> </w:t>
      </w:r>
      <w:r w:rsidR="002470E8" w:rsidRPr="002470E8">
        <w:rPr>
          <w:rFonts w:eastAsia="Calibri"/>
          <w:i/>
          <w:sz w:val="24"/>
          <w:lang w:val="fr-FR"/>
        </w:rPr>
        <w:t>état de conservation bénéficierait d'une manière significative de la coopération internationale</w:t>
      </w:r>
      <w:r w:rsidR="002470E8">
        <w:rPr>
          <w:rFonts w:eastAsia="Calibri"/>
          <w:i/>
          <w:sz w:val="24"/>
          <w:lang w:val="fr-FR"/>
        </w:rPr>
        <w:t> </w:t>
      </w:r>
      <w:r w:rsidR="002470E8" w:rsidRPr="00FA1A69">
        <w:rPr>
          <w:rFonts w:eastAsia="Calibri"/>
          <w:sz w:val="24"/>
          <w:lang w:val="fr-FR"/>
        </w:rPr>
        <w:t>»</w:t>
      </w:r>
      <w:r w:rsidR="002470E8" w:rsidRPr="002470E8">
        <w:rPr>
          <w:rFonts w:eastAsia="Calibri"/>
          <w:i/>
          <w:sz w:val="24"/>
          <w:lang w:val="fr-FR"/>
        </w:rPr>
        <w:t xml:space="preserve"> </w:t>
      </w:r>
      <w:r w:rsidR="002470E8" w:rsidRPr="002470E8">
        <w:rPr>
          <w:rFonts w:eastAsia="Calibri"/>
          <w:sz w:val="24"/>
          <w:lang w:val="fr-FR"/>
        </w:rPr>
        <w:t>(Test 2)</w:t>
      </w:r>
      <w:r w:rsidR="00FA1A69">
        <w:rPr>
          <w:rFonts w:eastAsia="Calibri"/>
          <w:sz w:val="24"/>
          <w:lang w:val="fr-FR"/>
        </w:rPr>
        <w:t>,</w:t>
      </w:r>
      <w:r w:rsidR="0080038A">
        <w:rPr>
          <w:rFonts w:eastAsia="Calibri"/>
          <w:i/>
          <w:sz w:val="24"/>
          <w:lang w:val="fr-FR"/>
        </w:rPr>
        <w:t xml:space="preserve"> </w:t>
      </w:r>
      <w:r w:rsidRPr="001D1C09">
        <w:rPr>
          <w:sz w:val="24"/>
          <w:lang w:val="fr-FR"/>
        </w:rPr>
        <w:t xml:space="preserve">et </w:t>
      </w:r>
      <w:r w:rsidR="007D19F3">
        <w:rPr>
          <w:sz w:val="24"/>
          <w:lang w:val="fr-FR"/>
        </w:rPr>
        <w:t>donc si elles</w:t>
      </w:r>
      <w:r w:rsidRPr="001D1C09">
        <w:rPr>
          <w:sz w:val="24"/>
          <w:lang w:val="fr-FR"/>
        </w:rPr>
        <w:t xml:space="preserve"> </w:t>
      </w:r>
      <w:r w:rsidR="002470E8">
        <w:rPr>
          <w:sz w:val="24"/>
          <w:lang w:val="fr-FR"/>
        </w:rPr>
        <w:t>remplissent les critères</w:t>
      </w:r>
      <w:r w:rsidRPr="001D1C09">
        <w:rPr>
          <w:sz w:val="24"/>
          <w:lang w:val="fr-FR"/>
        </w:rPr>
        <w:t xml:space="preserve"> </w:t>
      </w:r>
      <w:r w:rsidR="002470E8">
        <w:rPr>
          <w:sz w:val="24"/>
          <w:lang w:val="fr-FR"/>
        </w:rPr>
        <w:t>d’</w:t>
      </w:r>
      <w:r w:rsidRPr="001D1C09">
        <w:rPr>
          <w:sz w:val="24"/>
          <w:lang w:val="fr-FR"/>
        </w:rPr>
        <w:t>inscription à l</w:t>
      </w:r>
      <w:r w:rsidR="004B2554">
        <w:rPr>
          <w:sz w:val="24"/>
          <w:lang w:val="fr-FR"/>
        </w:rPr>
        <w:t>’</w:t>
      </w:r>
      <w:r w:rsidRPr="001D1C09">
        <w:rPr>
          <w:sz w:val="24"/>
          <w:lang w:val="fr-FR"/>
        </w:rPr>
        <w:t>Annexe II</w:t>
      </w:r>
      <w:r w:rsidR="00FA1A69">
        <w:rPr>
          <w:sz w:val="24"/>
          <w:lang w:val="fr-FR"/>
        </w:rPr>
        <w:t>,</w:t>
      </w:r>
      <w:r w:rsidRPr="001D1C09">
        <w:rPr>
          <w:sz w:val="24"/>
          <w:lang w:val="fr-FR"/>
        </w:rPr>
        <w:t xml:space="preserve"> doit être </w:t>
      </w:r>
      <w:r w:rsidR="002470E8">
        <w:rPr>
          <w:sz w:val="24"/>
          <w:lang w:val="fr-FR"/>
        </w:rPr>
        <w:t>traitée</w:t>
      </w:r>
      <w:r w:rsidRPr="001D1C09">
        <w:rPr>
          <w:sz w:val="24"/>
          <w:lang w:val="fr-FR"/>
        </w:rPr>
        <w:t xml:space="preserve"> au cas par cas. </w:t>
      </w:r>
      <w:r w:rsidRPr="00C74077">
        <w:rPr>
          <w:sz w:val="24"/>
          <w:lang w:val="fr-FR"/>
        </w:rPr>
        <w:t xml:space="preserve">Toute proposition visant à </w:t>
      </w:r>
      <w:r w:rsidR="002470E8">
        <w:rPr>
          <w:sz w:val="24"/>
          <w:lang w:val="fr-FR"/>
        </w:rPr>
        <w:t>inscrire</w:t>
      </w:r>
      <w:r w:rsidRPr="00C74077">
        <w:rPr>
          <w:sz w:val="24"/>
          <w:lang w:val="fr-FR"/>
        </w:rPr>
        <w:t xml:space="preserve"> une espèce à l</w:t>
      </w:r>
      <w:r w:rsidR="004B2554">
        <w:rPr>
          <w:sz w:val="24"/>
          <w:lang w:val="fr-FR"/>
        </w:rPr>
        <w:t>’</w:t>
      </w:r>
      <w:r w:rsidRPr="00C74077">
        <w:rPr>
          <w:sz w:val="24"/>
          <w:lang w:val="fr-FR"/>
        </w:rPr>
        <w:t>Annexe II d</w:t>
      </w:r>
      <w:r w:rsidR="0074063E">
        <w:rPr>
          <w:sz w:val="24"/>
          <w:lang w:val="fr-FR"/>
        </w:rPr>
        <w:t xml:space="preserve">oit </w:t>
      </w:r>
      <w:r w:rsidRPr="00C74077">
        <w:rPr>
          <w:sz w:val="24"/>
          <w:lang w:val="fr-FR"/>
        </w:rPr>
        <w:t xml:space="preserve">comprendre une évaluation </w:t>
      </w:r>
      <w:r w:rsidR="00FA1A69">
        <w:rPr>
          <w:sz w:val="24"/>
          <w:lang w:val="fr-FR"/>
        </w:rPr>
        <w:t>permettant</w:t>
      </w:r>
      <w:r w:rsidR="002470E8">
        <w:rPr>
          <w:sz w:val="24"/>
          <w:lang w:val="fr-FR"/>
        </w:rPr>
        <w:t xml:space="preserve"> </w:t>
      </w:r>
      <w:r w:rsidR="004C1634">
        <w:rPr>
          <w:sz w:val="24"/>
          <w:lang w:val="fr-FR"/>
        </w:rPr>
        <w:t xml:space="preserve">de </w:t>
      </w:r>
      <w:r w:rsidR="007D19F3">
        <w:rPr>
          <w:sz w:val="24"/>
          <w:lang w:val="fr-FR"/>
        </w:rPr>
        <w:t>définir</w:t>
      </w:r>
      <w:r w:rsidRPr="00C74077">
        <w:rPr>
          <w:sz w:val="24"/>
          <w:lang w:val="fr-FR"/>
        </w:rPr>
        <w:t xml:space="preserve"> si</w:t>
      </w:r>
      <w:r w:rsidR="002470E8">
        <w:rPr>
          <w:sz w:val="24"/>
          <w:lang w:val="fr-FR"/>
        </w:rPr>
        <w:t> :</w:t>
      </w:r>
    </w:p>
    <w:p w14:paraId="3F8294F3" w14:textId="77777777" w:rsidR="00766CF2" w:rsidRPr="00C74077" w:rsidRDefault="00766CF2" w:rsidP="00766CF2">
      <w:pPr>
        <w:widowControl/>
        <w:autoSpaceDE/>
        <w:autoSpaceDN/>
        <w:adjustRightInd/>
        <w:jc w:val="both"/>
        <w:rPr>
          <w:rFonts w:eastAsia="Calibri"/>
          <w:sz w:val="24"/>
          <w:lang w:val="fr-FR"/>
        </w:rPr>
      </w:pPr>
    </w:p>
    <w:p w14:paraId="770C52EF" w14:textId="1717CC49" w:rsidR="001D1C09" w:rsidRPr="00FB362F"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t>l</w:t>
      </w:r>
      <w:r w:rsidR="001D1C09" w:rsidRPr="001D1C09">
        <w:rPr>
          <w:sz w:val="24"/>
          <w:lang w:val="fr-FR"/>
        </w:rPr>
        <w:t xml:space="preserve">a législation en vigueur dans les </w:t>
      </w:r>
      <w:r w:rsidR="002470E8">
        <w:rPr>
          <w:sz w:val="24"/>
          <w:lang w:val="fr-FR"/>
        </w:rPr>
        <w:t xml:space="preserve">États de l’aire de répartition </w:t>
      </w:r>
      <w:r w:rsidR="001D1C09" w:rsidRPr="001D1C09">
        <w:rPr>
          <w:sz w:val="24"/>
          <w:lang w:val="fr-FR"/>
        </w:rPr>
        <w:t>est suffisante, ou si une protection supplémentaire est nécessaire</w:t>
      </w:r>
      <w:r w:rsidR="002470E8">
        <w:rPr>
          <w:sz w:val="24"/>
          <w:lang w:val="fr-FR"/>
        </w:rPr>
        <w:t> ;</w:t>
      </w:r>
    </w:p>
    <w:p w14:paraId="54FA3688" w14:textId="77777777" w:rsidR="00FB362F" w:rsidRPr="001D1C09" w:rsidRDefault="00FB362F" w:rsidP="00FB362F">
      <w:pPr>
        <w:widowControl/>
        <w:autoSpaceDE/>
        <w:autoSpaceDN/>
        <w:adjustRightInd/>
        <w:ind w:left="1440"/>
        <w:jc w:val="both"/>
        <w:rPr>
          <w:rFonts w:eastAsia="Calibri"/>
          <w:sz w:val="24"/>
          <w:lang w:val="fr-FR"/>
        </w:rPr>
      </w:pPr>
    </w:p>
    <w:p w14:paraId="4FFB9923" w14:textId="60B0187B" w:rsidR="001D1C09" w:rsidRPr="00FB362F"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t>l</w:t>
      </w:r>
      <w:r w:rsidR="001D1C09" w:rsidRPr="00C74077">
        <w:rPr>
          <w:sz w:val="24"/>
          <w:lang w:val="fr-FR"/>
        </w:rPr>
        <w:t>a majorité de la population de l</w:t>
      </w:r>
      <w:r w:rsidR="004B2554">
        <w:rPr>
          <w:sz w:val="24"/>
          <w:lang w:val="fr-FR"/>
        </w:rPr>
        <w:t>’</w:t>
      </w:r>
      <w:r w:rsidR="001D1C09" w:rsidRPr="00C74077">
        <w:rPr>
          <w:sz w:val="24"/>
          <w:lang w:val="fr-FR"/>
        </w:rPr>
        <w:t>espèce concernée est migrat</w:t>
      </w:r>
      <w:r w:rsidR="002470E8">
        <w:rPr>
          <w:sz w:val="24"/>
          <w:lang w:val="fr-FR"/>
        </w:rPr>
        <w:t>rice ou sédentaire ;</w:t>
      </w:r>
    </w:p>
    <w:p w14:paraId="1E0AED2E" w14:textId="77777777" w:rsidR="00FB362F" w:rsidRPr="00C74077" w:rsidRDefault="00FB362F" w:rsidP="00FB362F">
      <w:pPr>
        <w:widowControl/>
        <w:autoSpaceDE/>
        <w:autoSpaceDN/>
        <w:adjustRightInd/>
        <w:ind w:left="1440"/>
        <w:jc w:val="both"/>
        <w:rPr>
          <w:rFonts w:eastAsia="Calibri"/>
          <w:sz w:val="24"/>
          <w:lang w:val="fr-FR"/>
        </w:rPr>
      </w:pPr>
    </w:p>
    <w:p w14:paraId="2C55AEBC" w14:textId="72985344" w:rsidR="001D1C09" w:rsidRPr="00FB362F"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t>l</w:t>
      </w:r>
      <w:r w:rsidR="001D1C09" w:rsidRPr="001D1C09">
        <w:rPr>
          <w:sz w:val="24"/>
          <w:lang w:val="fr-FR"/>
        </w:rPr>
        <w:t xml:space="preserve">es facteurs </w:t>
      </w:r>
      <w:r w:rsidR="004C1634">
        <w:rPr>
          <w:sz w:val="24"/>
          <w:lang w:val="fr-FR"/>
        </w:rPr>
        <w:t>ayant</w:t>
      </w:r>
      <w:r w:rsidR="001D1C09" w:rsidRPr="001D1C09">
        <w:rPr>
          <w:sz w:val="24"/>
          <w:lang w:val="fr-FR"/>
        </w:rPr>
        <w:t xml:space="preserve"> conduit </w:t>
      </w:r>
      <w:r w:rsidR="004C1634">
        <w:rPr>
          <w:sz w:val="24"/>
          <w:lang w:val="fr-FR"/>
        </w:rPr>
        <w:t xml:space="preserve">l’espèce </w:t>
      </w:r>
      <w:r w:rsidR="001D1C09" w:rsidRPr="001D1C09">
        <w:rPr>
          <w:sz w:val="24"/>
          <w:lang w:val="fr-FR"/>
        </w:rPr>
        <w:t>à un état de conservation défavorable sont d</w:t>
      </w:r>
      <w:r w:rsidR="004B2554">
        <w:rPr>
          <w:sz w:val="24"/>
          <w:lang w:val="fr-FR"/>
        </w:rPr>
        <w:t>’</w:t>
      </w:r>
      <w:r w:rsidR="001D1C09" w:rsidRPr="001D1C09">
        <w:rPr>
          <w:sz w:val="24"/>
          <w:lang w:val="fr-FR"/>
        </w:rPr>
        <w:t>origine anthropique ou naturelle</w:t>
      </w:r>
      <w:r w:rsidR="002470E8">
        <w:rPr>
          <w:sz w:val="24"/>
          <w:lang w:val="fr-FR"/>
        </w:rPr>
        <w:t> ;</w:t>
      </w:r>
    </w:p>
    <w:p w14:paraId="2439B529" w14:textId="77777777" w:rsidR="00FB362F" w:rsidRPr="001D1C09" w:rsidRDefault="00FB362F" w:rsidP="00FB362F">
      <w:pPr>
        <w:widowControl/>
        <w:autoSpaceDE/>
        <w:autoSpaceDN/>
        <w:adjustRightInd/>
        <w:ind w:left="1440"/>
        <w:jc w:val="both"/>
        <w:rPr>
          <w:rFonts w:eastAsia="Calibri"/>
          <w:sz w:val="24"/>
          <w:lang w:val="fr-FR"/>
        </w:rPr>
      </w:pPr>
    </w:p>
    <w:p w14:paraId="1E0EFF4E" w14:textId="3D0FAE50" w:rsidR="001D1C09" w:rsidRPr="00C74077"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lastRenderedPageBreak/>
        <w:t>l</w:t>
      </w:r>
      <w:r w:rsidR="002470E8">
        <w:rPr>
          <w:sz w:val="24"/>
          <w:lang w:val="fr-FR"/>
        </w:rPr>
        <w:t xml:space="preserve">es </w:t>
      </w:r>
      <w:r w:rsidR="001D1C09" w:rsidRPr="00C74077">
        <w:rPr>
          <w:sz w:val="24"/>
          <w:lang w:val="fr-FR"/>
        </w:rPr>
        <w:t>mesures</w:t>
      </w:r>
      <w:r w:rsidR="002470E8">
        <w:rPr>
          <w:sz w:val="24"/>
          <w:lang w:val="fr-FR"/>
        </w:rPr>
        <w:t>/</w:t>
      </w:r>
      <w:r w:rsidR="002470E8" w:rsidRPr="00C74077">
        <w:rPr>
          <w:sz w:val="24"/>
          <w:lang w:val="fr-FR"/>
        </w:rPr>
        <w:t>accords</w:t>
      </w:r>
      <w:r w:rsidR="001D1C09" w:rsidRPr="00C74077">
        <w:rPr>
          <w:sz w:val="24"/>
          <w:lang w:val="fr-FR"/>
        </w:rPr>
        <w:t xml:space="preserve"> bilatéra</w:t>
      </w:r>
      <w:r w:rsidR="002470E8">
        <w:rPr>
          <w:sz w:val="24"/>
          <w:lang w:val="fr-FR"/>
        </w:rPr>
        <w:t>ux</w:t>
      </w:r>
      <w:r w:rsidR="001D1C09" w:rsidRPr="00C74077">
        <w:rPr>
          <w:sz w:val="24"/>
          <w:lang w:val="fr-FR"/>
        </w:rPr>
        <w:t xml:space="preserve"> ou multilatéra</w:t>
      </w:r>
      <w:r w:rsidR="002470E8">
        <w:rPr>
          <w:sz w:val="24"/>
          <w:lang w:val="fr-FR"/>
        </w:rPr>
        <w:t>ux existant</w:t>
      </w:r>
      <w:r w:rsidR="001D1C09" w:rsidRPr="00C74077">
        <w:rPr>
          <w:sz w:val="24"/>
          <w:lang w:val="fr-FR"/>
        </w:rPr>
        <w:t xml:space="preserve">s </w:t>
      </w:r>
      <w:r w:rsidR="0074063E">
        <w:rPr>
          <w:sz w:val="24"/>
          <w:lang w:val="fr-FR"/>
        </w:rPr>
        <w:t>ont besoin d’</w:t>
      </w:r>
      <w:r w:rsidR="001D1C09" w:rsidRPr="00C74077">
        <w:rPr>
          <w:sz w:val="24"/>
          <w:lang w:val="fr-FR"/>
        </w:rPr>
        <w:t xml:space="preserve">être </w:t>
      </w:r>
      <w:r w:rsidR="002470E8">
        <w:rPr>
          <w:sz w:val="24"/>
          <w:lang w:val="fr-FR"/>
        </w:rPr>
        <w:t>renforcés</w:t>
      </w:r>
      <w:r w:rsidR="001D1C09" w:rsidRPr="00C74077">
        <w:rPr>
          <w:sz w:val="24"/>
          <w:lang w:val="fr-FR"/>
        </w:rPr>
        <w:t xml:space="preserve"> ou </w:t>
      </w:r>
      <w:r w:rsidR="007D19F3">
        <w:rPr>
          <w:sz w:val="24"/>
          <w:lang w:val="fr-FR"/>
        </w:rPr>
        <w:t>amendés</w:t>
      </w:r>
      <w:r w:rsidR="002470E8">
        <w:rPr>
          <w:sz w:val="24"/>
          <w:lang w:val="fr-FR"/>
        </w:rPr>
        <w:t> ;</w:t>
      </w:r>
    </w:p>
    <w:p w14:paraId="55CCFEE8" w14:textId="7624151A" w:rsidR="001D1C09" w:rsidRPr="00FB362F"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t>t</w:t>
      </w:r>
      <w:r w:rsidR="001D1C09" w:rsidRPr="001D1C09">
        <w:rPr>
          <w:sz w:val="24"/>
          <w:lang w:val="fr-FR"/>
        </w:rPr>
        <w:t xml:space="preserve">ous les </w:t>
      </w:r>
      <w:r w:rsidR="002470E8">
        <w:rPr>
          <w:sz w:val="24"/>
          <w:lang w:val="fr-FR"/>
        </w:rPr>
        <w:t xml:space="preserve">États de l’aire de répartition </w:t>
      </w:r>
      <w:r w:rsidR="001D1C09" w:rsidRPr="001D1C09">
        <w:rPr>
          <w:sz w:val="24"/>
          <w:lang w:val="fr-FR"/>
        </w:rPr>
        <w:t>prot</w:t>
      </w:r>
      <w:r w:rsidR="002470E8">
        <w:rPr>
          <w:sz w:val="24"/>
          <w:lang w:val="fr-FR"/>
        </w:rPr>
        <w:t xml:space="preserve">ègent </w:t>
      </w:r>
      <w:r w:rsidR="002470E8" w:rsidRPr="001D1C09">
        <w:rPr>
          <w:sz w:val="24"/>
          <w:lang w:val="fr-FR"/>
        </w:rPr>
        <w:t xml:space="preserve">déjà </w:t>
      </w:r>
      <w:r w:rsidR="002470E8">
        <w:rPr>
          <w:sz w:val="24"/>
          <w:lang w:val="fr-FR"/>
        </w:rPr>
        <w:t>l’espèce</w:t>
      </w:r>
      <w:r w:rsidR="004C1634">
        <w:rPr>
          <w:sz w:val="24"/>
          <w:lang w:val="fr-FR"/>
        </w:rPr>
        <w:t>,</w:t>
      </w:r>
      <w:r w:rsidR="001D1C09" w:rsidRPr="001D1C09">
        <w:rPr>
          <w:sz w:val="24"/>
          <w:lang w:val="fr-FR"/>
        </w:rPr>
        <w:t xml:space="preserve"> ou </w:t>
      </w:r>
      <w:r w:rsidR="002470E8">
        <w:rPr>
          <w:sz w:val="24"/>
          <w:lang w:val="fr-FR"/>
        </w:rPr>
        <w:t xml:space="preserve">mettent en </w:t>
      </w:r>
      <w:r w:rsidR="00FA1A69">
        <w:rPr>
          <w:sz w:val="24"/>
          <w:lang w:val="fr-FR"/>
        </w:rPr>
        <w:t>œuvre</w:t>
      </w:r>
      <w:r w:rsidR="001D1C09" w:rsidRPr="001D1C09">
        <w:rPr>
          <w:sz w:val="24"/>
          <w:lang w:val="fr-FR"/>
        </w:rPr>
        <w:t xml:space="preserve"> des plans de </w:t>
      </w:r>
      <w:r w:rsidR="002470E8" w:rsidRPr="001D1C09">
        <w:rPr>
          <w:sz w:val="24"/>
          <w:lang w:val="fr-FR"/>
        </w:rPr>
        <w:t xml:space="preserve">de gestion </w:t>
      </w:r>
      <w:r w:rsidR="007D19F3">
        <w:rPr>
          <w:sz w:val="24"/>
          <w:lang w:val="fr-FR"/>
        </w:rPr>
        <w:t>pour le</w:t>
      </w:r>
      <w:r w:rsidR="002470E8">
        <w:rPr>
          <w:sz w:val="24"/>
          <w:lang w:val="fr-FR"/>
        </w:rPr>
        <w:t xml:space="preserve"> </w:t>
      </w:r>
      <w:r w:rsidR="001D1C09" w:rsidRPr="001D1C09">
        <w:rPr>
          <w:sz w:val="24"/>
          <w:lang w:val="fr-FR"/>
        </w:rPr>
        <w:t>rétablissement</w:t>
      </w:r>
      <w:r w:rsidR="002470E8">
        <w:rPr>
          <w:sz w:val="24"/>
          <w:lang w:val="fr-FR"/>
        </w:rPr>
        <w:t> ;</w:t>
      </w:r>
    </w:p>
    <w:p w14:paraId="54E7A941" w14:textId="77777777" w:rsidR="00FB362F" w:rsidRPr="001D1C09" w:rsidRDefault="00FB362F" w:rsidP="00FB362F">
      <w:pPr>
        <w:widowControl/>
        <w:autoSpaceDE/>
        <w:autoSpaceDN/>
        <w:adjustRightInd/>
        <w:ind w:left="1440"/>
        <w:jc w:val="both"/>
        <w:rPr>
          <w:rFonts w:eastAsia="Calibri"/>
          <w:sz w:val="24"/>
          <w:lang w:val="fr-FR"/>
        </w:rPr>
      </w:pPr>
    </w:p>
    <w:p w14:paraId="55726462" w14:textId="46763568" w:rsidR="001D1C09" w:rsidRPr="00FB362F" w:rsidRDefault="00FB362F" w:rsidP="00FB362F">
      <w:pPr>
        <w:widowControl/>
        <w:numPr>
          <w:ilvl w:val="0"/>
          <w:numId w:val="49"/>
        </w:numPr>
        <w:autoSpaceDE/>
        <w:autoSpaceDN/>
        <w:adjustRightInd/>
        <w:ind w:left="1440" w:hanging="720"/>
        <w:jc w:val="both"/>
        <w:rPr>
          <w:rFonts w:eastAsia="Calibri"/>
          <w:sz w:val="24"/>
          <w:lang w:val="fr-FR"/>
        </w:rPr>
      </w:pPr>
      <w:r>
        <w:rPr>
          <w:sz w:val="24"/>
          <w:lang w:val="fr-FR"/>
        </w:rPr>
        <w:t>l</w:t>
      </w:r>
      <w:r w:rsidR="002470E8">
        <w:rPr>
          <w:sz w:val="24"/>
          <w:lang w:val="fr-FR"/>
        </w:rPr>
        <w:t>’</w:t>
      </w:r>
      <w:r w:rsidR="001D1C09" w:rsidRPr="001D1C09">
        <w:rPr>
          <w:sz w:val="24"/>
          <w:lang w:val="fr-FR"/>
        </w:rPr>
        <w:t xml:space="preserve">inscription à une </w:t>
      </w:r>
      <w:r w:rsidR="007D19F3">
        <w:rPr>
          <w:sz w:val="24"/>
          <w:lang w:val="fr-FR"/>
        </w:rPr>
        <w:t>a</w:t>
      </w:r>
      <w:r w:rsidR="001D1C09" w:rsidRPr="001D1C09">
        <w:rPr>
          <w:sz w:val="24"/>
          <w:lang w:val="fr-FR"/>
        </w:rPr>
        <w:t xml:space="preserve">nnexe </w:t>
      </w:r>
      <w:r w:rsidR="002470E8">
        <w:rPr>
          <w:sz w:val="24"/>
          <w:lang w:val="fr-FR"/>
        </w:rPr>
        <w:t xml:space="preserve">de la </w:t>
      </w:r>
      <w:r w:rsidR="001D1C09" w:rsidRPr="001D1C09">
        <w:rPr>
          <w:sz w:val="24"/>
          <w:lang w:val="fr-FR"/>
        </w:rPr>
        <w:t>CMS sout</w:t>
      </w:r>
      <w:r w:rsidR="00C46866">
        <w:rPr>
          <w:sz w:val="24"/>
          <w:lang w:val="fr-FR"/>
        </w:rPr>
        <w:t>iendra</w:t>
      </w:r>
      <w:r w:rsidR="007D19F3">
        <w:rPr>
          <w:sz w:val="24"/>
          <w:lang w:val="fr-FR"/>
        </w:rPr>
        <w:t>it</w:t>
      </w:r>
      <w:r w:rsidR="001D1C09" w:rsidRPr="001D1C09">
        <w:rPr>
          <w:sz w:val="24"/>
          <w:lang w:val="fr-FR"/>
        </w:rPr>
        <w:t xml:space="preserve"> des mesures dans d</w:t>
      </w:r>
      <w:r w:rsidR="004B2554">
        <w:rPr>
          <w:sz w:val="24"/>
          <w:lang w:val="fr-FR"/>
        </w:rPr>
        <w:t>’</w:t>
      </w:r>
      <w:r>
        <w:rPr>
          <w:sz w:val="24"/>
          <w:lang w:val="fr-FR"/>
        </w:rPr>
        <w:t xml:space="preserve">autres forums multilatéraux </w:t>
      </w:r>
      <w:r w:rsidR="001D1C09" w:rsidRPr="00FB362F">
        <w:rPr>
          <w:sz w:val="24"/>
          <w:lang w:val="fr-FR"/>
        </w:rPr>
        <w:t xml:space="preserve">et </w:t>
      </w:r>
      <w:r w:rsidR="00FA1A69" w:rsidRPr="00FB362F">
        <w:rPr>
          <w:sz w:val="24"/>
          <w:lang w:val="fr-FR"/>
        </w:rPr>
        <w:t xml:space="preserve">devra </w:t>
      </w:r>
      <w:r w:rsidR="001D1C09" w:rsidRPr="00FB362F">
        <w:rPr>
          <w:sz w:val="24"/>
          <w:lang w:val="fr-FR"/>
        </w:rPr>
        <w:t>démontrer clairement les trois éléments suivants</w:t>
      </w:r>
      <w:r w:rsidR="00C46866" w:rsidRPr="00FB362F">
        <w:rPr>
          <w:rFonts w:eastAsia="Calibri"/>
          <w:spacing w:val="-2"/>
          <w:sz w:val="24"/>
          <w:lang w:val="fr-FR"/>
        </w:rPr>
        <w:t> :</w:t>
      </w:r>
    </w:p>
    <w:p w14:paraId="3FEBA7C7" w14:textId="77777777" w:rsidR="00FB362F" w:rsidRPr="00FB362F" w:rsidRDefault="00FB362F" w:rsidP="00FB362F">
      <w:pPr>
        <w:widowControl/>
        <w:autoSpaceDE/>
        <w:autoSpaceDN/>
        <w:adjustRightInd/>
        <w:ind w:left="1440"/>
        <w:jc w:val="both"/>
        <w:rPr>
          <w:rFonts w:eastAsia="Calibri"/>
          <w:sz w:val="24"/>
          <w:lang w:val="fr-FR"/>
        </w:rPr>
      </w:pPr>
    </w:p>
    <w:p w14:paraId="2C0BE7AD" w14:textId="2462E58D" w:rsidR="001D1C09" w:rsidRDefault="00FB362F" w:rsidP="00FB362F">
      <w:pPr>
        <w:widowControl/>
        <w:numPr>
          <w:ilvl w:val="1"/>
          <w:numId w:val="48"/>
        </w:numPr>
        <w:tabs>
          <w:tab w:val="left" w:pos="1134"/>
        </w:tabs>
        <w:autoSpaceDE/>
        <w:autoSpaceDN/>
        <w:adjustRightInd/>
        <w:ind w:hanging="720"/>
        <w:jc w:val="both"/>
        <w:rPr>
          <w:rFonts w:eastAsia="Calibri"/>
          <w:sz w:val="24"/>
          <w:lang w:val="fr-FR"/>
        </w:rPr>
      </w:pPr>
      <w:r>
        <w:rPr>
          <w:sz w:val="24"/>
          <w:lang w:val="fr-FR"/>
        </w:rPr>
        <w:t>l</w:t>
      </w:r>
      <w:r w:rsidR="00C46866">
        <w:rPr>
          <w:sz w:val="24"/>
          <w:lang w:val="fr-FR"/>
        </w:rPr>
        <w:t>a manière dont</w:t>
      </w:r>
      <w:r w:rsidR="001D1C09" w:rsidRPr="001D1C09">
        <w:rPr>
          <w:sz w:val="24"/>
          <w:lang w:val="fr-FR"/>
        </w:rPr>
        <w:t xml:space="preserve"> l</w:t>
      </w:r>
      <w:r w:rsidR="004B2554">
        <w:rPr>
          <w:sz w:val="24"/>
          <w:lang w:val="fr-FR"/>
        </w:rPr>
        <w:t>’</w:t>
      </w:r>
      <w:r w:rsidR="001D1C09" w:rsidRPr="001D1C09">
        <w:rPr>
          <w:sz w:val="24"/>
          <w:lang w:val="fr-FR"/>
        </w:rPr>
        <w:t>in</w:t>
      </w:r>
      <w:r w:rsidR="00C46866">
        <w:rPr>
          <w:sz w:val="24"/>
          <w:lang w:val="fr-FR"/>
        </w:rPr>
        <w:t>scription</w:t>
      </w:r>
      <w:r w:rsidR="001D1C09" w:rsidRPr="001D1C09">
        <w:rPr>
          <w:sz w:val="24"/>
          <w:lang w:val="fr-FR"/>
        </w:rPr>
        <w:t xml:space="preserve"> à l</w:t>
      </w:r>
      <w:r w:rsidR="004B2554">
        <w:rPr>
          <w:sz w:val="24"/>
          <w:lang w:val="fr-FR"/>
        </w:rPr>
        <w:t>’</w:t>
      </w:r>
      <w:r w:rsidR="001D1C09" w:rsidRPr="001D1C09">
        <w:rPr>
          <w:sz w:val="24"/>
          <w:lang w:val="fr-FR"/>
        </w:rPr>
        <w:t>Annexe II sera</w:t>
      </w:r>
      <w:r w:rsidR="0074063E">
        <w:rPr>
          <w:sz w:val="24"/>
          <w:lang w:val="fr-FR"/>
        </w:rPr>
        <w:t>it</w:t>
      </w:r>
      <w:r w:rsidR="001D1C09" w:rsidRPr="001D1C09">
        <w:rPr>
          <w:sz w:val="24"/>
          <w:lang w:val="fr-FR"/>
        </w:rPr>
        <w:t xml:space="preserve"> bénéfique pour le taxon</w:t>
      </w:r>
      <w:r w:rsidR="00C46866">
        <w:rPr>
          <w:sz w:val="24"/>
          <w:lang w:val="fr-FR"/>
        </w:rPr>
        <w:t> ;</w:t>
      </w:r>
      <w:r w:rsidR="001D1C09" w:rsidRPr="001D1C09">
        <w:rPr>
          <w:rFonts w:eastAsia="Calibri"/>
          <w:sz w:val="24"/>
          <w:lang w:val="fr-FR"/>
        </w:rPr>
        <w:t xml:space="preserve"> </w:t>
      </w:r>
    </w:p>
    <w:p w14:paraId="4E9064B2" w14:textId="77777777" w:rsidR="00FB362F" w:rsidRDefault="00FB362F" w:rsidP="00FB362F">
      <w:pPr>
        <w:widowControl/>
        <w:tabs>
          <w:tab w:val="left" w:pos="1134"/>
        </w:tabs>
        <w:autoSpaceDE/>
        <w:autoSpaceDN/>
        <w:adjustRightInd/>
        <w:ind w:left="1440"/>
        <w:jc w:val="both"/>
        <w:rPr>
          <w:rFonts w:eastAsia="Calibri"/>
          <w:sz w:val="24"/>
          <w:lang w:val="fr-FR"/>
        </w:rPr>
      </w:pPr>
    </w:p>
    <w:p w14:paraId="338EE614" w14:textId="6BC01446" w:rsidR="001D1C09" w:rsidRPr="00FB362F" w:rsidRDefault="00FB362F" w:rsidP="00FB362F">
      <w:pPr>
        <w:widowControl/>
        <w:numPr>
          <w:ilvl w:val="1"/>
          <w:numId w:val="48"/>
        </w:numPr>
        <w:tabs>
          <w:tab w:val="left" w:pos="1134"/>
        </w:tabs>
        <w:autoSpaceDE/>
        <w:autoSpaceDN/>
        <w:adjustRightInd/>
        <w:ind w:hanging="720"/>
        <w:jc w:val="both"/>
        <w:rPr>
          <w:rFonts w:eastAsia="Calibri"/>
          <w:sz w:val="24"/>
          <w:lang w:val="fr-FR"/>
        </w:rPr>
      </w:pPr>
      <w:r>
        <w:rPr>
          <w:sz w:val="24"/>
          <w:lang w:val="fr-FR"/>
        </w:rPr>
        <w:t>l</w:t>
      </w:r>
      <w:r w:rsidR="00C46866">
        <w:rPr>
          <w:sz w:val="24"/>
          <w:lang w:val="fr-FR"/>
        </w:rPr>
        <w:t>’</w:t>
      </w:r>
      <w:r w:rsidR="001D1C09" w:rsidRPr="001D1C09">
        <w:rPr>
          <w:sz w:val="24"/>
          <w:lang w:val="fr-FR"/>
        </w:rPr>
        <w:t xml:space="preserve">intention </w:t>
      </w:r>
      <w:r w:rsidR="00C46866">
        <w:rPr>
          <w:sz w:val="24"/>
          <w:lang w:val="fr-FR"/>
        </w:rPr>
        <w:t>d’une ou de plusieurs Parties</w:t>
      </w:r>
      <w:r w:rsidR="001D1C09" w:rsidRPr="001D1C09">
        <w:rPr>
          <w:sz w:val="24"/>
          <w:lang w:val="fr-FR"/>
        </w:rPr>
        <w:t xml:space="preserve"> parties à l</w:t>
      </w:r>
      <w:r w:rsidR="004B2554">
        <w:rPr>
          <w:sz w:val="24"/>
          <w:lang w:val="fr-FR"/>
        </w:rPr>
        <w:t>’</w:t>
      </w:r>
      <w:r w:rsidR="001D1C09" w:rsidRPr="001D1C09">
        <w:rPr>
          <w:sz w:val="24"/>
          <w:lang w:val="fr-FR"/>
        </w:rPr>
        <w:t>égard de la conclusion d</w:t>
      </w:r>
      <w:r w:rsidR="004B2554">
        <w:rPr>
          <w:sz w:val="24"/>
          <w:lang w:val="fr-FR"/>
        </w:rPr>
        <w:t>’</w:t>
      </w:r>
      <w:r w:rsidR="001D1C09" w:rsidRPr="001D1C09">
        <w:rPr>
          <w:sz w:val="24"/>
          <w:lang w:val="fr-FR"/>
        </w:rPr>
        <w:t>un accord international ou une action concertée</w:t>
      </w:r>
      <w:r w:rsidR="00C46866">
        <w:rPr>
          <w:sz w:val="24"/>
          <w:lang w:val="fr-FR"/>
        </w:rPr>
        <w:t> </w:t>
      </w:r>
      <w:r w:rsidR="001D1C09" w:rsidRPr="001D1C09">
        <w:rPr>
          <w:sz w:val="24"/>
          <w:lang w:val="fr-FR"/>
        </w:rPr>
        <w:t>; et</w:t>
      </w:r>
    </w:p>
    <w:p w14:paraId="1473CD9E" w14:textId="77777777" w:rsidR="00FB362F" w:rsidRPr="001D1C09" w:rsidRDefault="00FB362F" w:rsidP="00FB362F">
      <w:pPr>
        <w:widowControl/>
        <w:tabs>
          <w:tab w:val="left" w:pos="1134"/>
        </w:tabs>
        <w:autoSpaceDE/>
        <w:autoSpaceDN/>
        <w:adjustRightInd/>
        <w:ind w:left="1440"/>
        <w:jc w:val="both"/>
        <w:rPr>
          <w:rFonts w:eastAsia="Calibri"/>
          <w:sz w:val="24"/>
          <w:lang w:val="fr-FR"/>
        </w:rPr>
      </w:pPr>
    </w:p>
    <w:p w14:paraId="5220F0B4" w14:textId="42B2ADDE" w:rsidR="001D1C09" w:rsidRPr="00FB362F" w:rsidRDefault="00FB362F" w:rsidP="00FB362F">
      <w:pPr>
        <w:widowControl/>
        <w:numPr>
          <w:ilvl w:val="1"/>
          <w:numId w:val="48"/>
        </w:numPr>
        <w:tabs>
          <w:tab w:val="left" w:pos="1134"/>
          <w:tab w:val="left" w:pos="1560"/>
        </w:tabs>
        <w:autoSpaceDE/>
        <w:autoSpaceDN/>
        <w:adjustRightInd/>
        <w:ind w:hanging="720"/>
        <w:jc w:val="both"/>
        <w:rPr>
          <w:rFonts w:eastAsia="Calibri"/>
          <w:sz w:val="24"/>
          <w:lang w:val="fr-FR"/>
        </w:rPr>
      </w:pPr>
      <w:r>
        <w:rPr>
          <w:sz w:val="24"/>
          <w:lang w:val="fr-FR"/>
        </w:rPr>
        <w:t>l</w:t>
      </w:r>
      <w:r w:rsidR="00C46866" w:rsidRPr="00C46866">
        <w:rPr>
          <w:sz w:val="24"/>
          <w:lang w:val="fr-FR"/>
        </w:rPr>
        <w:t xml:space="preserve">’intention d’une ou de plusieurs Parties </w:t>
      </w:r>
      <w:r w:rsidR="001D1C09" w:rsidRPr="00C74077">
        <w:rPr>
          <w:sz w:val="24"/>
          <w:lang w:val="fr-FR"/>
        </w:rPr>
        <w:t>d</w:t>
      </w:r>
      <w:r w:rsidR="004B2554">
        <w:rPr>
          <w:sz w:val="24"/>
          <w:lang w:val="fr-FR"/>
        </w:rPr>
        <w:t>’</w:t>
      </w:r>
      <w:r w:rsidR="001D1C09" w:rsidRPr="00C74077">
        <w:rPr>
          <w:sz w:val="24"/>
          <w:lang w:val="fr-FR"/>
        </w:rPr>
        <w:t>adopter le rôle de point focal pour le taxon proposé</w:t>
      </w:r>
      <w:r w:rsidR="00FA1A69">
        <w:rPr>
          <w:sz w:val="24"/>
          <w:lang w:val="fr-FR"/>
        </w:rPr>
        <w:t>,</w:t>
      </w:r>
      <w:r w:rsidR="001D1C09" w:rsidRPr="00C74077">
        <w:rPr>
          <w:sz w:val="24"/>
          <w:lang w:val="fr-FR"/>
        </w:rPr>
        <w:t xml:space="preserve"> et </w:t>
      </w:r>
      <w:r w:rsidR="00C46866">
        <w:rPr>
          <w:sz w:val="24"/>
          <w:lang w:val="fr-FR"/>
        </w:rPr>
        <w:t xml:space="preserve">de </w:t>
      </w:r>
      <w:r w:rsidR="001D1C09" w:rsidRPr="00C74077">
        <w:rPr>
          <w:sz w:val="24"/>
          <w:lang w:val="fr-FR"/>
        </w:rPr>
        <w:t>dirig</w:t>
      </w:r>
      <w:r w:rsidR="00C46866">
        <w:rPr>
          <w:sz w:val="24"/>
          <w:lang w:val="fr-FR"/>
        </w:rPr>
        <w:t>er</w:t>
      </w:r>
      <w:r w:rsidR="001D1C09" w:rsidRPr="00C74077">
        <w:rPr>
          <w:sz w:val="24"/>
          <w:lang w:val="fr-FR"/>
        </w:rPr>
        <w:t xml:space="preserve"> l</w:t>
      </w:r>
      <w:r w:rsidR="004B2554">
        <w:rPr>
          <w:sz w:val="24"/>
          <w:lang w:val="fr-FR"/>
        </w:rPr>
        <w:t>’</w:t>
      </w:r>
      <w:r w:rsidR="001D1C09" w:rsidRPr="00C74077">
        <w:rPr>
          <w:sz w:val="24"/>
          <w:lang w:val="fr-FR"/>
        </w:rPr>
        <w:t>élaboration d</w:t>
      </w:r>
      <w:r w:rsidR="004B2554">
        <w:rPr>
          <w:sz w:val="24"/>
          <w:lang w:val="fr-FR"/>
        </w:rPr>
        <w:t>’</w:t>
      </w:r>
      <w:r w:rsidR="001D1C09" w:rsidRPr="00C74077">
        <w:rPr>
          <w:sz w:val="24"/>
          <w:lang w:val="fr-FR"/>
        </w:rPr>
        <w:t xml:space="preserve">un accord international ou </w:t>
      </w:r>
      <w:r w:rsidR="00FA1A69">
        <w:rPr>
          <w:sz w:val="24"/>
          <w:lang w:val="fr-FR"/>
        </w:rPr>
        <w:t>d’</w:t>
      </w:r>
      <w:r w:rsidR="001D1C09" w:rsidRPr="00C74077">
        <w:rPr>
          <w:sz w:val="24"/>
          <w:lang w:val="fr-FR"/>
        </w:rPr>
        <w:t>une action concertée.</w:t>
      </w:r>
    </w:p>
    <w:p w14:paraId="5BC4E7FA" w14:textId="77777777" w:rsidR="00FB362F" w:rsidRPr="00C74077" w:rsidRDefault="00FB362F" w:rsidP="00FB362F">
      <w:pPr>
        <w:widowControl/>
        <w:tabs>
          <w:tab w:val="left" w:pos="1134"/>
          <w:tab w:val="left" w:pos="1560"/>
        </w:tabs>
        <w:autoSpaceDE/>
        <w:autoSpaceDN/>
        <w:adjustRightInd/>
        <w:ind w:left="1440"/>
        <w:jc w:val="both"/>
        <w:rPr>
          <w:rFonts w:eastAsia="Calibri"/>
          <w:sz w:val="24"/>
          <w:lang w:val="fr-FR"/>
        </w:rPr>
      </w:pPr>
    </w:p>
    <w:p w14:paraId="338B0EAE" w14:textId="20638C1A" w:rsidR="001D1C09" w:rsidRPr="00FB362F" w:rsidRDefault="001D1C09" w:rsidP="00766CF2">
      <w:pPr>
        <w:widowControl/>
        <w:numPr>
          <w:ilvl w:val="0"/>
          <w:numId w:val="48"/>
        </w:numPr>
        <w:autoSpaceDE/>
        <w:autoSpaceDN/>
        <w:adjustRightInd/>
        <w:ind w:left="0" w:firstLine="0"/>
        <w:jc w:val="both"/>
        <w:rPr>
          <w:rFonts w:eastAsia="Calibri"/>
          <w:spacing w:val="-4"/>
          <w:sz w:val="24"/>
          <w:lang w:val="fr-FR"/>
        </w:rPr>
      </w:pPr>
      <w:r w:rsidRPr="001D1C09">
        <w:rPr>
          <w:sz w:val="24"/>
          <w:lang w:val="fr-FR"/>
        </w:rPr>
        <w:t xml:space="preserve">En ce qui concerne </w:t>
      </w:r>
      <w:r w:rsidR="00C46866">
        <w:rPr>
          <w:sz w:val="24"/>
          <w:lang w:val="fr-FR"/>
        </w:rPr>
        <w:t>le retrait</w:t>
      </w:r>
      <w:r w:rsidRPr="001D1C09">
        <w:rPr>
          <w:sz w:val="24"/>
          <w:lang w:val="fr-FR"/>
        </w:rPr>
        <w:t xml:space="preserve"> d</w:t>
      </w:r>
      <w:r w:rsidR="004B2554">
        <w:rPr>
          <w:sz w:val="24"/>
          <w:lang w:val="fr-FR"/>
        </w:rPr>
        <w:t>’</w:t>
      </w:r>
      <w:r w:rsidRPr="001D1C09">
        <w:rPr>
          <w:sz w:val="24"/>
          <w:lang w:val="fr-FR"/>
        </w:rPr>
        <w:t>un</w:t>
      </w:r>
      <w:r w:rsidR="00C46866">
        <w:rPr>
          <w:sz w:val="24"/>
          <w:lang w:val="fr-FR"/>
        </w:rPr>
        <w:t>e</w:t>
      </w:r>
      <w:r w:rsidRPr="001D1C09">
        <w:rPr>
          <w:sz w:val="24"/>
          <w:lang w:val="fr-FR"/>
        </w:rPr>
        <w:t xml:space="preserve"> espèce des </w:t>
      </w:r>
      <w:r w:rsidR="00F455BC">
        <w:rPr>
          <w:sz w:val="24"/>
          <w:lang w:val="fr-FR"/>
        </w:rPr>
        <w:t>a</w:t>
      </w:r>
      <w:r w:rsidRPr="001D1C09">
        <w:rPr>
          <w:sz w:val="24"/>
          <w:lang w:val="fr-FR"/>
        </w:rPr>
        <w:t xml:space="preserve">nnexes, la Conférence des Parties doit suivre les processus décrits dans les articles III et XI de la Convention pour évaluer </w:t>
      </w:r>
      <w:r w:rsidR="00C46866">
        <w:rPr>
          <w:sz w:val="24"/>
          <w:lang w:val="fr-FR"/>
        </w:rPr>
        <w:t xml:space="preserve">l’état </w:t>
      </w:r>
      <w:r w:rsidRPr="001D1C09">
        <w:rPr>
          <w:sz w:val="24"/>
          <w:lang w:val="fr-FR"/>
        </w:rPr>
        <w:t>d</w:t>
      </w:r>
      <w:r w:rsidR="004B2554">
        <w:rPr>
          <w:sz w:val="24"/>
          <w:lang w:val="fr-FR"/>
        </w:rPr>
        <w:t>’</w:t>
      </w:r>
      <w:r w:rsidRPr="001D1C09">
        <w:rPr>
          <w:sz w:val="24"/>
          <w:lang w:val="fr-FR"/>
        </w:rPr>
        <w:t xml:space="preserve">une espèce migratrice </w:t>
      </w:r>
      <w:r w:rsidR="00FA1A69">
        <w:rPr>
          <w:sz w:val="24"/>
          <w:lang w:val="fr-FR"/>
        </w:rPr>
        <w:t xml:space="preserve">au regard </w:t>
      </w:r>
      <w:r w:rsidR="00C46866">
        <w:rPr>
          <w:sz w:val="24"/>
          <w:lang w:val="fr-FR"/>
        </w:rPr>
        <w:t xml:space="preserve">de la proposition de </w:t>
      </w:r>
      <w:r w:rsidRPr="001D1C09">
        <w:rPr>
          <w:sz w:val="24"/>
          <w:lang w:val="fr-FR"/>
        </w:rPr>
        <w:t>retrait de l</w:t>
      </w:r>
      <w:r w:rsidR="004B2554">
        <w:rPr>
          <w:sz w:val="24"/>
          <w:lang w:val="fr-FR"/>
        </w:rPr>
        <w:t>’</w:t>
      </w:r>
      <w:r w:rsidR="00C46866">
        <w:rPr>
          <w:sz w:val="24"/>
          <w:lang w:val="fr-FR"/>
        </w:rPr>
        <w:t>Annexe I et</w:t>
      </w:r>
      <w:r w:rsidRPr="001D1C09">
        <w:rPr>
          <w:sz w:val="24"/>
          <w:lang w:val="fr-FR"/>
        </w:rPr>
        <w:t xml:space="preserve">/ou II. </w:t>
      </w:r>
      <w:r w:rsidR="00AA1A2C">
        <w:rPr>
          <w:sz w:val="24"/>
          <w:lang w:val="fr-FR"/>
        </w:rPr>
        <w:t>Si</w:t>
      </w:r>
      <w:r w:rsidRPr="00C74077">
        <w:rPr>
          <w:sz w:val="24"/>
          <w:lang w:val="fr-FR"/>
        </w:rPr>
        <w:t xml:space="preserve"> les espèces</w:t>
      </w:r>
      <w:r w:rsidR="00AA1A2C">
        <w:rPr>
          <w:sz w:val="24"/>
          <w:lang w:val="fr-FR"/>
        </w:rPr>
        <w:t xml:space="preserve"> dont le retrait est </w:t>
      </w:r>
      <w:r w:rsidRPr="00C74077">
        <w:rPr>
          <w:sz w:val="24"/>
          <w:lang w:val="fr-FR"/>
        </w:rPr>
        <w:t>proposé sont également soumis</w:t>
      </w:r>
      <w:r w:rsidR="00C46866">
        <w:rPr>
          <w:sz w:val="24"/>
          <w:lang w:val="fr-FR"/>
        </w:rPr>
        <w:t>es</w:t>
      </w:r>
      <w:r w:rsidRPr="00C74077">
        <w:rPr>
          <w:sz w:val="24"/>
          <w:lang w:val="fr-FR"/>
        </w:rPr>
        <w:t xml:space="preserve"> aux dispositions d</w:t>
      </w:r>
      <w:r w:rsidR="004B2554">
        <w:rPr>
          <w:sz w:val="24"/>
          <w:lang w:val="fr-FR"/>
        </w:rPr>
        <w:t>’</w:t>
      </w:r>
      <w:r w:rsidRPr="00C74077">
        <w:rPr>
          <w:sz w:val="24"/>
          <w:lang w:val="fr-FR"/>
        </w:rPr>
        <w:t>autres conventions et accord</w:t>
      </w:r>
      <w:r w:rsidR="004C1634">
        <w:rPr>
          <w:sz w:val="24"/>
          <w:lang w:val="fr-FR"/>
        </w:rPr>
        <w:t>s</w:t>
      </w:r>
      <w:r w:rsidRPr="00C74077">
        <w:rPr>
          <w:sz w:val="24"/>
          <w:lang w:val="fr-FR"/>
        </w:rPr>
        <w:t xml:space="preserve"> multilatéra</w:t>
      </w:r>
      <w:r w:rsidR="00C46866">
        <w:rPr>
          <w:sz w:val="24"/>
          <w:lang w:val="fr-FR"/>
        </w:rPr>
        <w:t>ux</w:t>
      </w:r>
      <w:r w:rsidRPr="00C74077">
        <w:rPr>
          <w:sz w:val="24"/>
          <w:lang w:val="fr-FR"/>
        </w:rPr>
        <w:t xml:space="preserve"> entre les États </w:t>
      </w:r>
      <w:r w:rsidR="00AA1A2C">
        <w:rPr>
          <w:sz w:val="24"/>
          <w:lang w:val="fr-FR"/>
        </w:rPr>
        <w:t>relati</w:t>
      </w:r>
      <w:r w:rsidR="004C1634">
        <w:rPr>
          <w:sz w:val="24"/>
          <w:lang w:val="fr-FR"/>
        </w:rPr>
        <w:t xml:space="preserve">fs </w:t>
      </w:r>
      <w:r w:rsidRPr="00C74077">
        <w:rPr>
          <w:sz w:val="24"/>
          <w:lang w:val="fr-FR"/>
        </w:rPr>
        <w:t xml:space="preserve">à </w:t>
      </w:r>
      <w:r w:rsidR="00FA1A69">
        <w:rPr>
          <w:sz w:val="24"/>
          <w:lang w:val="fr-FR"/>
        </w:rPr>
        <w:t>l</w:t>
      </w:r>
      <w:r w:rsidR="004C1634">
        <w:rPr>
          <w:sz w:val="24"/>
          <w:lang w:val="fr-FR"/>
        </w:rPr>
        <w:t>a</w:t>
      </w:r>
      <w:r w:rsidRPr="00C74077">
        <w:rPr>
          <w:sz w:val="24"/>
          <w:lang w:val="fr-FR"/>
        </w:rPr>
        <w:t xml:space="preserve"> conservation ou </w:t>
      </w:r>
      <w:r w:rsidR="00AA1A2C">
        <w:rPr>
          <w:sz w:val="24"/>
          <w:lang w:val="fr-FR"/>
        </w:rPr>
        <w:t xml:space="preserve">à </w:t>
      </w:r>
      <w:r w:rsidRPr="00C74077">
        <w:rPr>
          <w:sz w:val="24"/>
          <w:lang w:val="fr-FR"/>
        </w:rPr>
        <w:t>l</w:t>
      </w:r>
      <w:r w:rsidR="004B2554">
        <w:rPr>
          <w:sz w:val="24"/>
          <w:lang w:val="fr-FR"/>
        </w:rPr>
        <w:t>’</w:t>
      </w:r>
      <w:r w:rsidRPr="00C74077">
        <w:rPr>
          <w:sz w:val="24"/>
          <w:lang w:val="fr-FR"/>
        </w:rPr>
        <w:t xml:space="preserve">utilisation durable de la faune sauvage, le Secrétariat devra consulter les conventions </w:t>
      </w:r>
      <w:r w:rsidR="00AA1A2C">
        <w:rPr>
          <w:sz w:val="24"/>
          <w:lang w:val="fr-FR"/>
        </w:rPr>
        <w:t>concernées</w:t>
      </w:r>
      <w:r w:rsidRPr="00C74077">
        <w:rPr>
          <w:sz w:val="24"/>
          <w:lang w:val="fr-FR"/>
        </w:rPr>
        <w:t xml:space="preserve"> </w:t>
      </w:r>
      <w:r w:rsidR="00AA1A2C">
        <w:rPr>
          <w:sz w:val="24"/>
          <w:lang w:val="fr-FR"/>
        </w:rPr>
        <w:t>au sujet de</w:t>
      </w:r>
      <w:r w:rsidRPr="00C74077">
        <w:rPr>
          <w:sz w:val="24"/>
          <w:lang w:val="fr-FR"/>
        </w:rPr>
        <w:t xml:space="preserve"> la pertinence de la suppression de la protection prévue par </w:t>
      </w:r>
      <w:r w:rsidR="00AA1A2C">
        <w:rPr>
          <w:sz w:val="24"/>
          <w:lang w:val="fr-FR"/>
        </w:rPr>
        <w:t xml:space="preserve">les </w:t>
      </w:r>
      <w:r w:rsidR="00F455BC">
        <w:rPr>
          <w:sz w:val="24"/>
          <w:lang w:val="fr-FR"/>
        </w:rPr>
        <w:t>a</w:t>
      </w:r>
      <w:r w:rsidRPr="00C74077">
        <w:rPr>
          <w:sz w:val="24"/>
          <w:lang w:val="fr-FR"/>
        </w:rPr>
        <w:t>nnexes</w:t>
      </w:r>
      <w:r w:rsidR="00AA1A2C">
        <w:rPr>
          <w:sz w:val="24"/>
          <w:lang w:val="fr-FR"/>
        </w:rPr>
        <w:t xml:space="preserve"> de</w:t>
      </w:r>
      <w:r w:rsidR="00AA1A2C" w:rsidRPr="00AA1A2C">
        <w:rPr>
          <w:sz w:val="24"/>
          <w:lang w:val="fr-FR"/>
        </w:rPr>
        <w:t xml:space="preserve"> </w:t>
      </w:r>
      <w:r w:rsidR="00AA1A2C" w:rsidRPr="00C74077">
        <w:rPr>
          <w:sz w:val="24"/>
          <w:lang w:val="fr-FR"/>
        </w:rPr>
        <w:t>la CMS</w:t>
      </w:r>
      <w:r w:rsidRPr="00C74077">
        <w:rPr>
          <w:sz w:val="24"/>
          <w:lang w:val="fr-FR"/>
        </w:rPr>
        <w:t xml:space="preserve">. Cette consultation </w:t>
      </w:r>
      <w:r w:rsidR="00AA1A2C">
        <w:rPr>
          <w:sz w:val="24"/>
          <w:lang w:val="fr-FR"/>
        </w:rPr>
        <w:t>aura pour objectif de veiller à ce</w:t>
      </w:r>
      <w:r w:rsidRPr="00C74077">
        <w:rPr>
          <w:sz w:val="24"/>
          <w:lang w:val="fr-FR"/>
        </w:rPr>
        <w:t xml:space="preserve"> que l</w:t>
      </w:r>
      <w:r w:rsidR="004B2554">
        <w:rPr>
          <w:sz w:val="24"/>
          <w:lang w:val="fr-FR"/>
        </w:rPr>
        <w:t>’</w:t>
      </w:r>
      <w:r w:rsidRPr="00C74077">
        <w:rPr>
          <w:sz w:val="24"/>
          <w:lang w:val="fr-FR"/>
        </w:rPr>
        <w:t xml:space="preserve">évaluation complète des conséquences </w:t>
      </w:r>
      <w:r w:rsidR="00AA1A2C">
        <w:rPr>
          <w:sz w:val="24"/>
          <w:lang w:val="fr-FR"/>
        </w:rPr>
        <w:t>du retrait</w:t>
      </w:r>
      <w:r w:rsidRPr="00C74077">
        <w:rPr>
          <w:sz w:val="24"/>
          <w:lang w:val="fr-FR"/>
        </w:rPr>
        <w:t xml:space="preserve"> d</w:t>
      </w:r>
      <w:r w:rsidR="004B2554">
        <w:rPr>
          <w:sz w:val="24"/>
          <w:lang w:val="fr-FR"/>
        </w:rPr>
        <w:t>’</w:t>
      </w:r>
      <w:r w:rsidRPr="00C74077">
        <w:rPr>
          <w:sz w:val="24"/>
          <w:lang w:val="fr-FR"/>
        </w:rPr>
        <w:t>une espèce de</w:t>
      </w:r>
      <w:r w:rsidR="00AA1A2C">
        <w:rPr>
          <w:sz w:val="24"/>
          <w:lang w:val="fr-FR"/>
        </w:rPr>
        <w:t xml:space="preserve">s </w:t>
      </w:r>
      <w:r w:rsidR="00F455BC">
        <w:rPr>
          <w:sz w:val="24"/>
          <w:lang w:val="fr-FR"/>
        </w:rPr>
        <w:t>a</w:t>
      </w:r>
      <w:r w:rsidR="00AA1A2C">
        <w:rPr>
          <w:sz w:val="24"/>
          <w:lang w:val="fr-FR"/>
        </w:rPr>
        <w:t>nnexes de la</w:t>
      </w:r>
      <w:r w:rsidRPr="00C74077">
        <w:rPr>
          <w:sz w:val="24"/>
          <w:lang w:val="fr-FR"/>
        </w:rPr>
        <w:t xml:space="preserve"> CMS </w:t>
      </w:r>
      <w:r w:rsidR="00AA1A2C">
        <w:rPr>
          <w:sz w:val="24"/>
          <w:lang w:val="fr-FR"/>
        </w:rPr>
        <w:t>soit</w:t>
      </w:r>
      <w:r w:rsidRPr="00C74077">
        <w:rPr>
          <w:sz w:val="24"/>
          <w:lang w:val="fr-FR"/>
        </w:rPr>
        <w:t xml:space="preserve"> </w:t>
      </w:r>
      <w:r w:rsidR="00AA1A2C">
        <w:rPr>
          <w:sz w:val="24"/>
          <w:lang w:val="fr-FR"/>
        </w:rPr>
        <w:t>examinée</w:t>
      </w:r>
      <w:r w:rsidRPr="00C74077">
        <w:rPr>
          <w:sz w:val="24"/>
          <w:lang w:val="fr-FR"/>
        </w:rPr>
        <w:t xml:space="preserve"> dans le contexte de la gestion de l</w:t>
      </w:r>
      <w:r w:rsidR="004B2554">
        <w:rPr>
          <w:sz w:val="24"/>
          <w:lang w:val="fr-FR"/>
        </w:rPr>
        <w:t>’</w:t>
      </w:r>
      <w:r w:rsidRPr="00C74077">
        <w:rPr>
          <w:sz w:val="24"/>
          <w:lang w:val="fr-FR"/>
        </w:rPr>
        <w:t>espèce</w:t>
      </w:r>
      <w:r w:rsidR="004C1634" w:rsidRPr="004C1634">
        <w:rPr>
          <w:sz w:val="24"/>
          <w:lang w:val="fr-FR"/>
        </w:rPr>
        <w:t xml:space="preserve"> </w:t>
      </w:r>
      <w:r w:rsidR="004C1634">
        <w:rPr>
          <w:sz w:val="24"/>
          <w:lang w:val="fr-FR"/>
        </w:rPr>
        <w:t xml:space="preserve">dans son </w:t>
      </w:r>
      <w:r w:rsidR="004C1634" w:rsidRPr="00C74077">
        <w:rPr>
          <w:sz w:val="24"/>
          <w:lang w:val="fr-FR"/>
        </w:rPr>
        <w:t>ensemble</w:t>
      </w:r>
      <w:r w:rsidRPr="00C74077">
        <w:rPr>
          <w:sz w:val="24"/>
          <w:lang w:val="fr-FR"/>
        </w:rPr>
        <w:t>.</w:t>
      </w:r>
    </w:p>
    <w:p w14:paraId="2C0442DB" w14:textId="77777777" w:rsidR="00FB362F" w:rsidRPr="00C74077" w:rsidRDefault="00FB362F" w:rsidP="00FB362F">
      <w:pPr>
        <w:widowControl/>
        <w:autoSpaceDE/>
        <w:autoSpaceDN/>
        <w:adjustRightInd/>
        <w:jc w:val="both"/>
        <w:rPr>
          <w:rFonts w:eastAsia="Calibri"/>
          <w:spacing w:val="-4"/>
          <w:sz w:val="24"/>
          <w:lang w:val="fr-FR"/>
        </w:rPr>
      </w:pPr>
    </w:p>
    <w:p w14:paraId="2CFE3750" w14:textId="10A2C35D" w:rsidR="00AE5584" w:rsidRPr="0080038A" w:rsidRDefault="00AA1A2C" w:rsidP="00766CF2">
      <w:pPr>
        <w:widowControl/>
        <w:numPr>
          <w:ilvl w:val="0"/>
          <w:numId w:val="48"/>
        </w:numPr>
        <w:autoSpaceDE/>
        <w:autoSpaceDN/>
        <w:adjustRightInd/>
        <w:ind w:left="0" w:firstLine="0"/>
        <w:jc w:val="both"/>
        <w:rPr>
          <w:rFonts w:eastAsia="Calibri"/>
          <w:spacing w:val="-4"/>
          <w:sz w:val="24"/>
          <w:lang w:val="fr-FR"/>
        </w:rPr>
      </w:pPr>
      <w:r w:rsidRPr="00AA1A2C">
        <w:rPr>
          <w:sz w:val="24"/>
          <w:lang w:val="fr-FR"/>
        </w:rPr>
        <w:t>Les p</w:t>
      </w:r>
      <w:r w:rsidR="001D1C09" w:rsidRPr="001D1C09">
        <w:rPr>
          <w:sz w:val="24"/>
          <w:lang w:val="fr-FR"/>
        </w:rPr>
        <w:t>ropositions d</w:t>
      </w:r>
      <w:r w:rsidR="004B2554">
        <w:rPr>
          <w:sz w:val="24"/>
          <w:lang w:val="fr-FR"/>
        </w:rPr>
        <w:t>’</w:t>
      </w:r>
      <w:r w:rsidR="001D1C09" w:rsidRPr="001D1C09">
        <w:rPr>
          <w:sz w:val="24"/>
          <w:lang w:val="fr-FR"/>
        </w:rPr>
        <w:t>inscription de taxons au-dessus du niveau de l</w:t>
      </w:r>
      <w:r w:rsidR="004B2554">
        <w:rPr>
          <w:sz w:val="24"/>
          <w:lang w:val="fr-FR"/>
        </w:rPr>
        <w:t>’</w:t>
      </w:r>
      <w:r w:rsidR="001D1C09" w:rsidRPr="001D1C09">
        <w:rPr>
          <w:sz w:val="24"/>
          <w:lang w:val="fr-FR"/>
        </w:rPr>
        <w:t>espèce ne d</w:t>
      </w:r>
      <w:r w:rsidR="00174343">
        <w:rPr>
          <w:sz w:val="24"/>
          <w:lang w:val="fr-FR"/>
        </w:rPr>
        <w:t>oiven</w:t>
      </w:r>
      <w:r w:rsidR="001D1C09" w:rsidRPr="001D1C09">
        <w:rPr>
          <w:sz w:val="24"/>
          <w:lang w:val="fr-FR"/>
        </w:rPr>
        <w:t>t normalement être acceptée</w:t>
      </w:r>
      <w:r>
        <w:rPr>
          <w:sz w:val="24"/>
          <w:lang w:val="fr-FR"/>
        </w:rPr>
        <w:t>s</w:t>
      </w:r>
      <w:r w:rsidR="001D1C09" w:rsidRPr="001D1C09">
        <w:rPr>
          <w:sz w:val="24"/>
          <w:lang w:val="fr-FR"/>
        </w:rPr>
        <w:t xml:space="preserve"> que si toutes les espèces de ce taxon répond</w:t>
      </w:r>
      <w:r>
        <w:rPr>
          <w:sz w:val="24"/>
          <w:lang w:val="fr-FR"/>
        </w:rPr>
        <w:t>ent</w:t>
      </w:r>
      <w:r w:rsidR="001D1C09" w:rsidRPr="001D1C09">
        <w:rPr>
          <w:sz w:val="24"/>
          <w:lang w:val="fr-FR"/>
        </w:rPr>
        <w:t xml:space="preserve"> aux exigences de la Convention. </w:t>
      </w:r>
      <w:r>
        <w:rPr>
          <w:sz w:val="24"/>
          <w:lang w:val="fr-FR"/>
        </w:rPr>
        <w:t>Des i</w:t>
      </w:r>
      <w:r w:rsidR="001D1C09" w:rsidRPr="00C74077">
        <w:rPr>
          <w:sz w:val="24"/>
          <w:lang w:val="fr-FR"/>
        </w:rPr>
        <w:t xml:space="preserve">nformations sur chaque espèce </w:t>
      </w:r>
      <w:r>
        <w:rPr>
          <w:sz w:val="24"/>
          <w:lang w:val="fr-FR"/>
        </w:rPr>
        <w:t>du</w:t>
      </w:r>
      <w:r w:rsidR="001D1C09" w:rsidRPr="00C74077">
        <w:rPr>
          <w:sz w:val="24"/>
          <w:lang w:val="fr-FR"/>
        </w:rPr>
        <w:t xml:space="preserve"> taxon supérieur doi</w:t>
      </w:r>
      <w:r w:rsidR="00FA1A69">
        <w:rPr>
          <w:sz w:val="24"/>
          <w:lang w:val="fr-FR"/>
        </w:rPr>
        <w:t>vent</w:t>
      </w:r>
      <w:r w:rsidR="001D1C09" w:rsidRPr="00C74077">
        <w:rPr>
          <w:sz w:val="24"/>
          <w:lang w:val="fr-FR"/>
        </w:rPr>
        <w:t xml:space="preserve"> être inclus</w:t>
      </w:r>
      <w:r>
        <w:rPr>
          <w:sz w:val="24"/>
          <w:lang w:val="fr-FR"/>
        </w:rPr>
        <w:t>es</w:t>
      </w:r>
      <w:r w:rsidR="001D1C09" w:rsidRPr="00C74077">
        <w:rPr>
          <w:sz w:val="24"/>
          <w:lang w:val="fr-FR"/>
        </w:rPr>
        <w:t xml:space="preserve"> dans la proposition, et chaque espèce d</w:t>
      </w:r>
      <w:r w:rsidR="004C1634">
        <w:rPr>
          <w:sz w:val="24"/>
          <w:lang w:val="fr-FR"/>
        </w:rPr>
        <w:t>oit</w:t>
      </w:r>
      <w:r w:rsidR="001D1C09" w:rsidRPr="00C74077">
        <w:rPr>
          <w:sz w:val="24"/>
          <w:lang w:val="fr-FR"/>
        </w:rPr>
        <w:t xml:space="preserve"> être évalué</w:t>
      </w:r>
      <w:r>
        <w:rPr>
          <w:sz w:val="24"/>
          <w:lang w:val="fr-FR"/>
        </w:rPr>
        <w:t>e</w:t>
      </w:r>
      <w:r w:rsidR="001D1C09" w:rsidRPr="00C74077">
        <w:rPr>
          <w:sz w:val="24"/>
          <w:lang w:val="fr-FR"/>
        </w:rPr>
        <w:t xml:space="preserve"> </w:t>
      </w:r>
      <w:r>
        <w:rPr>
          <w:sz w:val="24"/>
          <w:lang w:val="fr-FR"/>
        </w:rPr>
        <w:t>en fonction de</w:t>
      </w:r>
      <w:r w:rsidR="001D1C09" w:rsidRPr="00C74077">
        <w:rPr>
          <w:sz w:val="24"/>
          <w:lang w:val="fr-FR"/>
        </w:rPr>
        <w:t xml:space="preserve"> ses </w:t>
      </w:r>
      <w:r w:rsidR="00FA1A69" w:rsidRPr="00C74077">
        <w:rPr>
          <w:sz w:val="24"/>
          <w:lang w:val="fr-FR"/>
        </w:rPr>
        <w:t>propres</w:t>
      </w:r>
      <w:r w:rsidR="00FA1A69">
        <w:rPr>
          <w:sz w:val="24"/>
          <w:lang w:val="fr-FR"/>
        </w:rPr>
        <w:t xml:space="preserve"> caractéristiques</w:t>
      </w:r>
      <w:r w:rsidR="001D1C09" w:rsidRPr="00C74077">
        <w:rPr>
          <w:sz w:val="24"/>
          <w:lang w:val="fr-FR"/>
        </w:rPr>
        <w:t>. Si une proposition est adoptée, l</w:t>
      </w:r>
      <w:r w:rsidR="0080038A">
        <w:rPr>
          <w:sz w:val="24"/>
          <w:lang w:val="fr-FR"/>
        </w:rPr>
        <w:t>’inscription aux a</w:t>
      </w:r>
      <w:r w:rsidR="0080038A" w:rsidRPr="00C74077">
        <w:rPr>
          <w:sz w:val="24"/>
          <w:lang w:val="fr-FR"/>
        </w:rPr>
        <w:t>nnexes de la Convention</w:t>
      </w:r>
      <w:r w:rsidR="0080038A">
        <w:rPr>
          <w:sz w:val="24"/>
          <w:lang w:val="fr-FR"/>
        </w:rPr>
        <w:t xml:space="preserve"> concernera individuellement chacune d</w:t>
      </w:r>
      <w:r w:rsidR="001D1C09" w:rsidRPr="00C74077">
        <w:rPr>
          <w:sz w:val="24"/>
          <w:lang w:val="fr-FR"/>
        </w:rPr>
        <w:t xml:space="preserve">es </w:t>
      </w:r>
      <w:r w:rsidR="00937C65">
        <w:rPr>
          <w:sz w:val="24"/>
          <w:lang w:val="fr-FR"/>
        </w:rPr>
        <w:t xml:space="preserve">différentes </w:t>
      </w:r>
      <w:r w:rsidR="001D1C09" w:rsidRPr="00C74077">
        <w:rPr>
          <w:sz w:val="24"/>
          <w:lang w:val="fr-FR"/>
        </w:rPr>
        <w:t>espèces au sein du taxon supérieur</w:t>
      </w:r>
      <w:r w:rsidR="00FA1A69">
        <w:rPr>
          <w:sz w:val="24"/>
          <w:lang w:val="fr-FR"/>
        </w:rPr>
        <w:t>,</w:t>
      </w:r>
      <w:r w:rsidR="001D1C09" w:rsidRPr="00C74077">
        <w:rPr>
          <w:sz w:val="24"/>
          <w:lang w:val="fr-FR"/>
        </w:rPr>
        <w:t xml:space="preserve"> plutôt que l</w:t>
      </w:r>
      <w:r w:rsidR="0074063E">
        <w:rPr>
          <w:sz w:val="24"/>
          <w:lang w:val="fr-FR"/>
        </w:rPr>
        <w:t>’ensemble du</w:t>
      </w:r>
      <w:r w:rsidR="001D1C09" w:rsidRPr="00C74077">
        <w:rPr>
          <w:sz w:val="24"/>
          <w:lang w:val="fr-FR"/>
        </w:rPr>
        <w:t xml:space="preserve"> taxon supérieur</w:t>
      </w:r>
      <w:r w:rsidR="0080038A">
        <w:rPr>
          <w:sz w:val="24"/>
          <w:lang w:val="fr-FR"/>
        </w:rPr>
        <w:t>.</w:t>
      </w:r>
    </w:p>
    <w:sectPr w:rsidR="00AE5584" w:rsidRPr="0080038A" w:rsidSect="00BF4956">
      <w:pgSz w:w="11906" w:h="16838" w:code="9"/>
      <w:pgMar w:top="1440" w:right="1440" w:bottom="1440" w:left="1440"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2B3A4" w15:done="0"/>
  <w15:commentEx w15:paraId="73CB2B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4F91" w14:textId="77777777" w:rsidR="00471908" w:rsidRDefault="00471908">
      <w:r>
        <w:separator/>
      </w:r>
    </w:p>
  </w:endnote>
  <w:endnote w:type="continuationSeparator" w:id="0">
    <w:p w14:paraId="5AEA4799" w14:textId="77777777" w:rsidR="00471908" w:rsidRDefault="0047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0ABA" w14:textId="77777777" w:rsidR="00D25A6C" w:rsidRPr="001764E6" w:rsidRDefault="00D25A6C" w:rsidP="008274F7">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Pr>
        <w:noProof/>
        <w:sz w:val="24"/>
      </w:rPr>
      <w:t>4</w:t>
    </w:r>
    <w:r w:rsidRPr="001764E6">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9AEF" w14:textId="77777777" w:rsidR="00D25A6C" w:rsidRPr="001764E6" w:rsidRDefault="00D25A6C" w:rsidP="008274F7">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sidR="007735E1">
      <w:rPr>
        <w:noProof/>
        <w:sz w:val="24"/>
      </w:rPr>
      <w:t>3</w:t>
    </w:r>
    <w:r w:rsidRPr="001764E6">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8DAD" w14:textId="313E185E" w:rsidR="00D25A6C" w:rsidRPr="0008122C" w:rsidRDefault="00D25A6C" w:rsidP="0043705E">
    <w:pPr>
      <w:pBdr>
        <w:top w:val="double" w:sz="6" w:space="0" w:color="000000"/>
        <w:left w:val="double" w:sz="6" w:space="0" w:color="000000"/>
        <w:bottom w:val="double" w:sz="6" w:space="0" w:color="000000"/>
        <w:right w:val="double" w:sz="6" w:space="0" w:color="000000"/>
      </w:pBdr>
      <w:ind w:left="850"/>
      <w:jc w:val="both"/>
      <w:rPr>
        <w:i/>
        <w:iCs/>
        <w:spacing w:val="-4"/>
        <w:szCs w:val="20"/>
        <w:lang w:val="fr-FR"/>
      </w:rPr>
    </w:pPr>
    <w:r w:rsidRPr="0043705E">
      <w:rPr>
        <w:i/>
        <w:noProof/>
      </w:rPr>
      <w:drawing>
        <wp:anchor distT="0" distB="0" distL="114300" distR="114300" simplePos="0" relativeHeight="251659264" behindDoc="0" locked="0" layoutInCell="1" allowOverlap="1" wp14:anchorId="6FEE8839" wp14:editId="2CECDB62">
          <wp:simplePos x="0" y="0"/>
          <wp:positionH relativeFrom="column">
            <wp:posOffset>-448310</wp:posOffset>
          </wp:positionH>
          <wp:positionV relativeFrom="paragraph">
            <wp:posOffset>-394335</wp:posOffset>
          </wp:positionV>
          <wp:extent cx="861060" cy="845820"/>
          <wp:effectExtent l="19050" t="0" r="0" b="0"/>
          <wp:wrapNone/>
          <wp:docPr id="4" name="Picture 4" descr="logo_colo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lor_300dpi"/>
                  <pic:cNvPicPr>
                    <a:picLocks noChangeAspect="1" noChangeArrowheads="1"/>
                  </pic:cNvPicPr>
                </pic:nvPicPr>
                <pic:blipFill>
                  <a:blip r:embed="rId1"/>
                  <a:srcRect/>
                  <a:stretch>
                    <a:fillRect/>
                  </a:stretch>
                </pic:blipFill>
                <pic:spPr bwMode="auto">
                  <a:xfrm>
                    <a:off x="0" y="0"/>
                    <a:ext cx="861060" cy="845820"/>
                  </a:xfrm>
                  <a:prstGeom prst="rect">
                    <a:avLst/>
                  </a:prstGeom>
                  <a:noFill/>
                </pic:spPr>
              </pic:pic>
            </a:graphicData>
          </a:graphic>
        </wp:anchor>
      </w:drawing>
    </w:r>
    <w:r w:rsidRPr="0043705E">
      <w:rPr>
        <w:i/>
        <w:noProof/>
      </w:rPr>
      <w:drawing>
        <wp:anchor distT="0" distB="0" distL="114300" distR="114300" simplePos="0" relativeHeight="251656192" behindDoc="0" locked="0" layoutInCell="1" allowOverlap="1" wp14:anchorId="594B0C5F" wp14:editId="015C574E">
          <wp:simplePos x="0" y="0"/>
          <wp:positionH relativeFrom="column">
            <wp:posOffset>914400</wp:posOffset>
          </wp:positionH>
          <wp:positionV relativeFrom="paragraph">
            <wp:posOffset>914400</wp:posOffset>
          </wp:positionV>
          <wp:extent cx="914400" cy="9042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904240"/>
                  </a:xfrm>
                  <a:prstGeom prst="rect">
                    <a:avLst/>
                  </a:prstGeom>
                  <a:noFill/>
                </pic:spPr>
              </pic:pic>
            </a:graphicData>
          </a:graphic>
        </wp:anchor>
      </w:drawing>
    </w:r>
    <w:r w:rsidRPr="0043705E">
      <w:rPr>
        <w:i/>
        <w:noProof/>
      </w:rPr>
      <w:drawing>
        <wp:anchor distT="0" distB="0" distL="114300" distR="114300" simplePos="0" relativeHeight="251657216" behindDoc="0" locked="0" layoutInCell="1" allowOverlap="1" wp14:anchorId="73ACB975" wp14:editId="4453A368">
          <wp:simplePos x="0" y="0"/>
          <wp:positionH relativeFrom="column">
            <wp:posOffset>914400</wp:posOffset>
          </wp:positionH>
          <wp:positionV relativeFrom="paragraph">
            <wp:posOffset>914400</wp:posOffset>
          </wp:positionV>
          <wp:extent cx="914400" cy="9042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14400" cy="904240"/>
                  </a:xfrm>
                  <a:prstGeom prst="rect">
                    <a:avLst/>
                  </a:prstGeom>
                  <a:noFill/>
                </pic:spPr>
              </pic:pic>
            </a:graphicData>
          </a:graphic>
        </wp:anchor>
      </w:drawing>
    </w:r>
    <w:r w:rsidRPr="0043705E">
      <w:rPr>
        <w:i/>
        <w:noProof/>
        <w:lang w:val="fr-FR" w:eastAsia="fr-FR"/>
      </w:rPr>
      <w:t>Pour des raisons d’économie, ce document est imprimé en nombre li</w:t>
    </w:r>
    <w:r w:rsidR="0043705E">
      <w:rPr>
        <w:i/>
        <w:noProof/>
        <w:lang w:val="fr-FR" w:eastAsia="fr-FR"/>
      </w:rPr>
      <w:t>mité et ne sera pas distribué pendant la</w:t>
    </w:r>
    <w:r w:rsidRPr="0043705E">
      <w:rPr>
        <w:i/>
        <w:noProof/>
        <w:lang w:val="fr-FR" w:eastAsia="fr-FR"/>
      </w:rPr>
      <w:t xml:space="preserve"> réunion. Les délégués sont priés de se munir de leur copie et de ne pas demander de copies supplémentaires</w:t>
    </w:r>
    <w:r w:rsidRPr="0008122C">
      <w:rPr>
        <w:i/>
        <w:iCs/>
        <w:spacing w:val="-4"/>
        <w:szCs w:val="20"/>
        <w:lang w:val="fr-F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BBC2" w14:textId="77777777" w:rsidR="00D25A6C" w:rsidRPr="001764E6" w:rsidRDefault="00D25A6C" w:rsidP="001764E6">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sidR="007735E1">
      <w:rPr>
        <w:noProof/>
        <w:sz w:val="24"/>
      </w:rPr>
      <w:t>2</w:t>
    </w:r>
    <w:r w:rsidRPr="001764E6">
      <w:rPr>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1FE5" w14:textId="77777777" w:rsidR="00D25A6C" w:rsidRPr="00EC546C" w:rsidRDefault="00D25A6C" w:rsidP="00BF4956">
    <w:pPr>
      <w:pStyle w:val="Footer"/>
      <w:jc w:val="center"/>
      <w:rPr>
        <w:sz w:val="24"/>
      </w:rPr>
    </w:pPr>
    <w:r w:rsidRPr="00EC546C">
      <w:rPr>
        <w:sz w:val="24"/>
      </w:rPr>
      <w:fldChar w:fldCharType="begin"/>
    </w:r>
    <w:r w:rsidRPr="00EC546C">
      <w:rPr>
        <w:sz w:val="24"/>
      </w:rPr>
      <w:instrText xml:space="preserve"> PAGE   \* MERGEFORMAT </w:instrText>
    </w:r>
    <w:r w:rsidRPr="00EC546C">
      <w:rPr>
        <w:sz w:val="24"/>
      </w:rPr>
      <w:fldChar w:fldCharType="separate"/>
    </w:r>
    <w:r w:rsidR="007735E1">
      <w:rPr>
        <w:noProof/>
        <w:sz w:val="24"/>
      </w:rPr>
      <w:t>12</w:t>
    </w:r>
    <w:r w:rsidRPr="00EC546C">
      <w:rPr>
        <w:noProof/>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3EEC" w14:textId="77777777" w:rsidR="00D25A6C" w:rsidRPr="00EC546C" w:rsidRDefault="00D25A6C" w:rsidP="00BF4956">
    <w:pPr>
      <w:pStyle w:val="Footer"/>
      <w:jc w:val="center"/>
      <w:rPr>
        <w:sz w:val="24"/>
      </w:rPr>
    </w:pPr>
    <w:r w:rsidRPr="00EC546C">
      <w:rPr>
        <w:sz w:val="24"/>
      </w:rPr>
      <w:fldChar w:fldCharType="begin"/>
    </w:r>
    <w:r w:rsidRPr="00EC546C">
      <w:rPr>
        <w:sz w:val="24"/>
      </w:rPr>
      <w:instrText xml:space="preserve"> PAGE   \* MERGEFORMAT </w:instrText>
    </w:r>
    <w:r w:rsidRPr="00EC546C">
      <w:rPr>
        <w:sz w:val="24"/>
      </w:rPr>
      <w:fldChar w:fldCharType="separate"/>
    </w:r>
    <w:r w:rsidR="007735E1">
      <w:rPr>
        <w:noProof/>
        <w:sz w:val="24"/>
      </w:rPr>
      <w:t>13</w:t>
    </w:r>
    <w:r w:rsidRPr="00EC546C">
      <w:rPr>
        <w:noProof/>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32FE" w14:textId="77777777" w:rsidR="00D25A6C" w:rsidRPr="00EC546C" w:rsidRDefault="00D25A6C" w:rsidP="00BF4956">
    <w:pPr>
      <w:pStyle w:val="Footer"/>
      <w:jc w:val="center"/>
      <w:rPr>
        <w:sz w:val="24"/>
      </w:rPr>
    </w:pPr>
    <w:r w:rsidRPr="00EC546C">
      <w:rPr>
        <w:sz w:val="24"/>
      </w:rPr>
      <w:fldChar w:fldCharType="begin"/>
    </w:r>
    <w:r w:rsidRPr="00EC546C">
      <w:rPr>
        <w:sz w:val="24"/>
      </w:rPr>
      <w:instrText xml:space="preserve"> PAGE   \* MERGEFORMAT </w:instrText>
    </w:r>
    <w:r w:rsidRPr="00EC546C">
      <w:rPr>
        <w:sz w:val="24"/>
      </w:rPr>
      <w:fldChar w:fldCharType="separate"/>
    </w:r>
    <w:r w:rsidR="007735E1">
      <w:rPr>
        <w:noProof/>
        <w:sz w:val="24"/>
      </w:rPr>
      <w:t>4</w:t>
    </w:r>
    <w:r w:rsidRPr="00EC546C">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7E1F6" w14:textId="77777777" w:rsidR="00471908" w:rsidRDefault="00471908">
      <w:r>
        <w:separator/>
      </w:r>
    </w:p>
  </w:footnote>
  <w:footnote w:type="continuationSeparator" w:id="0">
    <w:p w14:paraId="31CA5BE5" w14:textId="77777777" w:rsidR="00471908" w:rsidRDefault="0047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7282" w14:textId="77777777" w:rsidR="00DA17BC" w:rsidRDefault="00DA17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BA00" w14:textId="4DE32B51" w:rsidR="00D25A6C" w:rsidRPr="00977E0C" w:rsidRDefault="00D25A6C" w:rsidP="00BF4956">
    <w:pPr>
      <w:pStyle w:val="Heading1"/>
      <w:keepNext w:val="0"/>
      <w:pBdr>
        <w:bottom w:val="single" w:sz="4" w:space="1" w:color="auto"/>
      </w:pBdr>
      <w:ind w:left="261" w:right="-2" w:hanging="261"/>
      <w:jc w:val="right"/>
      <w:rPr>
        <w:b w:val="0"/>
        <w:i/>
        <w:sz w:val="20"/>
        <w:szCs w:val="20"/>
        <w:lang w:val="fr-FR"/>
      </w:rPr>
    </w:pPr>
    <w:r w:rsidRPr="00977E0C">
      <w:rPr>
        <w:b w:val="0"/>
        <w:i/>
        <w:sz w:val="20"/>
        <w:szCs w:val="20"/>
        <w:lang w:val="fr-FR"/>
      </w:rPr>
      <w:t xml:space="preserve"> PNUE/CMS/COP11/Doc.24.2/</w:t>
    </w:r>
    <w:r w:rsidR="001206A2">
      <w:rPr>
        <w:b w:val="0"/>
        <w:i/>
        <w:sz w:val="20"/>
        <w:szCs w:val="20"/>
        <w:lang w:val="fr-FR"/>
      </w:rPr>
      <w:t>Rev.1/</w:t>
    </w:r>
    <w:r w:rsidRPr="00977E0C">
      <w:rPr>
        <w:b w:val="0"/>
        <w:i/>
        <w:sz w:val="20"/>
        <w:szCs w:val="20"/>
        <w:lang w:val="fr-FR"/>
      </w:rPr>
      <w:t>Annexe II : Projet de résolution</w:t>
    </w:r>
  </w:p>
  <w:p w14:paraId="2A9865D9" w14:textId="77777777" w:rsidR="00D25A6C" w:rsidRPr="00977E0C" w:rsidRDefault="00D25A6C" w:rsidP="00BF4956">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7240" w14:textId="77777777" w:rsidR="00D25A6C" w:rsidRDefault="00D25A6C">
    <w:pPr>
      <w:pStyle w:val="Header"/>
    </w:pPr>
  </w:p>
  <w:p w14:paraId="3EACB63A" w14:textId="77777777" w:rsidR="00D25A6C" w:rsidRDefault="00D25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8E18" w14:textId="77777777" w:rsidR="00DA17BC" w:rsidRDefault="00DA1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F7C9" w14:textId="17FAF22E" w:rsidR="00D25A6C" w:rsidRPr="001764E6" w:rsidRDefault="00D25A6C" w:rsidP="00A27BE3">
    <w:pPr>
      <w:pStyle w:val="Heading1"/>
      <w:keepNext w:val="0"/>
      <w:pBdr>
        <w:bottom w:val="single" w:sz="4" w:space="1" w:color="auto"/>
      </w:pBdr>
      <w:tabs>
        <w:tab w:val="clear" w:pos="-720"/>
      </w:tabs>
      <w:ind w:left="261" w:right="-2" w:hanging="261"/>
      <w:jc w:val="right"/>
      <w:rPr>
        <w:b w:val="0"/>
        <w:i/>
        <w:sz w:val="20"/>
        <w:szCs w:val="20"/>
        <w:lang w:val="fr-FR"/>
      </w:rPr>
    </w:pPr>
    <w:r>
      <w:rPr>
        <w:b w:val="0"/>
        <w:i/>
        <w:sz w:val="20"/>
        <w:szCs w:val="20"/>
        <w:lang w:val="fr-FR"/>
      </w:rPr>
      <w:t>PNUE</w:t>
    </w:r>
    <w:r w:rsidRPr="001764E6">
      <w:rPr>
        <w:b w:val="0"/>
        <w:i/>
        <w:sz w:val="20"/>
        <w:szCs w:val="20"/>
        <w:lang w:val="fr-FR"/>
      </w:rPr>
      <w:t>/CMS/</w:t>
    </w:r>
    <w:r>
      <w:rPr>
        <w:b w:val="0"/>
        <w:i/>
        <w:sz w:val="20"/>
        <w:szCs w:val="20"/>
        <w:lang w:val="fr-FR"/>
      </w:rPr>
      <w:t>COP11/Doc.24.2</w:t>
    </w:r>
    <w:r w:rsidR="00EA53A8">
      <w:rPr>
        <w:b w:val="0"/>
        <w:i/>
        <w:sz w:val="20"/>
        <w:szCs w:val="20"/>
        <w:lang w:val="fr-FR"/>
      </w:rPr>
      <w:t>/Rev.1</w:t>
    </w:r>
  </w:p>
  <w:p w14:paraId="16DBBBCE" w14:textId="77777777" w:rsidR="00D25A6C" w:rsidRPr="001764E6" w:rsidRDefault="00D25A6C" w:rsidP="00A27BE3">
    <w:pPr>
      <w:jc w:val="right"/>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0905" w14:textId="4F47FE7D" w:rsidR="00D25A6C" w:rsidRPr="001764E6" w:rsidRDefault="00D25A6C" w:rsidP="00A27BE3">
    <w:pPr>
      <w:pStyle w:val="Heading1"/>
      <w:keepNext w:val="0"/>
      <w:pBdr>
        <w:bottom w:val="single" w:sz="4" w:space="1" w:color="auto"/>
      </w:pBdr>
      <w:tabs>
        <w:tab w:val="clear" w:pos="-720"/>
      </w:tabs>
      <w:ind w:left="261" w:right="-2" w:hanging="261"/>
      <w:rPr>
        <w:b w:val="0"/>
        <w:i/>
        <w:sz w:val="20"/>
        <w:szCs w:val="20"/>
        <w:lang w:val="fr-FR"/>
      </w:rPr>
    </w:pPr>
    <w:r>
      <w:rPr>
        <w:b w:val="0"/>
        <w:i/>
        <w:sz w:val="20"/>
        <w:szCs w:val="20"/>
        <w:lang w:val="fr-FR"/>
      </w:rPr>
      <w:t>PNUE</w:t>
    </w:r>
    <w:r w:rsidRPr="001764E6">
      <w:rPr>
        <w:b w:val="0"/>
        <w:i/>
        <w:sz w:val="20"/>
        <w:szCs w:val="20"/>
        <w:lang w:val="fr-FR"/>
      </w:rPr>
      <w:t>/CMS/</w:t>
    </w:r>
    <w:r>
      <w:rPr>
        <w:b w:val="0"/>
        <w:i/>
        <w:sz w:val="20"/>
        <w:szCs w:val="20"/>
        <w:lang w:val="fr-FR"/>
      </w:rPr>
      <w:t>COP11/Doc.24.2</w:t>
    </w:r>
    <w:r w:rsidR="00EA53A8">
      <w:rPr>
        <w:b w:val="0"/>
        <w:i/>
        <w:sz w:val="20"/>
        <w:szCs w:val="20"/>
        <w:lang w:val="fr-FR"/>
      </w:rPr>
      <w:t>/Rev.1</w:t>
    </w:r>
  </w:p>
  <w:p w14:paraId="58E8D464" w14:textId="77777777" w:rsidR="00D25A6C" w:rsidRPr="001764E6" w:rsidRDefault="00D25A6C" w:rsidP="00A27BE3">
    <w:pPr>
      <w:rPr>
        <w:i/>
        <w:szCs w:val="20"/>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81F4" w14:textId="542CBD87" w:rsidR="00D25A6C" w:rsidRPr="00F67AF9" w:rsidRDefault="00D25A6C" w:rsidP="009D26B7">
    <w:pPr>
      <w:pStyle w:val="Heading1"/>
      <w:keepNext w:val="0"/>
      <w:pBdr>
        <w:bottom w:val="single" w:sz="4" w:space="1" w:color="auto"/>
      </w:pBdr>
      <w:tabs>
        <w:tab w:val="clear" w:pos="-720"/>
      </w:tabs>
      <w:ind w:left="261" w:right="-2" w:hanging="261"/>
      <w:rPr>
        <w:b w:val="0"/>
        <w:i/>
        <w:sz w:val="20"/>
        <w:szCs w:val="20"/>
        <w:lang w:val="en-US"/>
      </w:rPr>
    </w:pPr>
    <w:r>
      <w:rPr>
        <w:b w:val="0"/>
        <w:i/>
        <w:sz w:val="20"/>
        <w:szCs w:val="20"/>
        <w:lang w:val="en-US"/>
      </w:rPr>
      <w:t>PNUE</w:t>
    </w:r>
    <w:r w:rsidRPr="00F67AF9">
      <w:rPr>
        <w:b w:val="0"/>
        <w:i/>
        <w:sz w:val="20"/>
        <w:szCs w:val="20"/>
        <w:lang w:val="en-US"/>
      </w:rPr>
      <w:t>/CMS/</w:t>
    </w:r>
    <w:r>
      <w:rPr>
        <w:b w:val="0"/>
        <w:i/>
        <w:sz w:val="20"/>
        <w:szCs w:val="20"/>
        <w:lang w:val="en-US"/>
      </w:rPr>
      <w:t>COP11/Doc.24.2/</w:t>
    </w:r>
    <w:r w:rsidR="00EA53A8">
      <w:rPr>
        <w:b w:val="0"/>
        <w:i/>
        <w:sz w:val="20"/>
        <w:szCs w:val="20"/>
        <w:lang w:val="en-US"/>
      </w:rPr>
      <w:t>Rev.1/</w:t>
    </w:r>
    <w:proofErr w:type="spellStart"/>
    <w:r>
      <w:rPr>
        <w:b w:val="0"/>
        <w:i/>
        <w:sz w:val="20"/>
        <w:szCs w:val="20"/>
        <w:lang w:val="en-US"/>
      </w:rPr>
      <w:t>Annexe</w:t>
    </w:r>
    <w:proofErr w:type="spellEnd"/>
    <w:r>
      <w:rPr>
        <w:b w:val="0"/>
        <w:i/>
        <w:sz w:val="20"/>
        <w:szCs w:val="20"/>
        <w:lang w:val="en-US"/>
      </w:rPr>
      <w:t xml:space="preserve"> I</w:t>
    </w:r>
  </w:p>
  <w:p w14:paraId="21986120" w14:textId="77777777" w:rsidR="00D25A6C" w:rsidRPr="00D45442" w:rsidRDefault="00D25A6C" w:rsidP="00D45442">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49D0" w14:textId="2291F33A" w:rsidR="00D25A6C" w:rsidRPr="00F67AF9" w:rsidRDefault="00D25A6C" w:rsidP="00BF4956">
    <w:pPr>
      <w:pStyle w:val="Heading1"/>
      <w:keepNext w:val="0"/>
      <w:pBdr>
        <w:bottom w:val="single" w:sz="4" w:space="1" w:color="auto"/>
      </w:pBdr>
      <w:tabs>
        <w:tab w:val="clear" w:pos="-720"/>
      </w:tabs>
      <w:ind w:left="261" w:right="-2" w:hanging="261"/>
      <w:jc w:val="right"/>
      <w:rPr>
        <w:b w:val="0"/>
        <w:i/>
        <w:sz w:val="20"/>
        <w:szCs w:val="20"/>
        <w:lang w:val="en-US"/>
      </w:rPr>
    </w:pPr>
    <w:r>
      <w:rPr>
        <w:b w:val="0"/>
        <w:i/>
        <w:sz w:val="20"/>
        <w:szCs w:val="20"/>
        <w:lang w:val="en-US"/>
      </w:rPr>
      <w:t>PNUE</w:t>
    </w:r>
    <w:r w:rsidRPr="00F67AF9">
      <w:rPr>
        <w:b w:val="0"/>
        <w:i/>
        <w:sz w:val="20"/>
        <w:szCs w:val="20"/>
        <w:lang w:val="en-US"/>
      </w:rPr>
      <w:t>/CMS/</w:t>
    </w:r>
    <w:r>
      <w:rPr>
        <w:b w:val="0"/>
        <w:i/>
        <w:sz w:val="20"/>
        <w:szCs w:val="20"/>
        <w:lang w:val="en-US"/>
      </w:rPr>
      <w:t>COP11/Doc.24.2</w:t>
    </w:r>
    <w:r w:rsidR="00EA53A8">
      <w:rPr>
        <w:b w:val="0"/>
        <w:i/>
        <w:sz w:val="20"/>
        <w:szCs w:val="20"/>
        <w:lang w:val="en-US"/>
      </w:rPr>
      <w:t>/Rev.1</w:t>
    </w:r>
    <w:r>
      <w:rPr>
        <w:b w:val="0"/>
        <w:i/>
        <w:sz w:val="20"/>
        <w:szCs w:val="20"/>
        <w:lang w:val="en-US"/>
      </w:rPr>
      <w:t>/</w:t>
    </w:r>
    <w:proofErr w:type="spellStart"/>
    <w:r>
      <w:rPr>
        <w:b w:val="0"/>
        <w:i/>
        <w:sz w:val="20"/>
        <w:szCs w:val="20"/>
        <w:lang w:val="en-US"/>
      </w:rPr>
      <w:t>Annexe</w:t>
    </w:r>
    <w:proofErr w:type="spellEnd"/>
    <w:r>
      <w:rPr>
        <w:b w:val="0"/>
        <w:i/>
        <w:sz w:val="20"/>
        <w:szCs w:val="20"/>
        <w:lang w:val="en-US"/>
      </w:rPr>
      <w:t xml:space="preserve"> I</w:t>
    </w:r>
  </w:p>
  <w:p w14:paraId="3B2B792B" w14:textId="77777777" w:rsidR="00D25A6C" w:rsidRPr="00F67AF9" w:rsidRDefault="00D25A6C" w:rsidP="00BF4956">
    <w:pPr>
      <w:jc w:val="right"/>
      <w:rPr>
        <w:i/>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5E6E" w14:textId="2FC1DCB9" w:rsidR="00D25A6C" w:rsidRPr="00F67AF9" w:rsidRDefault="00D25A6C" w:rsidP="003C0C1A">
    <w:pPr>
      <w:pStyle w:val="Heading1"/>
      <w:keepNext w:val="0"/>
      <w:pBdr>
        <w:bottom w:val="single" w:sz="4" w:space="1" w:color="auto"/>
      </w:pBdr>
      <w:tabs>
        <w:tab w:val="clear" w:pos="-720"/>
      </w:tabs>
      <w:ind w:left="261" w:right="-2" w:hanging="261"/>
      <w:rPr>
        <w:i/>
        <w:szCs w:val="20"/>
      </w:rPr>
    </w:pPr>
    <w:r>
      <w:rPr>
        <w:b w:val="0"/>
        <w:i/>
        <w:sz w:val="20"/>
        <w:szCs w:val="20"/>
        <w:lang w:val="en-US"/>
      </w:rPr>
      <w:t>PNUE</w:t>
    </w:r>
    <w:r w:rsidRPr="00F67AF9">
      <w:rPr>
        <w:b w:val="0"/>
        <w:i/>
        <w:sz w:val="20"/>
        <w:szCs w:val="20"/>
        <w:lang w:val="en-US"/>
      </w:rPr>
      <w:t>/CMS/</w:t>
    </w:r>
    <w:r>
      <w:rPr>
        <w:b w:val="0"/>
        <w:i/>
        <w:sz w:val="20"/>
        <w:szCs w:val="20"/>
        <w:lang w:val="en-US"/>
      </w:rPr>
      <w:t>COP11/</w:t>
    </w:r>
    <w:r w:rsidRPr="00F67AF9">
      <w:rPr>
        <w:b w:val="0"/>
        <w:i/>
        <w:sz w:val="20"/>
        <w:szCs w:val="20"/>
        <w:lang w:val="en-US"/>
      </w:rPr>
      <w:t>Doc.</w:t>
    </w:r>
    <w:r w:rsidR="003C0C1A">
      <w:rPr>
        <w:b w:val="0"/>
        <w:i/>
        <w:sz w:val="20"/>
        <w:szCs w:val="20"/>
        <w:lang w:val="en-US"/>
      </w:rPr>
      <w:t>24.2</w:t>
    </w:r>
    <w:r w:rsidR="00EA53A8">
      <w:rPr>
        <w:b w:val="0"/>
        <w:i/>
        <w:sz w:val="20"/>
        <w:szCs w:val="20"/>
        <w:lang w:val="en-US"/>
      </w:rPr>
      <w:t>/Rev.1</w:t>
    </w:r>
    <w:r w:rsidR="003C0C1A">
      <w:rPr>
        <w:b w:val="0"/>
        <w:i/>
        <w:sz w:val="20"/>
        <w:szCs w:val="20"/>
        <w:lang w:val="en-US"/>
      </w:rPr>
      <w:t>/</w:t>
    </w:r>
    <w:proofErr w:type="spellStart"/>
    <w:r w:rsidR="003C0C1A">
      <w:rPr>
        <w:b w:val="0"/>
        <w:i/>
        <w:sz w:val="20"/>
        <w:szCs w:val="20"/>
        <w:lang w:val="en-US"/>
      </w:rPr>
      <w:t>Annexe</w:t>
    </w:r>
    <w:proofErr w:type="spellEnd"/>
    <w:r w:rsidR="003C0C1A">
      <w:rPr>
        <w:b w:val="0"/>
        <w:i/>
        <w:sz w:val="20"/>
        <w:szCs w:val="20"/>
        <w:lang w:val="en-US"/>
      </w:rPr>
      <w:t xml:space="preserve"> </w:t>
    </w:r>
    <w:r w:rsidR="00EA53A8">
      <w:rPr>
        <w:b w:val="0"/>
        <w:i/>
        <w:sz w:val="20"/>
        <w:szCs w:val="20"/>
        <w:lang w:val="en-US"/>
      </w:rPr>
      <w: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0E2C" w14:textId="7E2AE013" w:rsidR="00D25A6C" w:rsidRPr="00977E0C" w:rsidRDefault="00D25A6C" w:rsidP="009D26B7">
    <w:pPr>
      <w:pStyle w:val="Heading1"/>
      <w:keepNext w:val="0"/>
      <w:pBdr>
        <w:bottom w:val="single" w:sz="4" w:space="1" w:color="auto"/>
      </w:pBdr>
      <w:tabs>
        <w:tab w:val="clear" w:pos="-720"/>
      </w:tabs>
      <w:ind w:left="261" w:right="-2" w:hanging="261"/>
      <w:rPr>
        <w:b w:val="0"/>
        <w:i/>
        <w:sz w:val="20"/>
        <w:szCs w:val="20"/>
        <w:lang w:val="fr-FR"/>
      </w:rPr>
    </w:pPr>
    <w:r>
      <w:rPr>
        <w:b w:val="0"/>
        <w:i/>
        <w:sz w:val="20"/>
        <w:szCs w:val="20"/>
        <w:lang w:val="fr-FR"/>
      </w:rPr>
      <w:t>PNUE</w:t>
    </w:r>
    <w:r w:rsidRPr="00977E0C">
      <w:rPr>
        <w:b w:val="0"/>
        <w:i/>
        <w:sz w:val="20"/>
        <w:szCs w:val="20"/>
        <w:lang w:val="fr-FR"/>
      </w:rPr>
      <w:t>/CMS/COP11/Doc.24.2/</w:t>
    </w:r>
    <w:r w:rsidR="001206A2">
      <w:rPr>
        <w:b w:val="0"/>
        <w:i/>
        <w:sz w:val="20"/>
        <w:szCs w:val="20"/>
        <w:lang w:val="fr-FR"/>
      </w:rPr>
      <w:t>Rev.1/</w:t>
    </w:r>
    <w:r w:rsidRPr="00977E0C">
      <w:rPr>
        <w:b w:val="0"/>
        <w:i/>
        <w:sz w:val="20"/>
        <w:szCs w:val="20"/>
        <w:lang w:val="fr-FR"/>
      </w:rPr>
      <w:t>Annexe II : Projet de résolution</w:t>
    </w:r>
  </w:p>
  <w:p w14:paraId="0C297685" w14:textId="77777777" w:rsidR="00D25A6C" w:rsidRPr="00977E0C" w:rsidRDefault="00D25A6C" w:rsidP="00D4544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7E5A1B"/>
    <w:multiLevelType w:val="hybridMultilevel"/>
    <w:tmpl w:val="ACAEFBC6"/>
    <w:lvl w:ilvl="0" w:tplc="74D6A56C">
      <w:start w:val="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CA14A8"/>
    <w:multiLevelType w:val="hybridMultilevel"/>
    <w:tmpl w:val="A17C8A0A"/>
    <w:lvl w:ilvl="0" w:tplc="B6B6132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23B04EB3"/>
    <w:multiLevelType w:val="hybridMultilevel"/>
    <w:tmpl w:val="80BC4908"/>
    <w:lvl w:ilvl="0" w:tplc="1786BB1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55670CC"/>
    <w:multiLevelType w:val="hybridMultilevel"/>
    <w:tmpl w:val="0E6A4BFE"/>
    <w:lvl w:ilvl="0" w:tplc="1F8E1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967963"/>
    <w:multiLevelType w:val="hybridMultilevel"/>
    <w:tmpl w:val="DCA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4357A5"/>
    <w:multiLevelType w:val="hybridMultilevel"/>
    <w:tmpl w:val="EA986526"/>
    <w:lvl w:ilvl="0" w:tplc="F55A1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nsid w:val="511B4DCC"/>
    <w:multiLevelType w:val="hybridMultilevel"/>
    <w:tmpl w:val="42087C46"/>
    <w:lvl w:ilvl="0" w:tplc="F6E8EE02">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64013669"/>
    <w:multiLevelType w:val="hybridMultilevel"/>
    <w:tmpl w:val="AA6E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2F48B9"/>
    <w:multiLevelType w:val="hybridMultilevel"/>
    <w:tmpl w:val="4EB29668"/>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79735AD"/>
    <w:multiLevelType w:val="hybridMultilevel"/>
    <w:tmpl w:val="A1805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1"/>
  </w:num>
  <w:num w:numId="4">
    <w:abstractNumId w:val="25"/>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8"/>
  </w:num>
  <w:num w:numId="10">
    <w:abstractNumId w:val="24"/>
  </w:num>
  <w:num w:numId="11">
    <w:abstractNumId w:val="41"/>
  </w:num>
  <w:num w:numId="12">
    <w:abstractNumId w:val="3"/>
  </w:num>
  <w:num w:numId="13">
    <w:abstractNumId w:val="21"/>
  </w:num>
  <w:num w:numId="14">
    <w:abstractNumId w:val="39"/>
  </w:num>
  <w:num w:numId="15">
    <w:abstractNumId w:val="2"/>
  </w:num>
  <w:num w:numId="16">
    <w:abstractNumId w:val="10"/>
  </w:num>
  <w:num w:numId="17">
    <w:abstractNumId w:val="42"/>
  </w:num>
  <w:num w:numId="18">
    <w:abstractNumId w:val="23"/>
  </w:num>
  <w:num w:numId="19">
    <w:abstractNumId w:val="40"/>
  </w:num>
  <w:num w:numId="20">
    <w:abstractNumId w:val="47"/>
  </w:num>
  <w:num w:numId="21">
    <w:abstractNumId w:val="4"/>
  </w:num>
  <w:num w:numId="22">
    <w:abstractNumId w:val="18"/>
  </w:num>
  <w:num w:numId="23">
    <w:abstractNumId w:val="28"/>
  </w:num>
  <w:num w:numId="24">
    <w:abstractNumId w:val="17"/>
  </w:num>
  <w:num w:numId="25">
    <w:abstractNumId w:val="32"/>
  </w:num>
  <w:num w:numId="26">
    <w:abstractNumId w:val="0"/>
  </w:num>
  <w:num w:numId="27">
    <w:abstractNumId w:val="44"/>
  </w:num>
  <w:num w:numId="28">
    <w:abstractNumId w:val="6"/>
  </w:num>
  <w:num w:numId="29">
    <w:abstractNumId w:val="22"/>
  </w:num>
  <w:num w:numId="30">
    <w:abstractNumId w:val="15"/>
  </w:num>
  <w:num w:numId="31">
    <w:abstractNumId w:val="30"/>
  </w:num>
  <w:num w:numId="32">
    <w:abstractNumId w:val="29"/>
  </w:num>
  <w:num w:numId="33">
    <w:abstractNumId w:val="5"/>
  </w:num>
  <w:num w:numId="34">
    <w:abstractNumId w:val="19"/>
  </w:num>
  <w:num w:numId="35">
    <w:abstractNumId w:val="16"/>
  </w:num>
  <w:num w:numId="36">
    <w:abstractNumId w:val="33"/>
  </w:num>
  <w:num w:numId="37">
    <w:abstractNumId w:val="38"/>
  </w:num>
  <w:num w:numId="38">
    <w:abstractNumId w:val="9"/>
  </w:num>
  <w:num w:numId="39">
    <w:abstractNumId w:val="3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6"/>
  </w:num>
  <w:num w:numId="43">
    <w:abstractNumId w:val="34"/>
  </w:num>
  <w:num w:numId="44">
    <w:abstractNumId w:val="20"/>
  </w:num>
  <w:num w:numId="45">
    <w:abstractNumId w:val="27"/>
  </w:num>
  <w:num w:numId="46">
    <w:abstractNumId w:val="14"/>
  </w:num>
  <w:num w:numId="47">
    <w:abstractNumId w:val="45"/>
  </w:num>
  <w:num w:numId="48">
    <w:abstractNumId w:val="12"/>
  </w:num>
  <w:num w:numId="49">
    <w:abstractNumId w:val="43"/>
  </w:num>
  <w:num w:numId="5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y Baker">
    <w15:presenceInfo w15:providerId="Windows Live" w15:userId="86ce66bec4147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6"/>
    <w:rsid w:val="00011D26"/>
    <w:rsid w:val="000518C2"/>
    <w:rsid w:val="00060156"/>
    <w:rsid w:val="00073C92"/>
    <w:rsid w:val="00080F03"/>
    <w:rsid w:val="0008122C"/>
    <w:rsid w:val="0008711E"/>
    <w:rsid w:val="00094739"/>
    <w:rsid w:val="000B6220"/>
    <w:rsid w:val="000C21B1"/>
    <w:rsid w:val="000D0D63"/>
    <w:rsid w:val="000F1156"/>
    <w:rsid w:val="00104BC2"/>
    <w:rsid w:val="00114766"/>
    <w:rsid w:val="001151A3"/>
    <w:rsid w:val="001206A2"/>
    <w:rsid w:val="00130BFD"/>
    <w:rsid w:val="001419C7"/>
    <w:rsid w:val="001442FB"/>
    <w:rsid w:val="00150AC4"/>
    <w:rsid w:val="00162D88"/>
    <w:rsid w:val="00166ABA"/>
    <w:rsid w:val="00171356"/>
    <w:rsid w:val="00174343"/>
    <w:rsid w:val="001743FD"/>
    <w:rsid w:val="001764E6"/>
    <w:rsid w:val="001808F1"/>
    <w:rsid w:val="0018560D"/>
    <w:rsid w:val="00194D47"/>
    <w:rsid w:val="001A04C1"/>
    <w:rsid w:val="001C6038"/>
    <w:rsid w:val="001D1C09"/>
    <w:rsid w:val="001F2B94"/>
    <w:rsid w:val="00201F88"/>
    <w:rsid w:val="00202332"/>
    <w:rsid w:val="00203F58"/>
    <w:rsid w:val="0020764A"/>
    <w:rsid w:val="0022097C"/>
    <w:rsid w:val="00236F20"/>
    <w:rsid w:val="002470E8"/>
    <w:rsid w:val="00252404"/>
    <w:rsid w:val="00263159"/>
    <w:rsid w:val="002779F7"/>
    <w:rsid w:val="0029594F"/>
    <w:rsid w:val="002C08C0"/>
    <w:rsid w:val="002C20F1"/>
    <w:rsid w:val="002E3DEA"/>
    <w:rsid w:val="002E7CC2"/>
    <w:rsid w:val="003331C6"/>
    <w:rsid w:val="00345044"/>
    <w:rsid w:val="00372347"/>
    <w:rsid w:val="003B0C35"/>
    <w:rsid w:val="003B6C38"/>
    <w:rsid w:val="003C0C1A"/>
    <w:rsid w:val="00410072"/>
    <w:rsid w:val="00411E65"/>
    <w:rsid w:val="00423388"/>
    <w:rsid w:val="00424BC8"/>
    <w:rsid w:val="00426D73"/>
    <w:rsid w:val="0043705E"/>
    <w:rsid w:val="00446C5C"/>
    <w:rsid w:val="00457441"/>
    <w:rsid w:val="004579F6"/>
    <w:rsid w:val="00461D8A"/>
    <w:rsid w:val="004656D0"/>
    <w:rsid w:val="00471908"/>
    <w:rsid w:val="00473ABD"/>
    <w:rsid w:val="0049476C"/>
    <w:rsid w:val="004A4EB9"/>
    <w:rsid w:val="004B2554"/>
    <w:rsid w:val="004C1634"/>
    <w:rsid w:val="004C204D"/>
    <w:rsid w:val="004D0436"/>
    <w:rsid w:val="00512B91"/>
    <w:rsid w:val="0052367D"/>
    <w:rsid w:val="005319F2"/>
    <w:rsid w:val="0053332F"/>
    <w:rsid w:val="00542FCC"/>
    <w:rsid w:val="0055762E"/>
    <w:rsid w:val="00565445"/>
    <w:rsid w:val="005851CD"/>
    <w:rsid w:val="005B4DC1"/>
    <w:rsid w:val="005B6141"/>
    <w:rsid w:val="005D3E6E"/>
    <w:rsid w:val="005F3989"/>
    <w:rsid w:val="005F4303"/>
    <w:rsid w:val="00600D3B"/>
    <w:rsid w:val="00601B52"/>
    <w:rsid w:val="0062185D"/>
    <w:rsid w:val="00633211"/>
    <w:rsid w:val="00637CC6"/>
    <w:rsid w:val="00655C08"/>
    <w:rsid w:val="0065739E"/>
    <w:rsid w:val="006864E1"/>
    <w:rsid w:val="006C72AF"/>
    <w:rsid w:val="006E1336"/>
    <w:rsid w:val="006E56AD"/>
    <w:rsid w:val="006E5763"/>
    <w:rsid w:val="00711110"/>
    <w:rsid w:val="00713308"/>
    <w:rsid w:val="00723BA9"/>
    <w:rsid w:val="00727E01"/>
    <w:rsid w:val="0074063E"/>
    <w:rsid w:val="00747735"/>
    <w:rsid w:val="00757614"/>
    <w:rsid w:val="00766CF2"/>
    <w:rsid w:val="007735E1"/>
    <w:rsid w:val="0077397E"/>
    <w:rsid w:val="00777FE4"/>
    <w:rsid w:val="0078457B"/>
    <w:rsid w:val="00795B1D"/>
    <w:rsid w:val="007C1468"/>
    <w:rsid w:val="007C41D7"/>
    <w:rsid w:val="007C4980"/>
    <w:rsid w:val="007D19F3"/>
    <w:rsid w:val="007E2E58"/>
    <w:rsid w:val="007F16FB"/>
    <w:rsid w:val="007F1BBA"/>
    <w:rsid w:val="007F2F11"/>
    <w:rsid w:val="0080038A"/>
    <w:rsid w:val="008060DB"/>
    <w:rsid w:val="0081600F"/>
    <w:rsid w:val="00820C8E"/>
    <w:rsid w:val="0082722D"/>
    <w:rsid w:val="008274F7"/>
    <w:rsid w:val="00842CA7"/>
    <w:rsid w:val="008441F9"/>
    <w:rsid w:val="00846A99"/>
    <w:rsid w:val="00893346"/>
    <w:rsid w:val="008A0D8D"/>
    <w:rsid w:val="008B1A69"/>
    <w:rsid w:val="008C0AAB"/>
    <w:rsid w:val="008C1A39"/>
    <w:rsid w:val="008E211E"/>
    <w:rsid w:val="008E7DFB"/>
    <w:rsid w:val="008F3499"/>
    <w:rsid w:val="008F52D7"/>
    <w:rsid w:val="008F7327"/>
    <w:rsid w:val="009076C8"/>
    <w:rsid w:val="00921D62"/>
    <w:rsid w:val="009246D7"/>
    <w:rsid w:val="00927CD6"/>
    <w:rsid w:val="00931A94"/>
    <w:rsid w:val="00933572"/>
    <w:rsid w:val="00937C65"/>
    <w:rsid w:val="00950CB4"/>
    <w:rsid w:val="00954DED"/>
    <w:rsid w:val="009727B4"/>
    <w:rsid w:val="00977E0C"/>
    <w:rsid w:val="009A2C8F"/>
    <w:rsid w:val="009A7B65"/>
    <w:rsid w:val="009D26B7"/>
    <w:rsid w:val="009D3A07"/>
    <w:rsid w:val="009D4711"/>
    <w:rsid w:val="009D5DA6"/>
    <w:rsid w:val="009E3A84"/>
    <w:rsid w:val="009E4421"/>
    <w:rsid w:val="009F2F87"/>
    <w:rsid w:val="009F450E"/>
    <w:rsid w:val="009F54DA"/>
    <w:rsid w:val="00A06984"/>
    <w:rsid w:val="00A11A9A"/>
    <w:rsid w:val="00A1537B"/>
    <w:rsid w:val="00A27BE3"/>
    <w:rsid w:val="00A40EDF"/>
    <w:rsid w:val="00A568DF"/>
    <w:rsid w:val="00A752E9"/>
    <w:rsid w:val="00A93C52"/>
    <w:rsid w:val="00AA1A2C"/>
    <w:rsid w:val="00AA5701"/>
    <w:rsid w:val="00AA7368"/>
    <w:rsid w:val="00AB4FF9"/>
    <w:rsid w:val="00AB570F"/>
    <w:rsid w:val="00AD15F9"/>
    <w:rsid w:val="00AD75A4"/>
    <w:rsid w:val="00AE5584"/>
    <w:rsid w:val="00AE7B21"/>
    <w:rsid w:val="00AF1980"/>
    <w:rsid w:val="00AF3018"/>
    <w:rsid w:val="00B10071"/>
    <w:rsid w:val="00B11B89"/>
    <w:rsid w:val="00B128CD"/>
    <w:rsid w:val="00B2771A"/>
    <w:rsid w:val="00B309E9"/>
    <w:rsid w:val="00B471BD"/>
    <w:rsid w:val="00B50C2D"/>
    <w:rsid w:val="00B56F02"/>
    <w:rsid w:val="00B6367B"/>
    <w:rsid w:val="00B82A8B"/>
    <w:rsid w:val="00BB6316"/>
    <w:rsid w:val="00BC5607"/>
    <w:rsid w:val="00BD2191"/>
    <w:rsid w:val="00BE0D1D"/>
    <w:rsid w:val="00BE2448"/>
    <w:rsid w:val="00BE24D4"/>
    <w:rsid w:val="00BF4956"/>
    <w:rsid w:val="00BF7A0D"/>
    <w:rsid w:val="00C13FA6"/>
    <w:rsid w:val="00C35E0E"/>
    <w:rsid w:val="00C46866"/>
    <w:rsid w:val="00C60706"/>
    <w:rsid w:val="00C618F2"/>
    <w:rsid w:val="00C6336E"/>
    <w:rsid w:val="00C74077"/>
    <w:rsid w:val="00C7602A"/>
    <w:rsid w:val="00C82ED9"/>
    <w:rsid w:val="00C87D68"/>
    <w:rsid w:val="00C91D71"/>
    <w:rsid w:val="00C9281B"/>
    <w:rsid w:val="00CA367A"/>
    <w:rsid w:val="00CB1D26"/>
    <w:rsid w:val="00CC4C21"/>
    <w:rsid w:val="00CC57AD"/>
    <w:rsid w:val="00D05922"/>
    <w:rsid w:val="00D24EBD"/>
    <w:rsid w:val="00D25A6C"/>
    <w:rsid w:val="00D45442"/>
    <w:rsid w:val="00D552C1"/>
    <w:rsid w:val="00D7746A"/>
    <w:rsid w:val="00D838FE"/>
    <w:rsid w:val="00D8406F"/>
    <w:rsid w:val="00D859C7"/>
    <w:rsid w:val="00D8689E"/>
    <w:rsid w:val="00D9288F"/>
    <w:rsid w:val="00DA1080"/>
    <w:rsid w:val="00DA12C2"/>
    <w:rsid w:val="00DA17BC"/>
    <w:rsid w:val="00DB101B"/>
    <w:rsid w:val="00DB1610"/>
    <w:rsid w:val="00DD6A9E"/>
    <w:rsid w:val="00DE4FFF"/>
    <w:rsid w:val="00E11464"/>
    <w:rsid w:val="00E23367"/>
    <w:rsid w:val="00E368B9"/>
    <w:rsid w:val="00E7358A"/>
    <w:rsid w:val="00E74D1C"/>
    <w:rsid w:val="00E90F4A"/>
    <w:rsid w:val="00E969FB"/>
    <w:rsid w:val="00EA20A4"/>
    <w:rsid w:val="00EA53A8"/>
    <w:rsid w:val="00EE64C1"/>
    <w:rsid w:val="00F01F94"/>
    <w:rsid w:val="00F05AA0"/>
    <w:rsid w:val="00F16FB9"/>
    <w:rsid w:val="00F24050"/>
    <w:rsid w:val="00F248AA"/>
    <w:rsid w:val="00F25097"/>
    <w:rsid w:val="00F31539"/>
    <w:rsid w:val="00F444EC"/>
    <w:rsid w:val="00F455BC"/>
    <w:rsid w:val="00F5187D"/>
    <w:rsid w:val="00F6347A"/>
    <w:rsid w:val="00F7503A"/>
    <w:rsid w:val="00F81FEF"/>
    <w:rsid w:val="00F9480E"/>
    <w:rsid w:val="00FA1A69"/>
    <w:rsid w:val="00FB362F"/>
    <w:rsid w:val="00FC7DD5"/>
    <w:rsid w:val="00FD3A06"/>
    <w:rsid w:val="00FD51F5"/>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hps">
    <w:name w:val="hps"/>
    <w:rsid w:val="003C0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hps">
    <w:name w:val="hps"/>
    <w:rsid w:val="003C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iucnredlist.org/docum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image" Target="media/image3.wmf"/><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19</Pages>
  <Words>7399</Words>
  <Characters>42180</Characters>
  <Application>Microsoft Office Word</Application>
  <DocSecurity>0</DocSecurity>
  <Lines>351</Lines>
  <Paragraphs>98</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17TH MEETING OF THE</vt:lpstr>
      <vt:lpstr>17TH MEETING OF THE</vt:lpstr>
      <vt:lpstr>    </vt:lpstr>
      <vt:lpstr>    ÉVALUATION DES PROPOSITIONS D’AMENDEMENT </vt:lpstr>
      <vt:lpstr>    DES ANNEXES DE LA CMS</vt:lpstr>
      <vt:lpstr>    Évaluation des propositions d’amendement DES ANNEXES de la CMS</vt:lpstr>
      <vt:lpstr>    </vt:lpstr>
      <vt:lpstr>Introduction</vt:lpstr>
      <vt:lpstr>Description of the listing categories</vt:lpstr>
      <vt:lpstr>The implications for CMS</vt:lpstr>
      <vt:lpstr>Recommendations</vt:lpstr>
      <vt:lpstr>Acknowledgements</vt:lpstr>
      <vt:lpstr>References:</vt:lpstr>
    </vt:vector>
  </TitlesOfParts>
  <Company>United Nations Volunteers (UNV) programme</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Marco Barbieri</dc:creator>
  <cp:lastModifiedBy>Marco Barbieri</cp:lastModifiedBy>
  <cp:revision>3</cp:revision>
  <cp:lastPrinted>2014-09-24T08:25:00Z</cp:lastPrinted>
  <dcterms:created xsi:type="dcterms:W3CDTF">2014-10-16T14:45:00Z</dcterms:created>
  <dcterms:modified xsi:type="dcterms:W3CDTF">2014-10-16T14:46:00Z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