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0744955" r:id="rId10"/>
              </w:object>
            </w:r>
            <w:r w:rsidR="001572E6">
              <w:rPr>
                <w:noProof/>
                <w:szCs w:val="24"/>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1572E6" w:rsidP="00EB4FAC">
            <w:pPr>
              <w:rPr>
                <w:lang w:val="fr-FR"/>
              </w:rPr>
            </w:pPr>
            <w:r>
              <w:rPr>
                <w:noProof/>
                <w:szCs w:val="24"/>
              </w:rPr>
              <w:drawing>
                <wp:inline distT="0" distB="0" distL="0" distR="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1572E6">
              <w:rPr>
                <w:rFonts w:ascii="Arial" w:hAnsi="Arial" w:cs="Arial"/>
                <w:sz w:val="22"/>
                <w:lang w:val="fr-FR"/>
              </w:rPr>
              <w:t>Doc.23.4.2</w:t>
            </w:r>
            <w:r w:rsidR="00AE651D">
              <w:rPr>
                <w:rFonts w:ascii="Arial" w:hAnsi="Arial" w:cs="Arial"/>
                <w:sz w:val="22"/>
                <w:lang w:val="fr-FR"/>
              </w:rPr>
              <w:t>8 août</w:t>
            </w:r>
            <w:r w:rsidR="00105EA7">
              <w:rPr>
                <w:rFonts w:ascii="Arial" w:hAnsi="Arial" w:cs="Arial"/>
                <w:sz w:val="22"/>
                <w:lang w:val="fr-FR"/>
              </w:rPr>
              <w:t xml:space="preserve"> </w:t>
            </w:r>
            <w:r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1572E6">
        <w:rPr>
          <w:noProof/>
          <w:sz w:val="22"/>
          <w:lang w:val="fr-FR"/>
        </w:rPr>
        <w:t>23.4</w:t>
      </w:r>
      <w:r w:rsidR="00F47A4C">
        <w:rPr>
          <w:noProof/>
          <w:sz w:val="22"/>
          <w:lang w:val="fr-FR"/>
        </w:rPr>
        <w:t>.2</w:t>
      </w:r>
      <w:r w:rsidR="001572E6">
        <w:rPr>
          <w:noProof/>
          <w:sz w:val="22"/>
          <w:lang w:val="fr-FR"/>
        </w:rPr>
        <w:t xml:space="preserve"> </w:t>
      </w:r>
      <w:r w:rsidRPr="00B607B3">
        <w:rPr>
          <w:noProof/>
          <w:sz w:val="22"/>
          <w:lang w:val="fr-FR"/>
        </w:rPr>
        <w:t>de l’ordre du jour</w:t>
      </w:r>
    </w:p>
    <w:p w:rsidR="00C87CFD" w:rsidRPr="00B23D51" w:rsidRDefault="00C87CFD" w:rsidP="00C87CFD">
      <w:pPr>
        <w:snapToGrid w:val="0"/>
        <w:rPr>
          <w:lang w:val="fr-FR"/>
        </w:rPr>
      </w:pPr>
    </w:p>
    <w:p w:rsidR="00CC2968" w:rsidRDefault="00CC2968" w:rsidP="00D52B1D">
      <w:pPr>
        <w:rPr>
          <w:szCs w:val="24"/>
          <w:lang w:val="fr-FR"/>
        </w:rPr>
      </w:pPr>
    </w:p>
    <w:p w:rsidR="00F47A4C" w:rsidRPr="00D52B1D" w:rsidRDefault="00F47A4C" w:rsidP="00D52B1D">
      <w:pPr>
        <w:rPr>
          <w:szCs w:val="24"/>
          <w:lang w:val="fr-FR"/>
        </w:rPr>
      </w:pPr>
    </w:p>
    <w:p w:rsidR="00F47A4C" w:rsidRPr="00001953" w:rsidRDefault="00F47A4C" w:rsidP="00F47A4C">
      <w:pPr>
        <w:jc w:val="center"/>
        <w:rPr>
          <w:b/>
          <w:caps/>
          <w:lang w:val="fr-FR"/>
        </w:rPr>
      </w:pPr>
      <w:r w:rsidRPr="00001953">
        <w:rPr>
          <w:b/>
          <w:caps/>
          <w:lang w:val="fr-FR"/>
        </w:rPr>
        <w:t>PROGRAMME de travail sur le changement climatique et les espÈces migratrices</w:t>
      </w: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1572E6" w:rsidP="00761732">
      <w:pPr>
        <w:rPr>
          <w:lang w:val="fr-FR"/>
        </w:rPr>
      </w:pPr>
      <w:r>
        <w:rPr>
          <w:noProof/>
        </w:rPr>
        <mc:AlternateContent>
          <mc:Choice Requires="wps">
            <w:drawing>
              <wp:anchor distT="0" distB="0" distL="114300" distR="114300" simplePos="0" relativeHeight="251657728" behindDoc="0" locked="0" layoutInCell="1" allowOverlap="1" wp14:anchorId="39EF88D1" wp14:editId="35607C03">
                <wp:simplePos x="0" y="0"/>
                <wp:positionH relativeFrom="column">
                  <wp:posOffset>839470</wp:posOffset>
                </wp:positionH>
                <wp:positionV relativeFrom="paragraph">
                  <wp:posOffset>90805</wp:posOffset>
                </wp:positionV>
                <wp:extent cx="4394200" cy="3429000"/>
                <wp:effectExtent l="0" t="0" r="254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3429000"/>
                        </a:xfrm>
                        <a:prstGeom prst="rect">
                          <a:avLst/>
                        </a:prstGeom>
                        <a:solidFill>
                          <a:srgbClr val="FFFFFF"/>
                        </a:solidFill>
                        <a:ln w="25400">
                          <a:solidFill>
                            <a:srgbClr val="000000"/>
                          </a:solidFill>
                          <a:miter lim="800000"/>
                          <a:headEnd/>
                          <a:tailEnd/>
                        </a:ln>
                      </wps:spPr>
                      <wps:txb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612049" w:rsidRDefault="00F47A4C" w:rsidP="00F47A4C">
                            <w:pPr>
                              <w:jc w:val="both"/>
                              <w:rPr>
                                <w:szCs w:val="24"/>
                                <w:lang w:val="fr-FR"/>
                              </w:rPr>
                            </w:pPr>
                            <w:r>
                              <w:rPr>
                                <w:szCs w:val="24"/>
                                <w:lang w:val="fr-FR"/>
                              </w:rPr>
                              <w:t xml:space="preserve">Ce document contient </w:t>
                            </w:r>
                            <w:r w:rsidRPr="009939C1">
                              <w:rPr>
                                <w:szCs w:val="24"/>
                                <w:lang w:val="fr-FR"/>
                              </w:rPr>
                              <w:t xml:space="preserve">un projet de </w:t>
                            </w:r>
                            <w:r>
                              <w:rPr>
                                <w:szCs w:val="24"/>
                                <w:lang w:val="fr-FR"/>
                              </w:rPr>
                              <w:t>R</w:t>
                            </w:r>
                            <w:r w:rsidRPr="009939C1">
                              <w:rPr>
                                <w:szCs w:val="24"/>
                                <w:lang w:val="fr-FR"/>
                              </w:rPr>
                              <w:t xml:space="preserve">ésolution et le Programme de travail sur le changement climatique et les espèces migratrices annexé à la Résolution. Les deux </w:t>
                            </w:r>
                            <w:r>
                              <w:rPr>
                                <w:szCs w:val="24"/>
                                <w:lang w:val="fr-FR"/>
                              </w:rPr>
                              <w:t xml:space="preserve">parties du </w:t>
                            </w:r>
                            <w:r w:rsidRPr="009939C1">
                              <w:rPr>
                                <w:szCs w:val="24"/>
                                <w:lang w:val="fr-FR"/>
                              </w:rPr>
                              <w:t>document découlent de la Résolution 10.19 sur la conservation des espèces migratrices à la lumière du changement climatique qui a créé le poste de conseiller pour le changement climatique, nommé par la COP et chargé de préparer un programme de travail sur le changement climatique et les espèces migratrices.</w:t>
                            </w:r>
                            <w:r>
                              <w:rPr>
                                <w:szCs w:val="24"/>
                                <w:lang w:val="fr-FR"/>
                              </w:rPr>
                              <w:t xml:space="preserve"> Le projet de Résolution et le Programme de travail sur le changement climatique et les espèces migratrices o</w:t>
                            </w:r>
                            <w:r w:rsidR="00612049">
                              <w:rPr>
                                <w:szCs w:val="24"/>
                                <w:lang w:val="fr-FR"/>
                              </w:rPr>
                              <w:t>nt été approuv</w:t>
                            </w:r>
                            <w:r>
                              <w:rPr>
                                <w:szCs w:val="24"/>
                                <w:lang w:val="fr-FR"/>
                              </w:rPr>
                              <w:t>és par le Conseil scientifique lors de sa 18</w:t>
                            </w:r>
                            <w:r w:rsidRPr="00A409EE">
                              <w:rPr>
                                <w:szCs w:val="24"/>
                                <w:vertAlign w:val="superscript"/>
                                <w:lang w:val="fr-FR"/>
                              </w:rPr>
                              <w:t>ème</w:t>
                            </w:r>
                            <w:r>
                              <w:rPr>
                                <w:szCs w:val="24"/>
                                <w:lang w:val="fr-FR"/>
                              </w:rPr>
                              <w:t xml:space="preserve"> réunion</w:t>
                            </w:r>
                            <w:r w:rsidR="00612049">
                              <w:rPr>
                                <w:szCs w:val="24"/>
                                <w:lang w:val="fr-FR"/>
                              </w:rPr>
                              <w:t>.</w:t>
                            </w:r>
                          </w:p>
                          <w:p w:rsidR="00612049" w:rsidRDefault="00612049" w:rsidP="00F47A4C">
                            <w:pPr>
                              <w:jc w:val="both"/>
                              <w:rPr>
                                <w:szCs w:val="24"/>
                                <w:lang w:val="fr-FR"/>
                              </w:rPr>
                            </w:pPr>
                          </w:p>
                          <w:p w:rsidR="00F47A4C" w:rsidRPr="009939C1" w:rsidRDefault="00F47A4C" w:rsidP="00F47A4C">
                            <w:pPr>
                              <w:jc w:val="both"/>
                              <w:rPr>
                                <w:szCs w:val="24"/>
                                <w:lang w:val="fr-FR"/>
                              </w:rPr>
                            </w:pPr>
                            <w:r>
                              <w:rPr>
                                <w:szCs w:val="24"/>
                                <w:lang w:val="fr-FR"/>
                              </w:rPr>
                              <w:t>Les</w:t>
                            </w:r>
                            <w:r w:rsidR="00612049">
                              <w:rPr>
                                <w:szCs w:val="24"/>
                                <w:lang w:val="fr-FR"/>
                              </w:rPr>
                              <w:t xml:space="preserve"> </w:t>
                            </w:r>
                            <w:r w:rsidRPr="009939C1">
                              <w:rPr>
                                <w:szCs w:val="24"/>
                                <w:lang w:val="fr-FR"/>
                              </w:rPr>
                              <w:t>effets du changement climatique sur les espèces migratrices et la détermination de mesures d’adaptation sont partie intégrante du Programme de travail du Conseil scientifique, du Plan stratégique 2006-2014 et du prochain Plan stratégique pour les espèces migratrices 2015-2023.</w:t>
                            </w:r>
                          </w:p>
                          <w:p w:rsidR="00F47A4C" w:rsidRPr="0038253F" w:rsidRDefault="00F47A4C"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1pt;margin-top:7.15pt;width:346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" strokeweight="2pt">
                <v:textbox>
                  <w:txbxContent>
                    <w:p w:rsidR="004556F3" w:rsidRDefault="004556F3" w:rsidP="004556F3">
                      <w:pPr>
                        <w:jc w:val="both"/>
                        <w:rPr>
                          <w:szCs w:val="24"/>
                          <w:lang w:val="fr-FR"/>
                        </w:rPr>
                      </w:pPr>
                      <w:r>
                        <w:rPr>
                          <w:szCs w:val="24"/>
                          <w:lang w:val="fr-FR"/>
                        </w:rPr>
                        <w:t>Résumé</w:t>
                      </w:r>
                    </w:p>
                    <w:p w:rsidR="00105EA7" w:rsidRDefault="00105EA7" w:rsidP="004556F3">
                      <w:pPr>
                        <w:jc w:val="both"/>
                        <w:rPr>
                          <w:szCs w:val="24"/>
                          <w:lang w:val="fr-FR"/>
                        </w:rPr>
                      </w:pPr>
                    </w:p>
                    <w:p w:rsidR="00612049" w:rsidRDefault="00F47A4C" w:rsidP="00F47A4C">
                      <w:pPr>
                        <w:jc w:val="both"/>
                        <w:rPr>
                          <w:szCs w:val="24"/>
                          <w:lang w:val="fr-FR"/>
                        </w:rPr>
                      </w:pPr>
                      <w:r>
                        <w:rPr>
                          <w:szCs w:val="24"/>
                          <w:lang w:val="fr-FR"/>
                        </w:rPr>
                        <w:t xml:space="preserve">Ce document contient </w:t>
                      </w:r>
                      <w:r w:rsidRPr="009939C1">
                        <w:rPr>
                          <w:szCs w:val="24"/>
                          <w:lang w:val="fr-FR"/>
                        </w:rPr>
                        <w:t xml:space="preserve">un projet de </w:t>
                      </w:r>
                      <w:r>
                        <w:rPr>
                          <w:szCs w:val="24"/>
                          <w:lang w:val="fr-FR"/>
                        </w:rPr>
                        <w:t>R</w:t>
                      </w:r>
                      <w:r w:rsidRPr="009939C1">
                        <w:rPr>
                          <w:szCs w:val="24"/>
                          <w:lang w:val="fr-FR"/>
                        </w:rPr>
                        <w:t xml:space="preserve">ésolution et le Programme de travail sur le changement climatique et les espèces migratrices annexé à la Résolution. Les deux </w:t>
                      </w:r>
                      <w:r>
                        <w:rPr>
                          <w:szCs w:val="24"/>
                          <w:lang w:val="fr-FR"/>
                        </w:rPr>
                        <w:t xml:space="preserve">parties du </w:t>
                      </w:r>
                      <w:r w:rsidRPr="009939C1">
                        <w:rPr>
                          <w:szCs w:val="24"/>
                          <w:lang w:val="fr-FR"/>
                        </w:rPr>
                        <w:t>document découlent de la Résolution 10.19 sur la conservation des espèces migratrices à la lumière du changement climatique qui a créé le poste de conseiller pour le changement climatique, nommé par la COP et chargé de préparer un programme de travail sur le changement climatique et les espèces migratrices.</w:t>
                      </w:r>
                      <w:r>
                        <w:rPr>
                          <w:szCs w:val="24"/>
                          <w:lang w:val="fr-FR"/>
                        </w:rPr>
                        <w:t xml:space="preserve"> Le projet de Résolution et le Programme de travail sur le changement climatique et les espèces migratrices o</w:t>
                      </w:r>
                      <w:r w:rsidR="00612049">
                        <w:rPr>
                          <w:szCs w:val="24"/>
                          <w:lang w:val="fr-FR"/>
                        </w:rPr>
                        <w:t>nt été approuv</w:t>
                      </w:r>
                      <w:r>
                        <w:rPr>
                          <w:szCs w:val="24"/>
                          <w:lang w:val="fr-FR"/>
                        </w:rPr>
                        <w:t>és par le Conseil scientifique lors de sa 18</w:t>
                      </w:r>
                      <w:r w:rsidRPr="00A409EE">
                        <w:rPr>
                          <w:szCs w:val="24"/>
                          <w:vertAlign w:val="superscript"/>
                          <w:lang w:val="fr-FR"/>
                        </w:rPr>
                        <w:t>ème</w:t>
                      </w:r>
                      <w:r>
                        <w:rPr>
                          <w:szCs w:val="24"/>
                          <w:lang w:val="fr-FR"/>
                        </w:rPr>
                        <w:t xml:space="preserve"> réunion</w:t>
                      </w:r>
                      <w:r w:rsidR="00612049">
                        <w:rPr>
                          <w:szCs w:val="24"/>
                          <w:lang w:val="fr-FR"/>
                        </w:rPr>
                        <w:t>.</w:t>
                      </w:r>
                    </w:p>
                    <w:p w:rsidR="00612049" w:rsidRDefault="00612049" w:rsidP="00F47A4C">
                      <w:pPr>
                        <w:jc w:val="both"/>
                        <w:rPr>
                          <w:szCs w:val="24"/>
                          <w:lang w:val="fr-FR"/>
                        </w:rPr>
                      </w:pPr>
                    </w:p>
                    <w:p w:rsidR="00F47A4C" w:rsidRPr="009939C1" w:rsidRDefault="00F47A4C" w:rsidP="00F47A4C">
                      <w:pPr>
                        <w:jc w:val="both"/>
                        <w:rPr>
                          <w:szCs w:val="24"/>
                          <w:lang w:val="fr-FR"/>
                        </w:rPr>
                      </w:pPr>
                      <w:r>
                        <w:rPr>
                          <w:szCs w:val="24"/>
                          <w:lang w:val="fr-FR"/>
                        </w:rPr>
                        <w:t>Les</w:t>
                      </w:r>
                      <w:r w:rsidR="00612049">
                        <w:rPr>
                          <w:szCs w:val="24"/>
                          <w:lang w:val="fr-FR"/>
                        </w:rPr>
                        <w:t xml:space="preserve"> </w:t>
                      </w:r>
                      <w:r w:rsidRPr="009939C1">
                        <w:rPr>
                          <w:szCs w:val="24"/>
                          <w:lang w:val="fr-FR"/>
                        </w:rPr>
                        <w:t>effets du changement climatique sur les espèces migratrices et la détermination de mesures d’adaptation sont partie intégrante du Programme de travail du Conseil scientifique, du Plan stratégique 2006-2014 et du prochain Plan stratégique pour les espèces migratrices 2015-2023.</w:t>
                      </w:r>
                    </w:p>
                    <w:p w:rsidR="00F47A4C" w:rsidRPr="0038253F" w:rsidRDefault="00F47A4C"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F47A4C" w:rsidRDefault="00F47A4C" w:rsidP="00F47A4C">
      <w:pPr>
        <w:rPr>
          <w:lang w:val="fr-FR"/>
        </w:rPr>
      </w:pPr>
    </w:p>
    <w:p w:rsidR="00F47A4C" w:rsidRDefault="00F47A4C" w:rsidP="00F47A4C">
      <w:pPr>
        <w:jc w:val="center"/>
        <w:rPr>
          <w:b/>
          <w:caps/>
          <w:lang w:val="fr-FR"/>
        </w:rPr>
      </w:pPr>
      <w:r w:rsidRPr="00A10862">
        <w:rPr>
          <w:b/>
          <w:caps/>
          <w:lang w:val="fr-FR"/>
        </w:rPr>
        <w:t>PROGRAMME DE TRAVAIL SUR LE CHANGEMENT CLIMAT</w:t>
      </w:r>
      <w:r>
        <w:rPr>
          <w:b/>
          <w:caps/>
          <w:lang w:val="fr-FR"/>
        </w:rPr>
        <w:t>IQUE ET LES ESPÈCES MIGRATRICES</w:t>
      </w:r>
    </w:p>
    <w:p w:rsidR="00F47A4C" w:rsidRPr="009939C1" w:rsidRDefault="00F47A4C" w:rsidP="00F47A4C">
      <w:pPr>
        <w:jc w:val="center"/>
        <w:rPr>
          <w:b/>
          <w:caps/>
          <w:lang w:val="fr-FR"/>
        </w:rPr>
      </w:pPr>
    </w:p>
    <w:p w:rsidR="00F47A4C" w:rsidRDefault="00F47A4C" w:rsidP="00F47A4C">
      <w:pPr>
        <w:jc w:val="center"/>
        <w:rPr>
          <w:i/>
          <w:szCs w:val="24"/>
          <w:lang w:val="fr-FR"/>
        </w:rPr>
      </w:pPr>
      <w:r w:rsidRPr="00490651">
        <w:rPr>
          <w:i/>
          <w:szCs w:val="24"/>
          <w:lang w:val="fr-FR"/>
        </w:rPr>
        <w:t>(Préparé par le Secrétariat PNUE/CMS)</w:t>
      </w:r>
    </w:p>
    <w:p w:rsidR="00F47A4C" w:rsidRDefault="00F47A4C" w:rsidP="00F47A4C">
      <w:pPr>
        <w:jc w:val="center"/>
        <w:rPr>
          <w:i/>
          <w:szCs w:val="24"/>
          <w:lang w:val="fr-FR"/>
        </w:rPr>
      </w:pPr>
    </w:p>
    <w:p w:rsidR="00F47A4C" w:rsidRPr="004556F3" w:rsidRDefault="00F47A4C" w:rsidP="00F47A4C">
      <w:pPr>
        <w:jc w:val="center"/>
        <w:rPr>
          <w:i/>
          <w:szCs w:val="24"/>
          <w:lang w:val="fr-FR"/>
        </w:rPr>
      </w:pPr>
    </w:p>
    <w:p w:rsidR="00F47A4C" w:rsidRPr="00A10862" w:rsidRDefault="00F47A4C" w:rsidP="00F47A4C">
      <w:pPr>
        <w:pStyle w:val="ListParagraph"/>
        <w:widowControl w:val="0"/>
        <w:numPr>
          <w:ilvl w:val="0"/>
          <w:numId w:val="13"/>
        </w:numPr>
        <w:autoSpaceDE w:val="0"/>
        <w:autoSpaceDN w:val="0"/>
        <w:adjustRightInd w:val="0"/>
        <w:ind w:left="0" w:firstLine="0"/>
        <w:contextualSpacing/>
        <w:jc w:val="both"/>
        <w:rPr>
          <w:lang w:val="fr-FR"/>
        </w:rPr>
      </w:pPr>
      <w:r w:rsidRPr="00A10862">
        <w:rPr>
          <w:lang w:val="fr-FR"/>
        </w:rPr>
        <w:t>La Résolution 10.19 sur la conservation des espèces migratrices</w:t>
      </w:r>
      <w:r w:rsidR="00612049">
        <w:rPr>
          <w:lang w:val="fr-FR"/>
        </w:rPr>
        <w:t>,</w:t>
      </w:r>
      <w:r w:rsidRPr="00A10862">
        <w:rPr>
          <w:lang w:val="fr-FR"/>
        </w:rPr>
        <w:t xml:space="preserve"> à la lumière du changement climatique, a créé le poste de conseiller pour le changement climatique, nommé par la COP. Il a été demandé à ce conseiller de préparer un programme de travail sur le changement climatique et les espèces migratrices et de convoquer un groupe de travail intersessions sur le changement climatique.</w:t>
      </w:r>
    </w:p>
    <w:p w:rsidR="00F47A4C" w:rsidRPr="00A10862" w:rsidRDefault="00F47A4C" w:rsidP="00F47A4C">
      <w:pPr>
        <w:jc w:val="both"/>
        <w:rPr>
          <w:lang w:val="fr-FR"/>
        </w:rPr>
      </w:pPr>
    </w:p>
    <w:p w:rsidR="00DD54AF" w:rsidRDefault="00F47A4C" w:rsidP="00A409EE">
      <w:pPr>
        <w:pStyle w:val="ListParagraph"/>
        <w:widowControl w:val="0"/>
        <w:numPr>
          <w:ilvl w:val="0"/>
          <w:numId w:val="13"/>
        </w:numPr>
        <w:autoSpaceDE w:val="0"/>
        <w:autoSpaceDN w:val="0"/>
        <w:adjustRightInd w:val="0"/>
        <w:ind w:left="0" w:firstLine="0"/>
        <w:contextualSpacing/>
        <w:jc w:val="both"/>
        <w:rPr>
          <w:lang w:val="fr-FR"/>
        </w:rPr>
      </w:pPr>
      <w:r w:rsidRPr="00A10862">
        <w:rPr>
          <w:lang w:val="fr-FR"/>
        </w:rPr>
        <w:t xml:space="preserve">Conformément à la Résolution 10.19, l’atelier </w:t>
      </w:r>
      <w:r>
        <w:rPr>
          <w:lang w:val="fr-FR"/>
        </w:rPr>
        <w:t>«Pour</w:t>
      </w:r>
      <w:r w:rsidRPr="00A10862">
        <w:rPr>
          <w:lang w:val="fr-FR"/>
        </w:rPr>
        <w:t xml:space="preserve"> un programme de travail sur le changement climatique et les espèces migratrices</w:t>
      </w:r>
      <w:r>
        <w:rPr>
          <w:lang w:val="fr-FR"/>
        </w:rPr>
        <w:t>»</w:t>
      </w:r>
      <w:r w:rsidRPr="00A10862">
        <w:rPr>
          <w:lang w:val="fr-FR"/>
        </w:rPr>
        <w:t xml:space="preserve"> a eu lieu à </w:t>
      </w:r>
      <w:proofErr w:type="spellStart"/>
      <w:r w:rsidRPr="00A10862">
        <w:rPr>
          <w:lang w:val="fr-FR"/>
        </w:rPr>
        <w:t>Guácimo</w:t>
      </w:r>
      <w:proofErr w:type="spellEnd"/>
      <w:r w:rsidRPr="00A10862">
        <w:rPr>
          <w:lang w:val="fr-FR"/>
        </w:rPr>
        <w:t xml:space="preserve"> (Province de Limón, Costa Rica) du 9 au 11 avril 2014, à l’aimable invitation du Gouvernement du Costa Rica. Les débats tenus durant cet atelier constituent en grande partie la base du présent document. L’atelier a été convoqué par le conseiller pour le changement climatique nommé par la COP et a pu être organisé grâce à la généreuse contribution financière des Gouvernements allemand et monégasque </w:t>
      </w:r>
      <w:r>
        <w:rPr>
          <w:lang w:val="fr-FR"/>
        </w:rPr>
        <w:t>ainsi qu’</w:t>
      </w:r>
      <w:r w:rsidRPr="00A10862">
        <w:rPr>
          <w:lang w:val="fr-FR"/>
        </w:rPr>
        <w:t xml:space="preserve">aux aides en nature </w:t>
      </w:r>
      <w:r w:rsidR="00DD54AF">
        <w:rPr>
          <w:lang w:val="fr-FR"/>
        </w:rPr>
        <w:t xml:space="preserve">du </w:t>
      </w:r>
      <w:proofErr w:type="spellStart"/>
      <w:r w:rsidR="00DD54AF">
        <w:rPr>
          <w:lang w:val="fr-FR"/>
        </w:rPr>
        <w:t>gouvermenent</w:t>
      </w:r>
      <w:proofErr w:type="spellEnd"/>
      <w:r w:rsidR="00DD54AF">
        <w:rPr>
          <w:lang w:val="fr-FR"/>
        </w:rPr>
        <w:t xml:space="preserve"> </w:t>
      </w:r>
      <w:r w:rsidRPr="00A10862">
        <w:rPr>
          <w:lang w:val="fr-FR"/>
        </w:rPr>
        <w:t>du Costa Rica et du PNUD.</w:t>
      </w:r>
    </w:p>
    <w:p w:rsidR="00DD54AF" w:rsidRPr="00DD54AF" w:rsidRDefault="00DD54AF" w:rsidP="00A409EE">
      <w:pPr>
        <w:pStyle w:val="ListParagraph"/>
        <w:widowControl w:val="0"/>
        <w:numPr>
          <w:ilvl w:val="0"/>
          <w:numId w:val="13"/>
        </w:numPr>
        <w:autoSpaceDE w:val="0"/>
        <w:autoSpaceDN w:val="0"/>
        <w:adjustRightInd w:val="0"/>
        <w:ind w:left="0" w:firstLine="0"/>
        <w:contextualSpacing/>
        <w:jc w:val="both"/>
        <w:rPr>
          <w:lang w:val="fr-FR"/>
        </w:rPr>
      </w:pPr>
      <w:r>
        <w:rPr>
          <w:lang w:val="fr-FR"/>
        </w:rPr>
        <w:t>Le projet de résolution annexé à cette note de présentation</w:t>
      </w:r>
      <w:r w:rsidR="00612049">
        <w:rPr>
          <w:lang w:val="fr-FR"/>
        </w:rPr>
        <w:t>,</w:t>
      </w:r>
      <w:r>
        <w:rPr>
          <w:lang w:val="fr-FR"/>
        </w:rPr>
        <w:t xml:space="preserve"> et le programme de travail sur le changement climatique et les espèces migratrices annexé au projet de résolution</w:t>
      </w:r>
      <w:r w:rsidR="00612049">
        <w:rPr>
          <w:lang w:val="fr-FR"/>
        </w:rPr>
        <w:t>,</w:t>
      </w:r>
      <w:r>
        <w:rPr>
          <w:lang w:val="fr-FR"/>
        </w:rPr>
        <w:t xml:space="preserve"> ont été adoptés par le Conseil scientifique lors de sa 18</w:t>
      </w:r>
      <w:r w:rsidRPr="00A409EE">
        <w:rPr>
          <w:vertAlign w:val="superscript"/>
          <w:lang w:val="fr-FR"/>
        </w:rPr>
        <w:t>ème</w:t>
      </w:r>
      <w:r>
        <w:rPr>
          <w:lang w:val="fr-FR"/>
        </w:rPr>
        <w:t xml:space="preserve"> réunion tenue à Bonn, en Allemagne, du 1</w:t>
      </w:r>
      <w:r w:rsidRPr="00A409EE">
        <w:rPr>
          <w:vertAlign w:val="superscript"/>
          <w:lang w:val="fr-FR"/>
        </w:rPr>
        <w:t>er</w:t>
      </w:r>
      <w:r>
        <w:rPr>
          <w:lang w:val="fr-FR"/>
        </w:rPr>
        <w:t xml:space="preserve"> au 3 juillet 2014.</w:t>
      </w:r>
    </w:p>
    <w:p w:rsidR="00F47A4C" w:rsidRPr="00A10862" w:rsidRDefault="00F47A4C" w:rsidP="00F47A4C">
      <w:pPr>
        <w:jc w:val="both"/>
        <w:rPr>
          <w:lang w:val="fr-FR"/>
        </w:rPr>
      </w:pPr>
    </w:p>
    <w:p w:rsidR="00F47A4C" w:rsidRPr="00A10862" w:rsidRDefault="00F47A4C" w:rsidP="00F47A4C">
      <w:pPr>
        <w:jc w:val="both"/>
        <w:rPr>
          <w:lang w:val="fr-FR"/>
        </w:rPr>
      </w:pPr>
    </w:p>
    <w:p w:rsidR="00F47A4C" w:rsidRPr="00A10862" w:rsidRDefault="00F47A4C" w:rsidP="00F47A4C">
      <w:pPr>
        <w:rPr>
          <w:b/>
          <w:i/>
          <w:u w:val="single"/>
          <w:lang w:val="fr-FR"/>
        </w:rPr>
      </w:pPr>
      <w:r w:rsidRPr="00A10862">
        <w:rPr>
          <w:b/>
          <w:i/>
          <w:u w:val="single"/>
          <w:lang w:val="fr-FR"/>
        </w:rPr>
        <w:t>Action requise:</w:t>
      </w:r>
    </w:p>
    <w:p w:rsidR="00F47A4C" w:rsidRPr="00A10862" w:rsidRDefault="00F47A4C" w:rsidP="00F47A4C">
      <w:pPr>
        <w:rPr>
          <w:lang w:val="fr-FR"/>
        </w:rPr>
      </w:pPr>
    </w:p>
    <w:p w:rsidR="00F47A4C" w:rsidRPr="00A10862" w:rsidRDefault="00DD54AF" w:rsidP="00F47A4C">
      <w:pPr>
        <w:rPr>
          <w:lang w:val="fr-FR"/>
        </w:rPr>
      </w:pPr>
      <w:r>
        <w:rPr>
          <w:lang w:val="fr-FR"/>
        </w:rPr>
        <w:t xml:space="preserve">La Conférence des Parties </w:t>
      </w:r>
      <w:r w:rsidR="00F47A4C" w:rsidRPr="00A10862">
        <w:rPr>
          <w:lang w:val="fr-FR"/>
        </w:rPr>
        <w:t>est invité</w:t>
      </w:r>
      <w:r>
        <w:rPr>
          <w:lang w:val="fr-FR"/>
        </w:rPr>
        <w:t>e</w:t>
      </w:r>
      <w:r w:rsidR="00F47A4C" w:rsidRPr="00A10862">
        <w:rPr>
          <w:lang w:val="fr-FR"/>
        </w:rPr>
        <w:t xml:space="preserve"> à:</w:t>
      </w:r>
    </w:p>
    <w:p w:rsidR="00F47A4C" w:rsidRPr="00A10862" w:rsidRDefault="00F47A4C" w:rsidP="00F47A4C">
      <w:pPr>
        <w:jc w:val="both"/>
        <w:rPr>
          <w:lang w:val="fr-FR"/>
        </w:rPr>
      </w:pPr>
    </w:p>
    <w:p w:rsidR="00F47A4C" w:rsidRPr="00A10862" w:rsidRDefault="00FE7714" w:rsidP="00F47A4C">
      <w:pPr>
        <w:pStyle w:val="ListParagraph"/>
        <w:numPr>
          <w:ilvl w:val="0"/>
          <w:numId w:val="25"/>
        </w:numPr>
        <w:ind w:left="709" w:hanging="709"/>
        <w:contextualSpacing/>
        <w:jc w:val="both"/>
        <w:rPr>
          <w:lang w:val="fr-FR"/>
        </w:rPr>
      </w:pPr>
      <w:r>
        <w:rPr>
          <w:lang w:val="fr-FR"/>
        </w:rPr>
        <w:t xml:space="preserve">Considérer et approuver </w:t>
      </w:r>
      <w:r w:rsidR="00F47A4C" w:rsidRPr="00A10862">
        <w:rPr>
          <w:lang w:val="fr-FR"/>
        </w:rPr>
        <w:t>le Programme de travail sur le changement climatique et les espèces migratrices</w:t>
      </w:r>
      <w:r>
        <w:rPr>
          <w:lang w:val="fr-FR"/>
        </w:rPr>
        <w:t>.</w:t>
      </w:r>
    </w:p>
    <w:p w:rsidR="00F47A4C" w:rsidRPr="00A10862" w:rsidRDefault="00F47A4C" w:rsidP="00F47A4C">
      <w:pPr>
        <w:jc w:val="both"/>
        <w:rPr>
          <w:lang w:val="fr-FR"/>
        </w:rPr>
      </w:pPr>
    </w:p>
    <w:p w:rsidR="00F47A4C" w:rsidRDefault="00FE7714" w:rsidP="00F47A4C">
      <w:pPr>
        <w:pStyle w:val="ListParagraph"/>
        <w:numPr>
          <w:ilvl w:val="0"/>
          <w:numId w:val="25"/>
        </w:numPr>
        <w:ind w:left="709" w:hanging="709"/>
        <w:contextualSpacing/>
        <w:jc w:val="both"/>
        <w:rPr>
          <w:lang w:val="fr-FR"/>
        </w:rPr>
      </w:pPr>
      <w:r>
        <w:rPr>
          <w:lang w:val="fr-FR"/>
        </w:rPr>
        <w:t>Adopter le projet de R</w:t>
      </w:r>
      <w:r w:rsidR="00612049">
        <w:rPr>
          <w:lang w:val="fr-FR"/>
        </w:rPr>
        <w:t>ésolution.</w:t>
      </w:r>
    </w:p>
    <w:p w:rsidR="00612049" w:rsidRPr="00A10862" w:rsidRDefault="00612049" w:rsidP="00612049">
      <w:pPr>
        <w:pStyle w:val="ListParagraph"/>
        <w:ind w:left="709"/>
        <w:contextualSpacing/>
        <w:jc w:val="both"/>
        <w:rPr>
          <w:lang w:val="fr-FR"/>
        </w:rPr>
      </w:pPr>
    </w:p>
    <w:p w:rsidR="00F47A4C" w:rsidRDefault="00F47A4C" w:rsidP="00F47A4C">
      <w:pPr>
        <w:jc w:val="both"/>
        <w:rPr>
          <w:lang w:val="fr-FR"/>
        </w:rPr>
        <w:sectPr w:rsidR="00F47A4C" w:rsidSect="004556F3">
          <w:headerReference w:type="first" r:id="rId18"/>
          <w:footerReference w:type="first" r:id="rId19"/>
          <w:pgSz w:w="11907" w:h="16840" w:code="9"/>
          <w:pgMar w:top="1134" w:right="1418" w:bottom="1418" w:left="1418" w:header="510" w:footer="510" w:gutter="0"/>
          <w:cols w:space="720"/>
          <w:titlePg/>
          <w:docGrid w:linePitch="360"/>
        </w:sectPr>
      </w:pPr>
    </w:p>
    <w:p w:rsidR="00F47A4C" w:rsidRDefault="00F47A4C" w:rsidP="00612049">
      <w:pPr>
        <w:rPr>
          <w:b/>
          <w:lang w:val="fr-FR"/>
        </w:rPr>
      </w:pPr>
    </w:p>
    <w:p w:rsidR="00F47A4C" w:rsidRPr="00A10862" w:rsidRDefault="00F47A4C" w:rsidP="00F47A4C">
      <w:pPr>
        <w:jc w:val="right"/>
        <w:rPr>
          <w:b/>
          <w:lang w:val="fr-FR"/>
        </w:rPr>
      </w:pPr>
      <w:r w:rsidRPr="00A10862">
        <w:rPr>
          <w:b/>
          <w:lang w:val="fr-FR"/>
        </w:rPr>
        <w:t>ANNEXE</w:t>
      </w:r>
    </w:p>
    <w:p w:rsidR="00F47A4C" w:rsidRPr="00A10862" w:rsidRDefault="00F47A4C" w:rsidP="00F47A4C">
      <w:pPr>
        <w:jc w:val="both"/>
        <w:rPr>
          <w:lang w:val="fr-FR"/>
        </w:rPr>
      </w:pPr>
    </w:p>
    <w:p w:rsidR="00F47A4C" w:rsidRPr="00A10862" w:rsidRDefault="00F47A4C" w:rsidP="00F47A4C">
      <w:pPr>
        <w:pBdr>
          <w:top w:val="single" w:sz="6" w:space="0" w:color="FFFFFF"/>
          <w:left w:val="single" w:sz="6" w:space="0" w:color="FFFFFF"/>
          <w:bottom w:val="single" w:sz="6" w:space="0" w:color="FFFFFF"/>
          <w:right w:val="single" w:sz="6" w:space="0" w:color="FFFFFF"/>
        </w:pBdr>
        <w:jc w:val="center"/>
        <w:outlineLvl w:val="1"/>
        <w:rPr>
          <w:b/>
          <w:bCs/>
          <w:caps/>
          <w:lang w:val="fr-FR"/>
        </w:rPr>
      </w:pPr>
      <w:r w:rsidRPr="00A10862">
        <w:rPr>
          <w:b/>
          <w:bCs/>
          <w:caps/>
          <w:lang w:val="fr-FR"/>
        </w:rPr>
        <w:t>PROJET DE RÉSOLUTION</w:t>
      </w:r>
    </w:p>
    <w:p w:rsidR="00F47A4C" w:rsidRPr="00A10862" w:rsidRDefault="00F47A4C" w:rsidP="00F47A4C">
      <w:pPr>
        <w:rPr>
          <w:b/>
          <w:bCs/>
          <w:lang w:val="fr-FR"/>
        </w:rPr>
      </w:pPr>
    </w:p>
    <w:p w:rsidR="00F47A4C" w:rsidRPr="00A10862" w:rsidRDefault="00F47A4C" w:rsidP="00F47A4C">
      <w:pPr>
        <w:jc w:val="center"/>
        <w:rPr>
          <w:b/>
          <w:bCs/>
          <w:caps/>
          <w:lang w:val="fr-FR"/>
        </w:rPr>
      </w:pPr>
      <w:r w:rsidRPr="00A10862">
        <w:rPr>
          <w:b/>
          <w:bCs/>
          <w:caps/>
          <w:lang w:val="fr-FR"/>
        </w:rPr>
        <w:t>Programme DE TRAVAIL SUR LE C</w:t>
      </w:r>
      <w:r>
        <w:rPr>
          <w:b/>
          <w:bCs/>
          <w:caps/>
          <w:lang w:val="fr-FR"/>
        </w:rPr>
        <w:t>HANGEMENT CLIMATIQUE ET LES ESPÈ</w:t>
      </w:r>
      <w:r w:rsidRPr="00A10862">
        <w:rPr>
          <w:b/>
          <w:bCs/>
          <w:caps/>
          <w:lang w:val="fr-FR"/>
        </w:rPr>
        <w:t>CES MIGRATRICES</w:t>
      </w:r>
    </w:p>
    <w:p w:rsidR="00F47A4C" w:rsidRPr="00A10862" w:rsidRDefault="00F47A4C" w:rsidP="00F47A4C">
      <w:pPr>
        <w:jc w:val="center"/>
        <w:rPr>
          <w:lang w:val="fr-FR"/>
        </w:rPr>
      </w:pPr>
    </w:p>
    <w:p w:rsidR="00F47A4C" w:rsidRPr="00A10862" w:rsidRDefault="00F47A4C" w:rsidP="00F47A4C">
      <w:pPr>
        <w:jc w:val="center"/>
        <w:rPr>
          <w:i/>
          <w:lang w:val="fr-FR"/>
        </w:rPr>
      </w:pPr>
      <w:r w:rsidRPr="00A10862">
        <w:rPr>
          <w:i/>
          <w:lang w:val="fr-FR"/>
        </w:rPr>
        <w:t>(Document présenté par le Costa Rica)</w:t>
      </w:r>
    </w:p>
    <w:p w:rsidR="00F47A4C" w:rsidRDefault="00F47A4C" w:rsidP="00F47A4C">
      <w:pPr>
        <w:jc w:val="both"/>
        <w:rPr>
          <w:i/>
          <w:lang w:val="fr-FR"/>
        </w:rPr>
      </w:pPr>
    </w:p>
    <w:p w:rsidR="00612049" w:rsidRPr="00A10862" w:rsidRDefault="00612049" w:rsidP="00F47A4C">
      <w:pPr>
        <w:jc w:val="both"/>
        <w:rPr>
          <w:i/>
          <w:lang w:val="fr-FR"/>
        </w:rPr>
      </w:pPr>
    </w:p>
    <w:p w:rsidR="00F47A4C" w:rsidRPr="00A10862" w:rsidRDefault="00F47A4C" w:rsidP="00F47A4C">
      <w:pPr>
        <w:ind w:firstLine="720"/>
        <w:jc w:val="both"/>
        <w:rPr>
          <w:lang w:val="fr-FR"/>
        </w:rPr>
      </w:pPr>
      <w:r w:rsidRPr="00A10862">
        <w:rPr>
          <w:i/>
          <w:lang w:val="fr-FR"/>
        </w:rPr>
        <w:t xml:space="preserve">Reconnaissant  </w:t>
      </w:r>
      <w:r w:rsidRPr="00A10862">
        <w:rPr>
          <w:lang w:val="fr-FR"/>
        </w:rPr>
        <w:t>que les meilleures informations scientifiques disponibles indiquent qu’il est urgent de prendre des mesures pour aider les espèces migratrices à s’adapter au changement climatique afin d’atteindre les objectifs de la Convention</w:t>
      </w:r>
      <w:r>
        <w:rPr>
          <w:lang w:val="fr-FR"/>
        </w:rPr>
        <w:t>,</w:t>
      </w:r>
      <w:r w:rsidRPr="00A10862">
        <w:rPr>
          <w:lang w:val="fr-FR"/>
        </w:rPr>
        <w:t xml:space="preserve"> qu’il faut donner pleinement effet aux dispositions des Articles II et III</w:t>
      </w:r>
      <w:r>
        <w:rPr>
          <w:lang w:val="fr-FR"/>
        </w:rPr>
        <w:t xml:space="preserve"> ainsi qu’aux</w:t>
      </w:r>
      <w:r w:rsidRPr="00A10862">
        <w:rPr>
          <w:lang w:val="fr-FR"/>
        </w:rPr>
        <w:t xml:space="preserve"> instruments adoptés aux termes de l’Article IV, tout en élargissant et en approfondissant les connaissances sur les impacts du changement climatique sur les espèces migratrices;</w:t>
      </w:r>
    </w:p>
    <w:p w:rsidR="00F47A4C" w:rsidRPr="00A10862" w:rsidRDefault="00F47A4C" w:rsidP="00F47A4C">
      <w:pPr>
        <w:jc w:val="both"/>
        <w:rPr>
          <w:lang w:val="fr-FR"/>
        </w:rPr>
      </w:pPr>
    </w:p>
    <w:p w:rsidR="00F47A4C" w:rsidRPr="00A10862" w:rsidRDefault="00F47A4C" w:rsidP="00F47A4C">
      <w:pPr>
        <w:ind w:firstLine="720"/>
        <w:jc w:val="both"/>
        <w:rPr>
          <w:lang w:val="fr-FR"/>
        </w:rPr>
      </w:pPr>
      <w:r w:rsidRPr="00A10862">
        <w:rPr>
          <w:i/>
          <w:lang w:val="fr-FR"/>
        </w:rPr>
        <w:t>Soulignant</w:t>
      </w:r>
      <w:r w:rsidRPr="00A10862">
        <w:rPr>
          <w:lang w:val="fr-FR"/>
        </w:rPr>
        <w:t xml:space="preserve"> le besoin de coordonner les actions pour aider les espèces migratrices à s’adapter au changement climatique dans le cadre des instruments de la CMS;</w:t>
      </w:r>
    </w:p>
    <w:p w:rsidR="00F47A4C" w:rsidRPr="00A10862" w:rsidRDefault="00F47A4C" w:rsidP="00F47A4C">
      <w:pPr>
        <w:jc w:val="both"/>
        <w:rPr>
          <w:lang w:val="fr-FR"/>
        </w:rPr>
      </w:pPr>
    </w:p>
    <w:p w:rsidR="00FE7714" w:rsidRDefault="00F47A4C" w:rsidP="00F47A4C">
      <w:pPr>
        <w:ind w:firstLine="720"/>
        <w:jc w:val="both"/>
        <w:rPr>
          <w:lang w:val="fr-FR"/>
        </w:rPr>
      </w:pPr>
      <w:r w:rsidRPr="00A10862">
        <w:rPr>
          <w:i/>
          <w:lang w:val="fr-FR"/>
        </w:rPr>
        <w:t xml:space="preserve">Reconnaissant </w:t>
      </w:r>
      <w:r w:rsidRPr="00A10862">
        <w:rPr>
          <w:lang w:val="fr-FR"/>
        </w:rPr>
        <w:t xml:space="preserve">que, selon des données scientifiques récentes, l’importance des aires protégées et des réseaux d’aires protégées actuels pour la conservation des espèces migratrices ne </w:t>
      </w:r>
      <w:proofErr w:type="gramStart"/>
      <w:r w:rsidRPr="00A10862">
        <w:rPr>
          <w:lang w:val="fr-FR"/>
        </w:rPr>
        <w:t>devrait pas</w:t>
      </w:r>
      <w:proofErr w:type="gramEnd"/>
      <w:r w:rsidRPr="00A10862">
        <w:rPr>
          <w:lang w:val="fr-FR"/>
        </w:rPr>
        <w:t xml:space="preserve"> diminuer en raison du changement climatique, et dans de nombreux cas devrait</w:t>
      </w:r>
      <w:r>
        <w:rPr>
          <w:lang w:val="fr-FR"/>
        </w:rPr>
        <w:t xml:space="preserve"> même</w:t>
      </w:r>
      <w:r w:rsidRPr="00A10862">
        <w:rPr>
          <w:lang w:val="fr-FR"/>
        </w:rPr>
        <w:t xml:space="preserve"> augmenter, </w:t>
      </w:r>
    </w:p>
    <w:p w:rsidR="00FE7714" w:rsidRDefault="00FE7714" w:rsidP="00F47A4C">
      <w:pPr>
        <w:ind w:firstLine="720"/>
        <w:jc w:val="both"/>
        <w:rPr>
          <w:lang w:val="fr-FR"/>
        </w:rPr>
      </w:pPr>
    </w:p>
    <w:p w:rsidR="00F47A4C" w:rsidRPr="00A10862" w:rsidRDefault="00FE7714" w:rsidP="00F47A4C">
      <w:pPr>
        <w:ind w:firstLine="720"/>
        <w:jc w:val="both"/>
        <w:rPr>
          <w:lang w:val="fr-FR"/>
        </w:rPr>
      </w:pPr>
      <w:r>
        <w:rPr>
          <w:i/>
          <w:lang w:val="fr-FR"/>
        </w:rPr>
        <w:t>C</w:t>
      </w:r>
      <w:r w:rsidR="00F47A4C">
        <w:rPr>
          <w:i/>
          <w:lang w:val="fr-FR"/>
        </w:rPr>
        <w:t>onstatant</w:t>
      </w:r>
      <w:r w:rsidR="00F47A4C" w:rsidRPr="00A10862">
        <w:rPr>
          <w:i/>
          <w:lang w:val="fr-FR"/>
        </w:rPr>
        <w:t xml:space="preserve"> </w:t>
      </w:r>
      <w:r w:rsidR="00F47A4C" w:rsidRPr="00A10862">
        <w:rPr>
          <w:lang w:val="fr-FR"/>
        </w:rPr>
        <w:t xml:space="preserve">qu’il sera souvent nécessaire de renforcer </w:t>
      </w:r>
      <w:r>
        <w:rPr>
          <w:lang w:val="fr-FR"/>
        </w:rPr>
        <w:t>l</w:t>
      </w:r>
      <w:r w:rsidR="00F47A4C" w:rsidRPr="00A10862">
        <w:rPr>
          <w:lang w:val="fr-FR"/>
        </w:rPr>
        <w:t>es aires</w:t>
      </w:r>
      <w:r>
        <w:rPr>
          <w:lang w:val="fr-FR"/>
        </w:rPr>
        <w:t xml:space="preserve"> protégées</w:t>
      </w:r>
      <w:r w:rsidR="00F47A4C" w:rsidRPr="00A10862">
        <w:rPr>
          <w:lang w:val="fr-FR"/>
        </w:rPr>
        <w:t xml:space="preserve"> et ces réseaux pour une plus grande représentativité </w:t>
      </w:r>
      <w:r>
        <w:rPr>
          <w:lang w:val="fr-FR"/>
        </w:rPr>
        <w:t xml:space="preserve">augmentant ainsi </w:t>
      </w:r>
      <w:r w:rsidR="00F47A4C" w:rsidRPr="00A10862">
        <w:rPr>
          <w:lang w:val="fr-FR"/>
        </w:rPr>
        <w:t xml:space="preserve">leur </w:t>
      </w:r>
      <w:r w:rsidR="00612049">
        <w:rPr>
          <w:lang w:val="fr-FR"/>
        </w:rPr>
        <w:t xml:space="preserve">contribution à la conservation </w:t>
      </w:r>
      <w:r w:rsidR="00F47A4C" w:rsidRPr="00A10862">
        <w:rPr>
          <w:lang w:val="fr-FR"/>
        </w:rPr>
        <w:t>des espèces migratrices à la lumière du changement climatique, et de mieux intégrer celles-ci dans des paysages terrestres et marins plus vastes;</w:t>
      </w:r>
    </w:p>
    <w:p w:rsidR="00F47A4C" w:rsidRPr="00A10862" w:rsidRDefault="00F47A4C" w:rsidP="00F47A4C">
      <w:pPr>
        <w:jc w:val="both"/>
        <w:rPr>
          <w:lang w:val="fr-FR"/>
        </w:rPr>
      </w:pPr>
    </w:p>
    <w:p w:rsidR="00F47A4C" w:rsidRPr="00A10862" w:rsidRDefault="00F47A4C" w:rsidP="00F47A4C">
      <w:pPr>
        <w:ind w:firstLine="720"/>
        <w:jc w:val="both"/>
        <w:rPr>
          <w:lang w:val="fr-FR"/>
        </w:rPr>
      </w:pPr>
      <w:r w:rsidRPr="00A10862">
        <w:rPr>
          <w:i/>
          <w:lang w:val="fr-FR"/>
        </w:rPr>
        <w:t>Consciente</w:t>
      </w:r>
      <w:r w:rsidRPr="00A10862">
        <w:rPr>
          <w:lang w:val="fr-FR"/>
        </w:rPr>
        <w:t xml:space="preserve"> de l’appel lancé aux Parties et aux Signataires des instruments de la CMS dans la Résolution 10.19 pour permettre la pleine participation à la CMS et </w:t>
      </w:r>
      <w:r>
        <w:rPr>
          <w:lang w:val="fr-FR"/>
        </w:rPr>
        <w:t xml:space="preserve">à ses instruments </w:t>
      </w:r>
      <w:r w:rsidRPr="00A10862">
        <w:rPr>
          <w:lang w:val="fr-FR"/>
        </w:rPr>
        <w:t>des États qui ne font pas encore partie de l’aire de répartition des espèces concernées mais qui devraient le devenir dans l’avenir en raison du changement climatique;</w:t>
      </w:r>
    </w:p>
    <w:p w:rsidR="00F47A4C" w:rsidRPr="00A10862" w:rsidRDefault="00F47A4C" w:rsidP="00F47A4C">
      <w:pPr>
        <w:jc w:val="both"/>
        <w:rPr>
          <w:lang w:val="fr-FR"/>
        </w:rPr>
      </w:pPr>
    </w:p>
    <w:p w:rsidR="00F47A4C" w:rsidRPr="00A10862" w:rsidRDefault="00F47A4C" w:rsidP="00F47A4C">
      <w:pPr>
        <w:ind w:firstLine="720"/>
        <w:jc w:val="both"/>
        <w:rPr>
          <w:lang w:val="fr-FR"/>
        </w:rPr>
      </w:pPr>
      <w:r w:rsidRPr="00A10862">
        <w:rPr>
          <w:i/>
          <w:lang w:val="fr-FR"/>
        </w:rPr>
        <w:t xml:space="preserve">Reconnaissant </w:t>
      </w:r>
      <w:r w:rsidR="00FE7714">
        <w:rPr>
          <w:i/>
          <w:lang w:val="fr-FR"/>
        </w:rPr>
        <w:t xml:space="preserve">en outre </w:t>
      </w:r>
      <w:r w:rsidRPr="00A10862">
        <w:rPr>
          <w:lang w:val="fr-FR"/>
        </w:rPr>
        <w:t>que la signification de certains termes figurant dans la Convention, en particulier l’expression «couverture historique» dans l’Article I(1)4</w:t>
      </w:r>
      <w:proofErr w:type="gramStart"/>
      <w:r w:rsidRPr="00A10862">
        <w:rPr>
          <w:lang w:val="fr-FR"/>
        </w:rPr>
        <w:t>)(</w:t>
      </w:r>
      <w:proofErr w:type="gramEnd"/>
      <w:r w:rsidRPr="00A10862">
        <w:rPr>
          <w:lang w:val="fr-FR"/>
        </w:rPr>
        <w:t>c), devrait être réexaminée dans le contexte actuel de changement climatique, en tenant compte du fait que la Convention a été conclue avant que les incidences du changement climatique sur les espèces migratrices ne deviennent évidentes;</w:t>
      </w:r>
    </w:p>
    <w:p w:rsidR="00F47A4C" w:rsidRPr="00A10862" w:rsidRDefault="00F47A4C" w:rsidP="00F47A4C">
      <w:pPr>
        <w:jc w:val="both"/>
        <w:rPr>
          <w:lang w:val="fr-FR"/>
        </w:rPr>
      </w:pPr>
    </w:p>
    <w:p w:rsidR="00F47A4C" w:rsidRPr="00A10862" w:rsidRDefault="00F47A4C" w:rsidP="00F47A4C">
      <w:pPr>
        <w:ind w:firstLine="720"/>
        <w:jc w:val="both"/>
        <w:rPr>
          <w:spacing w:val="-2"/>
          <w:lang w:val="fr-FR"/>
        </w:rPr>
      </w:pPr>
      <w:r w:rsidRPr="00A10862">
        <w:rPr>
          <w:i/>
          <w:iCs/>
          <w:spacing w:val="-2"/>
          <w:lang w:val="fr-FR"/>
        </w:rPr>
        <w:t xml:space="preserve">Rappelant </w:t>
      </w:r>
      <w:r w:rsidRPr="00A10862">
        <w:rPr>
          <w:spacing w:val="-2"/>
          <w:lang w:val="fr-FR"/>
        </w:rPr>
        <w:t>que la Résolution 10.19 de la dixième Conférence des Parties (COP10) a créé un poste de conseiller pour le changement climatique, nommé par la COP, et a demandé qu’un programme de travail soit établi et qu’un groupe de travail intersessions soit convoqué;</w:t>
      </w:r>
    </w:p>
    <w:p w:rsidR="00F47A4C" w:rsidRPr="00A10862" w:rsidRDefault="00F47A4C" w:rsidP="00F47A4C">
      <w:pPr>
        <w:jc w:val="both"/>
        <w:rPr>
          <w:lang w:val="fr-FR"/>
        </w:rPr>
      </w:pPr>
    </w:p>
    <w:p w:rsidR="00F47A4C" w:rsidRPr="00A10862" w:rsidRDefault="00F47A4C" w:rsidP="00F47A4C">
      <w:pPr>
        <w:ind w:firstLine="720"/>
        <w:jc w:val="both"/>
        <w:rPr>
          <w:lang w:val="fr-FR"/>
        </w:rPr>
      </w:pPr>
      <w:r w:rsidRPr="00A10862">
        <w:rPr>
          <w:i/>
          <w:iCs/>
          <w:lang w:val="fr-FR"/>
        </w:rPr>
        <w:t xml:space="preserve">Prenant note </w:t>
      </w:r>
      <w:r w:rsidRPr="00A10862">
        <w:rPr>
          <w:lang w:val="fr-FR"/>
        </w:rPr>
        <w:t xml:space="preserve">du rapport de l’Atelier qui a eu lieu à </w:t>
      </w:r>
      <w:proofErr w:type="spellStart"/>
      <w:r w:rsidRPr="00A10862">
        <w:rPr>
          <w:lang w:val="fr-FR"/>
        </w:rPr>
        <w:t>Guácimo</w:t>
      </w:r>
      <w:proofErr w:type="spellEnd"/>
      <w:r w:rsidRPr="00A10862">
        <w:rPr>
          <w:lang w:val="fr-FR"/>
        </w:rPr>
        <w:t xml:space="preserve"> (Province of Limón, Costa Rica) du 9 au 11 avril 2014, et </w:t>
      </w:r>
      <w:r w:rsidRPr="00A10862">
        <w:rPr>
          <w:i/>
          <w:iCs/>
          <w:lang w:val="fr-FR"/>
        </w:rPr>
        <w:t xml:space="preserve">remerciant </w:t>
      </w:r>
      <w:r w:rsidRPr="00A10862">
        <w:rPr>
          <w:lang w:val="fr-FR"/>
        </w:rPr>
        <w:t xml:space="preserve">le Gouvernement du Costa Rica et son </w:t>
      </w:r>
      <w:r>
        <w:rPr>
          <w:lang w:val="fr-FR"/>
        </w:rPr>
        <w:t>agence des</w:t>
      </w:r>
      <w:r w:rsidRPr="00A10862">
        <w:rPr>
          <w:lang w:val="fr-FR"/>
        </w:rPr>
        <w:t xml:space="preserve"> aires protégées, </w:t>
      </w:r>
      <w:r>
        <w:rPr>
          <w:lang w:val="fr-FR"/>
        </w:rPr>
        <w:t xml:space="preserve">le </w:t>
      </w:r>
      <w:r w:rsidRPr="00A10862">
        <w:rPr>
          <w:lang w:val="fr-FR"/>
        </w:rPr>
        <w:t>SINAC (Réseau national d’aires de conservation), pour</w:t>
      </w:r>
      <w:r>
        <w:rPr>
          <w:lang w:val="fr-FR"/>
        </w:rPr>
        <w:t xml:space="preserve"> l’accueil</w:t>
      </w:r>
      <w:r w:rsidRPr="00A10862">
        <w:rPr>
          <w:lang w:val="fr-FR"/>
        </w:rPr>
        <w:t xml:space="preserve"> très satisfaisant </w:t>
      </w:r>
      <w:r>
        <w:rPr>
          <w:lang w:val="fr-FR"/>
        </w:rPr>
        <w:t>réservé à</w:t>
      </w:r>
      <w:r w:rsidRPr="00A10862">
        <w:rPr>
          <w:lang w:val="fr-FR"/>
        </w:rPr>
        <w:t xml:space="preserve"> cet atelier;</w:t>
      </w:r>
      <w:r w:rsidR="00612049">
        <w:rPr>
          <w:lang w:val="fr-FR"/>
        </w:rPr>
        <w:t xml:space="preserve"> et </w:t>
      </w:r>
    </w:p>
    <w:p w:rsidR="00F47A4C" w:rsidRPr="00612049" w:rsidRDefault="00FE7714" w:rsidP="00F47A4C">
      <w:pPr>
        <w:jc w:val="both"/>
        <w:rPr>
          <w:lang w:val="fr-FR"/>
        </w:rPr>
      </w:pPr>
      <w:r>
        <w:rPr>
          <w:lang w:val="fr-FR"/>
        </w:rPr>
        <w:tab/>
      </w:r>
      <w:r>
        <w:rPr>
          <w:i/>
          <w:lang w:val="fr-FR"/>
        </w:rPr>
        <w:t xml:space="preserve">Notant </w:t>
      </w:r>
      <w:r w:rsidRPr="00A409EE">
        <w:rPr>
          <w:i/>
          <w:lang w:val="fr-FR"/>
        </w:rPr>
        <w:t>en outre</w:t>
      </w:r>
      <w:r w:rsidR="003869A6">
        <w:rPr>
          <w:i/>
          <w:lang w:val="fr-FR"/>
        </w:rPr>
        <w:t xml:space="preserve"> </w:t>
      </w:r>
      <w:r w:rsidR="003869A6" w:rsidRPr="00612049">
        <w:rPr>
          <w:lang w:val="fr-FR"/>
        </w:rPr>
        <w:t>le rapport de l’atelier d’experts de l’ACCOBAMS sur les impacts du changement climatique sur les cétacés de la mer Méditerranée et de la Mer Noire</w:t>
      </w:r>
      <w:r w:rsidR="00612049">
        <w:rPr>
          <w:lang w:val="fr-FR"/>
        </w:rPr>
        <w:t xml:space="preserve"> </w:t>
      </w:r>
      <w:r w:rsidR="003869A6" w:rsidRPr="00612049">
        <w:rPr>
          <w:lang w:val="fr-FR"/>
        </w:rPr>
        <w:t xml:space="preserve">qui s’est tenu à Monaco </w:t>
      </w:r>
      <w:r w:rsidR="00612049">
        <w:rPr>
          <w:lang w:val="fr-FR"/>
        </w:rPr>
        <w:t>l</w:t>
      </w:r>
      <w:r w:rsidR="003869A6" w:rsidRPr="00612049">
        <w:rPr>
          <w:lang w:val="fr-FR"/>
        </w:rPr>
        <w:t>e 11 juillet 2014 et ses recommandation</w:t>
      </w:r>
      <w:r w:rsidR="00612049">
        <w:rPr>
          <w:lang w:val="fr-FR"/>
        </w:rPr>
        <w:t>s</w:t>
      </w:r>
      <w:r w:rsidR="003001BF" w:rsidRPr="00612049">
        <w:rPr>
          <w:lang w:val="fr-FR"/>
        </w:rPr>
        <w:t>, en particulier les messages cl</w:t>
      </w:r>
      <w:r w:rsidR="00612049">
        <w:rPr>
          <w:lang w:val="fr-FR"/>
        </w:rPr>
        <w:t>é aux G</w:t>
      </w:r>
      <w:r w:rsidR="003001BF" w:rsidRPr="00612049">
        <w:rPr>
          <w:lang w:val="fr-FR"/>
        </w:rPr>
        <w:t>ouvernements et autres.</w:t>
      </w:r>
    </w:p>
    <w:p w:rsidR="00FE7714" w:rsidRPr="00A10862" w:rsidRDefault="00FE7714" w:rsidP="00F47A4C">
      <w:pPr>
        <w:jc w:val="both"/>
        <w:rPr>
          <w:lang w:val="fr-FR"/>
        </w:rPr>
      </w:pPr>
    </w:p>
    <w:p w:rsidR="00F47A4C" w:rsidRPr="00A10862" w:rsidRDefault="00F47A4C" w:rsidP="00F47A4C">
      <w:pPr>
        <w:ind w:firstLine="720"/>
        <w:jc w:val="both"/>
        <w:rPr>
          <w:lang w:val="fr-FR"/>
        </w:rPr>
      </w:pPr>
      <w:r w:rsidRPr="00A10862">
        <w:rPr>
          <w:i/>
          <w:iCs/>
          <w:lang w:val="fr-FR"/>
        </w:rPr>
        <w:lastRenderedPageBreak/>
        <w:t xml:space="preserve">Remerciant </w:t>
      </w:r>
      <w:r w:rsidRPr="00A10862">
        <w:rPr>
          <w:lang w:val="fr-FR"/>
        </w:rPr>
        <w:t>pour leurs contributions les membres du Groupe de travail sur le changement climatique établi sous la houlette du Conseil scientifique; et</w:t>
      </w:r>
    </w:p>
    <w:p w:rsidR="00F47A4C" w:rsidRPr="00A10862" w:rsidRDefault="00F47A4C" w:rsidP="00F47A4C">
      <w:pPr>
        <w:jc w:val="both"/>
        <w:rPr>
          <w:lang w:val="fr-FR"/>
        </w:rPr>
      </w:pPr>
    </w:p>
    <w:p w:rsidR="00F47A4C" w:rsidRPr="00A10862" w:rsidRDefault="00F47A4C" w:rsidP="00F47A4C">
      <w:pPr>
        <w:ind w:firstLine="720"/>
        <w:jc w:val="both"/>
        <w:rPr>
          <w:lang w:val="fr-FR"/>
        </w:rPr>
      </w:pPr>
      <w:r w:rsidRPr="00A10862">
        <w:rPr>
          <w:i/>
          <w:iCs/>
          <w:lang w:val="fr-FR"/>
        </w:rPr>
        <w:t>Reconnaissant en outre</w:t>
      </w:r>
      <w:r w:rsidRPr="00A10862">
        <w:rPr>
          <w:lang w:val="fr-FR"/>
        </w:rPr>
        <w:t xml:space="preserve"> le rôle clé des bailleurs de fonds pour ce projet qui ont permis d’élaborer le programme de travail, en particulier les Gouvernements allemand et monégasque pour leurs contributions volontaires ainsi que le SINAC et le PNUD pour leurs contributions en nature;</w:t>
      </w:r>
    </w:p>
    <w:p w:rsidR="00F47A4C" w:rsidRPr="00A10862" w:rsidRDefault="00F47A4C" w:rsidP="00F47A4C">
      <w:pPr>
        <w:jc w:val="both"/>
        <w:rPr>
          <w:lang w:val="fr-FR"/>
        </w:rPr>
      </w:pPr>
    </w:p>
    <w:p w:rsidR="00F47A4C" w:rsidRPr="00A10862" w:rsidRDefault="00F47A4C" w:rsidP="00F47A4C">
      <w:pPr>
        <w:jc w:val="center"/>
        <w:rPr>
          <w:i/>
          <w:iCs/>
          <w:lang w:val="fr-FR"/>
        </w:rPr>
      </w:pPr>
      <w:r w:rsidRPr="00A10862">
        <w:rPr>
          <w:i/>
          <w:iCs/>
          <w:lang w:val="fr-FR"/>
        </w:rPr>
        <w:t>La Conférence des Parties à la</w:t>
      </w:r>
    </w:p>
    <w:p w:rsidR="00F47A4C" w:rsidRPr="00A10862" w:rsidRDefault="00F47A4C" w:rsidP="00F47A4C">
      <w:pPr>
        <w:jc w:val="center"/>
        <w:rPr>
          <w:i/>
          <w:iCs/>
          <w:lang w:val="fr-FR"/>
        </w:rPr>
      </w:pPr>
      <w:r w:rsidRPr="00A10862">
        <w:rPr>
          <w:i/>
          <w:iCs/>
          <w:lang w:val="fr-FR"/>
        </w:rPr>
        <w:t>Convention sur la conservation des espèces migratrices appartenant à la faune sauvage</w:t>
      </w:r>
    </w:p>
    <w:p w:rsidR="00F47A4C" w:rsidRPr="00A10862" w:rsidRDefault="00F47A4C" w:rsidP="00F47A4C">
      <w:pPr>
        <w:rPr>
          <w:iCs/>
          <w:lang w:val="fr-FR"/>
        </w:rPr>
      </w:pPr>
    </w:p>
    <w:p w:rsidR="00F47A4C" w:rsidRPr="00A10862" w:rsidRDefault="00F47A4C" w:rsidP="00F47A4C">
      <w:pPr>
        <w:rPr>
          <w:iCs/>
          <w:lang w:val="fr-FR"/>
        </w:rPr>
      </w:pPr>
    </w:p>
    <w:p w:rsidR="00F47A4C" w:rsidRPr="00A10862" w:rsidRDefault="00F47A4C" w:rsidP="00F47A4C">
      <w:pPr>
        <w:widowControl w:val="0"/>
        <w:numPr>
          <w:ilvl w:val="0"/>
          <w:numId w:val="14"/>
        </w:numPr>
        <w:ind w:left="0" w:firstLine="0"/>
        <w:jc w:val="both"/>
        <w:rPr>
          <w:lang w:val="fr-FR"/>
        </w:rPr>
      </w:pPr>
      <w:r w:rsidRPr="00A10862">
        <w:rPr>
          <w:i/>
          <w:iCs/>
          <w:spacing w:val="-4"/>
          <w:lang w:val="fr-FR"/>
        </w:rPr>
        <w:t>Adopte</w:t>
      </w:r>
      <w:r w:rsidRPr="00A10862">
        <w:rPr>
          <w:spacing w:val="-4"/>
          <w:lang w:val="fr-FR"/>
        </w:rPr>
        <w:t xml:space="preserve"> le «Programme de travail sur le changement climatique et les espèces migratrices» (dénommé ci-après «Programme de travail»)</w:t>
      </w:r>
      <w:r w:rsidRPr="00A10862">
        <w:rPr>
          <w:lang w:val="fr-FR"/>
        </w:rPr>
        <w:t xml:space="preserve"> annexé à </w:t>
      </w:r>
      <w:r>
        <w:rPr>
          <w:lang w:val="fr-FR"/>
        </w:rPr>
        <w:t>cette</w:t>
      </w:r>
      <w:r w:rsidRPr="00A10862">
        <w:rPr>
          <w:lang w:val="fr-FR"/>
        </w:rPr>
        <w:t xml:space="preserve"> Résolution et </w:t>
      </w:r>
      <w:r w:rsidRPr="00A10862">
        <w:rPr>
          <w:i/>
          <w:iCs/>
          <w:lang w:val="fr-FR"/>
        </w:rPr>
        <w:t xml:space="preserve">invite instamment </w:t>
      </w:r>
      <w:r w:rsidRPr="00A10862">
        <w:rPr>
          <w:iCs/>
          <w:lang w:val="fr-FR"/>
        </w:rPr>
        <w:t xml:space="preserve">les Parties et les Signataires des instruments de la CMS et </w:t>
      </w:r>
      <w:r w:rsidRPr="00A10862">
        <w:rPr>
          <w:i/>
          <w:iCs/>
          <w:lang w:val="fr-FR"/>
        </w:rPr>
        <w:t>encourage</w:t>
      </w:r>
      <w:r w:rsidRPr="00A10862">
        <w:rPr>
          <w:lang w:val="fr-FR"/>
        </w:rPr>
        <w:t xml:space="preserve"> les non-Parties à mettre en œuvre le programme de travail à titre prioritaire;</w:t>
      </w:r>
    </w:p>
    <w:p w:rsidR="00F47A4C" w:rsidRPr="00A10862" w:rsidRDefault="00F47A4C" w:rsidP="00F47A4C">
      <w:pPr>
        <w:jc w:val="both"/>
        <w:rPr>
          <w:lang w:val="fr-FR"/>
        </w:rPr>
      </w:pPr>
    </w:p>
    <w:p w:rsidR="00F47A4C" w:rsidRPr="00A10862" w:rsidRDefault="00F47A4C" w:rsidP="00F47A4C">
      <w:pPr>
        <w:widowControl w:val="0"/>
        <w:numPr>
          <w:ilvl w:val="0"/>
          <w:numId w:val="14"/>
        </w:numPr>
        <w:autoSpaceDE w:val="0"/>
        <w:autoSpaceDN w:val="0"/>
        <w:adjustRightInd w:val="0"/>
        <w:ind w:left="0" w:firstLine="0"/>
        <w:jc w:val="both"/>
        <w:rPr>
          <w:lang w:val="fr-FR"/>
        </w:rPr>
      </w:pPr>
      <w:r w:rsidRPr="00A10862">
        <w:rPr>
          <w:i/>
          <w:lang w:val="fr-FR"/>
        </w:rPr>
        <w:t>Demande</w:t>
      </w:r>
      <w:r w:rsidRPr="00A10862">
        <w:rPr>
          <w:lang w:val="fr-FR"/>
        </w:rPr>
        <w:t xml:space="preserve"> aux Parties et aux Signataires des instruments de la CMS d</w:t>
      </w:r>
      <w:r>
        <w:rPr>
          <w:lang w:val="fr-FR"/>
        </w:rPr>
        <w:t>e déterminer quelles mesures doivent être prises</w:t>
      </w:r>
      <w:r w:rsidRPr="00A10862">
        <w:rPr>
          <w:lang w:val="fr-FR"/>
        </w:rPr>
        <w:t xml:space="preserve"> pour aider les espèces migratrices à s’adapter au changement climatique et </w:t>
      </w:r>
      <w:r w:rsidR="002C4D17">
        <w:rPr>
          <w:lang w:val="fr-FR"/>
        </w:rPr>
        <w:t xml:space="preserve">de prendre des mesures pour </w:t>
      </w:r>
      <w:r w:rsidRPr="00A10862">
        <w:rPr>
          <w:lang w:val="fr-FR"/>
        </w:rPr>
        <w:t xml:space="preserve"> mettre en œuvre le programme de travail sur le changement climatique;</w:t>
      </w:r>
    </w:p>
    <w:p w:rsidR="00F47A4C" w:rsidRPr="00A10862" w:rsidRDefault="00F47A4C" w:rsidP="00F47A4C">
      <w:pPr>
        <w:jc w:val="both"/>
        <w:rPr>
          <w:lang w:val="fr-FR"/>
        </w:rPr>
      </w:pPr>
    </w:p>
    <w:p w:rsidR="00F47A4C" w:rsidRPr="00A10862" w:rsidRDefault="00F47A4C" w:rsidP="00F47A4C">
      <w:pPr>
        <w:widowControl w:val="0"/>
        <w:numPr>
          <w:ilvl w:val="0"/>
          <w:numId w:val="14"/>
        </w:numPr>
        <w:ind w:left="0" w:firstLine="0"/>
        <w:jc w:val="both"/>
        <w:rPr>
          <w:lang w:val="fr-FR"/>
        </w:rPr>
      </w:pPr>
      <w:r w:rsidRPr="00A10862">
        <w:rPr>
          <w:i/>
          <w:iCs/>
          <w:lang w:val="fr-FR"/>
        </w:rPr>
        <w:t xml:space="preserve">Demande </w:t>
      </w:r>
      <w:r w:rsidRPr="00A10862">
        <w:rPr>
          <w:lang w:val="fr-FR"/>
        </w:rPr>
        <w:t xml:space="preserve">au Conseil scientifique et au groupe de travail </w:t>
      </w:r>
      <w:r w:rsidR="002C4D17">
        <w:rPr>
          <w:lang w:val="fr-FR"/>
        </w:rPr>
        <w:t xml:space="preserve">sur le changement climatique </w:t>
      </w:r>
      <w:r w:rsidRPr="00A10862">
        <w:rPr>
          <w:lang w:val="fr-FR"/>
        </w:rPr>
        <w:t>d’encourager les activités visant à combler les lacunes dans les connaissances et de donner des orientations pour la recherche future, en particulier moyennant l’analyse des ensembles de données existants sur le long terme et à grande échelle;</w:t>
      </w:r>
    </w:p>
    <w:p w:rsidR="00F47A4C" w:rsidRPr="00A10862" w:rsidRDefault="00F47A4C" w:rsidP="00F47A4C">
      <w:pPr>
        <w:jc w:val="both"/>
        <w:rPr>
          <w:lang w:val="fr-FR"/>
        </w:rPr>
      </w:pPr>
    </w:p>
    <w:p w:rsidR="00F47A4C" w:rsidRPr="00A10862" w:rsidRDefault="00F47A4C" w:rsidP="00F47A4C">
      <w:pPr>
        <w:widowControl w:val="0"/>
        <w:numPr>
          <w:ilvl w:val="0"/>
          <w:numId w:val="14"/>
        </w:numPr>
        <w:ind w:left="0" w:firstLine="0"/>
        <w:jc w:val="both"/>
        <w:rPr>
          <w:lang w:val="fr-FR"/>
        </w:rPr>
      </w:pPr>
      <w:r w:rsidRPr="00A10862">
        <w:rPr>
          <w:i/>
          <w:iCs/>
          <w:lang w:val="fr-FR"/>
        </w:rPr>
        <w:t>Charge</w:t>
      </w:r>
      <w:r w:rsidRPr="00A10862">
        <w:rPr>
          <w:lang w:val="fr-FR"/>
        </w:rPr>
        <w:t xml:space="preserve"> le Secrétariat, en collaboration avec les Parties et les organisations internationales compétentes, sous réserve de la disponibilité de fonds, </w:t>
      </w:r>
      <w:r w:rsidR="002C4D17">
        <w:rPr>
          <w:lang w:val="fr-FR"/>
        </w:rPr>
        <w:t>d’</w:t>
      </w:r>
      <w:r w:rsidRPr="00A10862">
        <w:rPr>
          <w:lang w:val="fr-FR"/>
        </w:rPr>
        <w:t>aborder des questions spécifiques</w:t>
      </w:r>
      <w:r>
        <w:rPr>
          <w:lang w:val="fr-FR"/>
        </w:rPr>
        <w:t>, de</w:t>
      </w:r>
      <w:r w:rsidRPr="00A10862">
        <w:rPr>
          <w:lang w:val="fr-FR"/>
        </w:rPr>
        <w:t xml:space="preserve"> promouvoir la mise en œuvre du programme de travail et de partager les meilleures pratiques et les leçons apprises pour l’atténuation efficace des impacts du changement climatique</w:t>
      </w:r>
      <w:r w:rsidR="002B1167">
        <w:rPr>
          <w:lang w:val="fr-FR"/>
        </w:rPr>
        <w:t>, notamment par l’organisation d’ateliers régionaux</w:t>
      </w:r>
      <w:r w:rsidR="00D61AE3">
        <w:rPr>
          <w:lang w:val="fr-FR"/>
        </w:rPr>
        <w:t>;</w:t>
      </w:r>
    </w:p>
    <w:p w:rsidR="00F47A4C" w:rsidRPr="00A10862" w:rsidRDefault="00F47A4C" w:rsidP="00F47A4C">
      <w:pPr>
        <w:jc w:val="both"/>
        <w:rPr>
          <w:lang w:val="fr-FR"/>
        </w:rPr>
      </w:pPr>
    </w:p>
    <w:p w:rsidR="00F47A4C" w:rsidRPr="00A10862" w:rsidRDefault="00F47A4C" w:rsidP="00F47A4C">
      <w:pPr>
        <w:widowControl w:val="0"/>
        <w:numPr>
          <w:ilvl w:val="0"/>
          <w:numId w:val="14"/>
        </w:numPr>
        <w:ind w:left="0" w:firstLine="0"/>
        <w:jc w:val="both"/>
        <w:rPr>
          <w:lang w:val="fr-FR"/>
        </w:rPr>
      </w:pPr>
      <w:r w:rsidRPr="00A10862">
        <w:rPr>
          <w:i/>
          <w:iCs/>
          <w:spacing w:val="-2"/>
          <w:lang w:val="fr-FR"/>
        </w:rPr>
        <w:t>Exhorte</w:t>
      </w:r>
      <w:r w:rsidRPr="00A10862">
        <w:rPr>
          <w:spacing w:val="-2"/>
          <w:lang w:val="fr-FR"/>
        </w:rPr>
        <w:t xml:space="preserve"> les Parties, les non-Parties et les parties prenantes, avec l’appui du Secrétariat, à renforcer les capacités nationales et locales pour la mise en œuvre du programme de travail</w:t>
      </w:r>
      <w:r w:rsidR="002B1167">
        <w:rPr>
          <w:spacing w:val="-2"/>
          <w:lang w:val="fr-FR"/>
        </w:rPr>
        <w:t xml:space="preserve"> et de  la protection des espèces affectées par le changement climatique</w:t>
      </w:r>
      <w:r w:rsidRPr="00A10862">
        <w:rPr>
          <w:spacing w:val="-2"/>
          <w:lang w:val="fr-FR"/>
        </w:rPr>
        <w:t xml:space="preserve">, notamment, en établissant des partenariats avec les principales parties prenantes et en organisant des cours de formation, en traduisant et en diffusant des exemples des meilleures pratiques, en partageant </w:t>
      </w:r>
      <w:r w:rsidR="002B1167">
        <w:rPr>
          <w:spacing w:val="-2"/>
          <w:lang w:val="fr-FR"/>
        </w:rPr>
        <w:t xml:space="preserve">et mettant en œuvre </w:t>
      </w:r>
      <w:r w:rsidRPr="00A10862">
        <w:rPr>
          <w:spacing w:val="-2"/>
          <w:lang w:val="fr-FR"/>
        </w:rPr>
        <w:t>les protocoles et les réglementations, en transférant les technologies et en encourageant l’utilisation des outils en ligne et autres pour aborder les questions spécifiques contenues dans le programme de travail;</w:t>
      </w:r>
    </w:p>
    <w:p w:rsidR="00F47A4C" w:rsidRPr="00A10862" w:rsidRDefault="00F47A4C" w:rsidP="00F47A4C">
      <w:pPr>
        <w:jc w:val="both"/>
        <w:rPr>
          <w:lang w:val="fr-FR"/>
        </w:rPr>
      </w:pPr>
    </w:p>
    <w:p w:rsidR="00F47A4C" w:rsidRPr="00A10862" w:rsidRDefault="00F47A4C" w:rsidP="00F47A4C">
      <w:pPr>
        <w:widowControl w:val="0"/>
        <w:numPr>
          <w:ilvl w:val="0"/>
          <w:numId w:val="14"/>
        </w:numPr>
        <w:autoSpaceDE w:val="0"/>
        <w:autoSpaceDN w:val="0"/>
        <w:adjustRightInd w:val="0"/>
        <w:ind w:left="0" w:firstLine="0"/>
        <w:jc w:val="both"/>
        <w:rPr>
          <w:lang w:val="fr-FR"/>
        </w:rPr>
      </w:pPr>
      <w:r w:rsidRPr="00A10862">
        <w:rPr>
          <w:i/>
          <w:lang w:val="fr-FR"/>
        </w:rPr>
        <w:t xml:space="preserve">Décide </w:t>
      </w:r>
      <w:r w:rsidRPr="00A10862">
        <w:rPr>
          <w:lang w:val="fr-FR"/>
        </w:rPr>
        <w:t xml:space="preserve">que les dispositions de l’Article I (1) </w:t>
      </w:r>
      <w:r w:rsidR="00D61AE3">
        <w:rPr>
          <w:lang w:val="fr-FR"/>
        </w:rPr>
        <w:t>(</w:t>
      </w:r>
      <w:r w:rsidRPr="00A10862">
        <w:rPr>
          <w:lang w:val="fr-FR"/>
        </w:rPr>
        <w:t xml:space="preserve">c) </w:t>
      </w:r>
      <w:r w:rsidR="00D61AE3">
        <w:rPr>
          <w:lang w:val="fr-FR"/>
        </w:rPr>
        <w:t>(</w:t>
      </w:r>
      <w:r w:rsidRPr="00A10862">
        <w:rPr>
          <w:lang w:val="fr-FR"/>
        </w:rPr>
        <w:t>4) de la Convention portant sur la définition de  «état de conservation favorable»  seront interprétées comme suit à la lumière du changement climatique:</w:t>
      </w:r>
    </w:p>
    <w:p w:rsidR="00F47A4C" w:rsidRPr="00A10862" w:rsidRDefault="00F47A4C" w:rsidP="00F47A4C">
      <w:pPr>
        <w:rPr>
          <w:lang w:val="fr-FR"/>
        </w:rPr>
      </w:pPr>
    </w:p>
    <w:p w:rsidR="00F47A4C" w:rsidRPr="00A10862" w:rsidRDefault="00F47A4C" w:rsidP="00F47A4C">
      <w:pPr>
        <w:jc w:val="both"/>
        <w:rPr>
          <w:lang w:val="fr-FR"/>
        </w:rPr>
      </w:pPr>
      <w:r w:rsidRPr="00A10862">
        <w:rPr>
          <w:i/>
          <w:lang w:val="fr-FR"/>
        </w:rPr>
        <w:t xml:space="preserve">Conformément aux dispositions de l’Article I (1) c) 4) de la Convention, l’une des conditions à remplir pour que  l’état de conservation d’une espèce soit considéré </w:t>
      </w:r>
      <w:r>
        <w:rPr>
          <w:i/>
          <w:lang w:val="fr-FR"/>
        </w:rPr>
        <w:t>«</w:t>
      </w:r>
      <w:r w:rsidRPr="00A10862">
        <w:rPr>
          <w:i/>
          <w:lang w:val="fr-FR"/>
        </w:rPr>
        <w:t>favorable</w:t>
      </w:r>
      <w:r>
        <w:rPr>
          <w:i/>
          <w:lang w:val="fr-FR"/>
        </w:rPr>
        <w:t>»</w:t>
      </w:r>
      <w:r w:rsidRPr="00A10862">
        <w:rPr>
          <w:i/>
          <w:lang w:val="fr-FR"/>
        </w:rPr>
        <w:t xml:space="preserve"> est la suivante: «la répartition et les effectifs de la population de cette espèce migratrice sont proches de leur étendue et de leurs niveaux historiques dans la mesure où il existe des écosystèmes susceptibles de convenir à ladite espèce et dans la mesure où cela est compatible </w:t>
      </w:r>
      <w:r w:rsidRPr="00A10862">
        <w:rPr>
          <w:i/>
          <w:lang w:val="fr-FR"/>
        </w:rPr>
        <w:lastRenderedPageBreak/>
        <w:t>avec une gestion sage de la faune sauvage</w:t>
      </w:r>
      <w:r w:rsidRPr="00A10862">
        <w:rPr>
          <w:lang w:val="fr-FR"/>
        </w:rPr>
        <w:t xml:space="preserve">». </w:t>
      </w:r>
      <w:r w:rsidRPr="00D61AE3">
        <w:rPr>
          <w:i/>
          <w:lang w:val="fr-FR"/>
        </w:rPr>
        <w:t>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 dans le respect des objectifs et des obligations des Parties à la Convention</w:t>
      </w:r>
      <w:r w:rsidRPr="00A10862">
        <w:rPr>
          <w:lang w:val="fr-FR"/>
        </w:rPr>
        <w:t>;</w:t>
      </w:r>
    </w:p>
    <w:p w:rsidR="00F47A4C" w:rsidRPr="00A10862" w:rsidRDefault="00F47A4C" w:rsidP="00F47A4C">
      <w:pPr>
        <w:jc w:val="both"/>
        <w:rPr>
          <w:lang w:val="fr-FR"/>
        </w:rPr>
      </w:pPr>
    </w:p>
    <w:p w:rsidR="00F47A4C" w:rsidRPr="00A10862" w:rsidRDefault="00F47A4C" w:rsidP="00F47A4C">
      <w:pPr>
        <w:widowControl w:val="0"/>
        <w:numPr>
          <w:ilvl w:val="0"/>
          <w:numId w:val="14"/>
        </w:numPr>
        <w:ind w:left="0" w:firstLine="0"/>
        <w:jc w:val="both"/>
        <w:rPr>
          <w:lang w:val="fr-FR"/>
        </w:rPr>
      </w:pPr>
      <w:r w:rsidRPr="00A10862">
        <w:rPr>
          <w:i/>
          <w:iCs/>
          <w:lang w:val="fr-FR"/>
        </w:rPr>
        <w:t>Engage instamment</w:t>
      </w:r>
      <w:r w:rsidRPr="00A10862">
        <w:rPr>
          <w:lang w:val="fr-FR"/>
        </w:rPr>
        <w:t xml:space="preserve"> les Parties et </w:t>
      </w:r>
      <w:r w:rsidRPr="00A10862">
        <w:rPr>
          <w:i/>
          <w:iCs/>
          <w:lang w:val="fr-FR"/>
        </w:rPr>
        <w:t>invite</w:t>
      </w:r>
      <w:r w:rsidRPr="00A10862">
        <w:rPr>
          <w:lang w:val="fr-FR"/>
        </w:rPr>
        <w:t xml:space="preserve"> </w:t>
      </w:r>
      <w:r w:rsidR="002B1167">
        <w:rPr>
          <w:lang w:val="fr-FR"/>
        </w:rPr>
        <w:t xml:space="preserve">les </w:t>
      </w:r>
      <w:r w:rsidRPr="00A10862">
        <w:rPr>
          <w:lang w:val="fr-FR"/>
        </w:rPr>
        <w:t>organisations internationales compétentes, les donateurs bilatéraux et multilatéraux, à soutenir financièrement la mise en œuvre du programme de travail notamment en fournissant une a</w:t>
      </w:r>
      <w:r>
        <w:rPr>
          <w:lang w:val="fr-FR"/>
        </w:rPr>
        <w:t>ide financière</w:t>
      </w:r>
      <w:r w:rsidRPr="00A10862">
        <w:rPr>
          <w:lang w:val="fr-FR"/>
        </w:rPr>
        <w:t xml:space="preserve"> </w:t>
      </w:r>
      <w:r w:rsidR="002B1167">
        <w:rPr>
          <w:lang w:val="fr-FR"/>
        </w:rPr>
        <w:t xml:space="preserve">ou autre </w:t>
      </w:r>
      <w:r w:rsidR="00D61AE3">
        <w:rPr>
          <w:lang w:val="fr-FR"/>
        </w:rPr>
        <w:t xml:space="preserve">assistance </w:t>
      </w:r>
      <w:r w:rsidRPr="00A10862">
        <w:rPr>
          <w:lang w:val="fr-FR"/>
        </w:rPr>
        <w:t>aux pays en développement pour leur permettre de renforcer leurs capacités dans ce domaine;</w:t>
      </w:r>
    </w:p>
    <w:p w:rsidR="00F47A4C" w:rsidRPr="00A10862" w:rsidRDefault="00F47A4C" w:rsidP="00F47A4C">
      <w:pPr>
        <w:jc w:val="both"/>
        <w:rPr>
          <w:lang w:val="fr-FR"/>
        </w:rPr>
      </w:pPr>
    </w:p>
    <w:p w:rsidR="00F47A4C" w:rsidRPr="00A10862" w:rsidRDefault="00F47A4C" w:rsidP="00F47A4C">
      <w:pPr>
        <w:widowControl w:val="0"/>
        <w:numPr>
          <w:ilvl w:val="0"/>
          <w:numId w:val="14"/>
        </w:numPr>
        <w:ind w:left="0" w:firstLine="0"/>
        <w:jc w:val="both"/>
        <w:rPr>
          <w:lang w:val="fr-FR"/>
        </w:rPr>
      </w:pPr>
      <w:r w:rsidRPr="00A10862">
        <w:rPr>
          <w:i/>
          <w:iCs/>
          <w:lang w:val="fr-FR"/>
        </w:rPr>
        <w:t xml:space="preserve">Propose </w:t>
      </w:r>
      <w:r w:rsidRPr="00A10862">
        <w:rPr>
          <w:lang w:val="fr-FR"/>
        </w:rPr>
        <w:t>que le Groupe de travail sur le changement climatique poursuive ses activités jusqu’à la COP12, accueillant de nouveaux membres dotés de compétences spécialisées et provenant de régions géographiquement non représentées actuellement et établisse de</w:t>
      </w:r>
      <w:r>
        <w:rPr>
          <w:lang w:val="fr-FR"/>
        </w:rPr>
        <w:t>s priorités, facilite et assure</w:t>
      </w:r>
      <w:r w:rsidRPr="00A10862">
        <w:rPr>
          <w:lang w:val="fr-FR"/>
        </w:rPr>
        <w:t xml:space="preserve"> le suivi de la mise en œuvre du programme de travail;</w:t>
      </w:r>
    </w:p>
    <w:p w:rsidR="00F47A4C" w:rsidRPr="00A10862" w:rsidRDefault="00F47A4C" w:rsidP="00F47A4C">
      <w:pPr>
        <w:contextualSpacing/>
        <w:rPr>
          <w:lang w:val="fr-FR"/>
        </w:rPr>
      </w:pPr>
    </w:p>
    <w:p w:rsidR="00F47A4C" w:rsidRPr="00A10862" w:rsidRDefault="00F47A4C" w:rsidP="00F47A4C">
      <w:pPr>
        <w:widowControl w:val="0"/>
        <w:numPr>
          <w:ilvl w:val="0"/>
          <w:numId w:val="14"/>
        </w:numPr>
        <w:ind w:left="0" w:firstLine="0"/>
        <w:jc w:val="both"/>
        <w:rPr>
          <w:lang w:val="fr-FR"/>
        </w:rPr>
      </w:pPr>
      <w:r w:rsidRPr="00A10862">
        <w:rPr>
          <w:i/>
          <w:lang w:val="fr-FR"/>
        </w:rPr>
        <w:t xml:space="preserve">Demande </w:t>
      </w:r>
      <w:r w:rsidRPr="00A10862">
        <w:rPr>
          <w:lang w:val="fr-FR"/>
        </w:rPr>
        <w:t>au Secrétariat d’assurer la liaison avec les secrétariats des AME pertinents</w:t>
      </w:r>
      <w:r w:rsidR="002B1167">
        <w:rPr>
          <w:lang w:val="fr-FR"/>
        </w:rPr>
        <w:t xml:space="preserve">, notamment les Secrétariat de la CBD, </w:t>
      </w:r>
      <w:r w:rsidR="00D61AE3">
        <w:rPr>
          <w:lang w:val="fr-FR"/>
        </w:rPr>
        <w:t>CCNUCC, CNULCD</w:t>
      </w:r>
      <w:r w:rsidR="002B1167">
        <w:rPr>
          <w:lang w:val="fr-FR"/>
        </w:rPr>
        <w:t xml:space="preserve">, La Convention </w:t>
      </w:r>
      <w:proofErr w:type="spellStart"/>
      <w:r w:rsidR="002B1167">
        <w:rPr>
          <w:lang w:val="fr-FR"/>
        </w:rPr>
        <w:t>Ramsar</w:t>
      </w:r>
      <w:proofErr w:type="spellEnd"/>
      <w:r w:rsidR="002B1167">
        <w:rPr>
          <w:lang w:val="fr-FR"/>
        </w:rPr>
        <w:t xml:space="preserve"> et la Convention du Patrimoine Mondial</w:t>
      </w:r>
      <w:r w:rsidR="00D61AE3">
        <w:rPr>
          <w:lang w:val="fr-FR"/>
        </w:rPr>
        <w:t>,</w:t>
      </w:r>
      <w:r w:rsidRPr="00A10862">
        <w:rPr>
          <w:lang w:val="fr-FR"/>
        </w:rPr>
        <w:t xml:space="preserve"> afin de promouvoir les synergies et</w:t>
      </w:r>
      <w:r>
        <w:rPr>
          <w:lang w:val="fr-FR"/>
        </w:rPr>
        <w:t xml:space="preserve"> de coordonner l</w:t>
      </w:r>
      <w:r w:rsidRPr="00A10862">
        <w:rPr>
          <w:lang w:val="fr-FR"/>
        </w:rPr>
        <w:t>es activités liées à l’adaptation au changement climatique y compris, le cas échéant, l’organisation de réunions consécutives et d’activités conjointes; et</w:t>
      </w:r>
    </w:p>
    <w:p w:rsidR="00F47A4C" w:rsidRPr="00A10862" w:rsidRDefault="00F47A4C" w:rsidP="00F47A4C">
      <w:pPr>
        <w:jc w:val="both"/>
        <w:rPr>
          <w:lang w:val="fr-FR"/>
        </w:rPr>
      </w:pPr>
    </w:p>
    <w:p w:rsidR="00F47A4C" w:rsidRPr="00A10862" w:rsidRDefault="00F47A4C" w:rsidP="00F47A4C">
      <w:pPr>
        <w:widowControl w:val="0"/>
        <w:numPr>
          <w:ilvl w:val="0"/>
          <w:numId w:val="14"/>
        </w:numPr>
        <w:ind w:left="0" w:firstLine="0"/>
        <w:jc w:val="both"/>
        <w:rPr>
          <w:lang w:val="fr-FR"/>
        </w:rPr>
      </w:pPr>
      <w:r w:rsidRPr="00A10862">
        <w:rPr>
          <w:i/>
          <w:iCs/>
          <w:lang w:val="fr-FR"/>
        </w:rPr>
        <w:t xml:space="preserve">Prie </w:t>
      </w:r>
      <w:r w:rsidRPr="00A10862">
        <w:rPr>
          <w:lang w:val="fr-FR"/>
        </w:rPr>
        <w:t>les Parties et le Conseil scientifique de faire rapport sur l’état d’avancement de la mise en œuvre du programme de travail, y compris sur le suivi et l’efficacité des mesures prises, à la COP12 en 2017.</w:t>
      </w:r>
    </w:p>
    <w:p w:rsidR="00F47A4C" w:rsidRPr="00A10862" w:rsidRDefault="00F47A4C" w:rsidP="00F47A4C">
      <w:pPr>
        <w:jc w:val="both"/>
        <w:rPr>
          <w:lang w:val="fr-FR"/>
        </w:rPr>
      </w:pPr>
    </w:p>
    <w:p w:rsidR="00F47A4C" w:rsidRPr="00A10862" w:rsidRDefault="00F47A4C" w:rsidP="00F47A4C">
      <w:pPr>
        <w:jc w:val="center"/>
        <w:rPr>
          <w:lang w:val="fr-FR"/>
        </w:rPr>
      </w:pPr>
    </w:p>
    <w:p w:rsidR="00F47A4C" w:rsidRPr="00A10862" w:rsidRDefault="00F47A4C" w:rsidP="00F47A4C">
      <w:pPr>
        <w:jc w:val="center"/>
        <w:rPr>
          <w:lang w:val="fr-FR"/>
        </w:rPr>
      </w:pPr>
    </w:p>
    <w:p w:rsidR="00F47A4C" w:rsidRPr="00A10862" w:rsidRDefault="00F47A4C" w:rsidP="00F47A4C">
      <w:pPr>
        <w:jc w:val="center"/>
        <w:rPr>
          <w:lang w:val="fr-FR"/>
        </w:rPr>
      </w:pPr>
    </w:p>
    <w:p w:rsidR="00F47A4C" w:rsidRPr="00A10862" w:rsidRDefault="00F47A4C" w:rsidP="00F47A4C">
      <w:pPr>
        <w:jc w:val="center"/>
        <w:rPr>
          <w:lang w:val="fr-FR"/>
        </w:rPr>
      </w:pPr>
    </w:p>
    <w:p w:rsidR="00F47A4C" w:rsidRPr="00A10862" w:rsidRDefault="00F47A4C" w:rsidP="00F47A4C">
      <w:pPr>
        <w:jc w:val="center"/>
        <w:rPr>
          <w:lang w:val="fr-FR"/>
        </w:rPr>
      </w:pPr>
    </w:p>
    <w:p w:rsidR="00F47A4C" w:rsidRPr="00A10862" w:rsidRDefault="00F47A4C" w:rsidP="00F47A4C">
      <w:pPr>
        <w:jc w:val="center"/>
        <w:rPr>
          <w:lang w:val="fr-FR"/>
        </w:rPr>
      </w:pPr>
    </w:p>
    <w:p w:rsidR="00F47A4C" w:rsidRDefault="00F47A4C" w:rsidP="00F47A4C">
      <w:pPr>
        <w:rPr>
          <w:lang w:val="fr-FR"/>
        </w:rPr>
        <w:sectPr w:rsidR="00F47A4C" w:rsidSect="004556F3">
          <w:headerReference w:type="even" r:id="rId20"/>
          <w:headerReference w:type="default" r:id="rId21"/>
          <w:headerReference w:type="first" r:id="rId22"/>
          <w:pgSz w:w="11907" w:h="16840" w:code="9"/>
          <w:pgMar w:top="1134" w:right="1418" w:bottom="1418" w:left="1418" w:header="510" w:footer="510" w:gutter="0"/>
          <w:cols w:space="720"/>
          <w:titlePg/>
          <w:docGrid w:linePitch="360"/>
        </w:sectPr>
      </w:pPr>
    </w:p>
    <w:p w:rsidR="00F47A4C" w:rsidRPr="00A10862" w:rsidRDefault="00F47A4C" w:rsidP="00F47A4C">
      <w:pPr>
        <w:rPr>
          <w:lang w:val="fr-FR"/>
        </w:rPr>
      </w:pPr>
    </w:p>
    <w:p w:rsidR="00F47A4C" w:rsidRPr="00D61AE3" w:rsidRDefault="00F47A4C" w:rsidP="00D61AE3">
      <w:pPr>
        <w:jc w:val="right"/>
        <w:rPr>
          <w:b/>
          <w:lang w:val="fr-FR"/>
        </w:rPr>
      </w:pPr>
      <w:r w:rsidRPr="00D61AE3">
        <w:rPr>
          <w:b/>
          <w:lang w:val="fr-FR"/>
        </w:rPr>
        <w:t>Annexe au projet de résolution</w:t>
      </w:r>
    </w:p>
    <w:p w:rsidR="00F47A4C" w:rsidRDefault="00F47A4C" w:rsidP="00F47A4C">
      <w:pPr>
        <w:jc w:val="both"/>
        <w:rPr>
          <w:lang w:val="fr-FR"/>
        </w:rPr>
      </w:pPr>
    </w:p>
    <w:p w:rsidR="00D61AE3" w:rsidRPr="00A10862" w:rsidRDefault="00D61AE3" w:rsidP="00F47A4C">
      <w:pPr>
        <w:jc w:val="both"/>
        <w:rPr>
          <w:lang w:val="fr-FR"/>
        </w:rPr>
      </w:pPr>
    </w:p>
    <w:p w:rsidR="00F47A4C" w:rsidRPr="00A10862" w:rsidRDefault="00F47A4C" w:rsidP="00F47A4C">
      <w:pPr>
        <w:jc w:val="center"/>
        <w:rPr>
          <w:b/>
          <w:caps/>
          <w:lang w:val="fr-FR"/>
        </w:rPr>
      </w:pPr>
      <w:r w:rsidRPr="00A10862">
        <w:rPr>
          <w:b/>
          <w:caps/>
          <w:lang w:val="fr-FR"/>
        </w:rPr>
        <w:t>PROGRAMME DE TRAVAIL SUR LE CHANGEMENT CLIMATIQUE ET LES ESPÈCES MIGRATRICES</w:t>
      </w:r>
    </w:p>
    <w:p w:rsidR="00F47A4C" w:rsidRPr="00A10862" w:rsidRDefault="00F47A4C" w:rsidP="00F47A4C">
      <w:pPr>
        <w:jc w:val="center"/>
        <w:rPr>
          <w:i/>
          <w:lang w:val="fr-FR"/>
        </w:rPr>
      </w:pPr>
    </w:p>
    <w:p w:rsidR="00F47A4C" w:rsidRPr="00A10862" w:rsidRDefault="00F47A4C" w:rsidP="00F47A4C">
      <w:pPr>
        <w:jc w:val="center"/>
        <w:rPr>
          <w:i/>
          <w:lang w:val="fr-FR"/>
        </w:rPr>
      </w:pPr>
      <w:r w:rsidRPr="00A10862">
        <w:rPr>
          <w:i/>
          <w:lang w:val="fr-FR"/>
        </w:rPr>
        <w:t>(Préparé par le Groupe de travail sur le changement climatique du Conseil scientifique)</w:t>
      </w:r>
    </w:p>
    <w:p w:rsidR="00F47A4C" w:rsidRPr="00A10862" w:rsidRDefault="00F47A4C" w:rsidP="00F47A4C">
      <w:pPr>
        <w:pStyle w:val="Default"/>
        <w:jc w:val="both"/>
        <w:rPr>
          <w:lang w:val="fr-FR"/>
        </w:rPr>
      </w:pPr>
    </w:p>
    <w:p w:rsidR="00F47A4C" w:rsidRPr="00A10862" w:rsidRDefault="00F47A4C" w:rsidP="00F47A4C">
      <w:pPr>
        <w:pStyle w:val="Default"/>
        <w:jc w:val="both"/>
        <w:rPr>
          <w:lang w:val="fr-FR"/>
        </w:rPr>
      </w:pPr>
    </w:p>
    <w:p w:rsidR="005B4D07" w:rsidRDefault="00177267" w:rsidP="00F47A4C">
      <w:pPr>
        <w:pStyle w:val="Default"/>
        <w:jc w:val="both"/>
        <w:rPr>
          <w:lang w:val="fr-FR"/>
        </w:rPr>
      </w:pPr>
      <w:r>
        <w:rPr>
          <w:rStyle w:val="hps"/>
          <w:lang w:val="fr-FR"/>
        </w:rPr>
        <w:t>Les Parties et</w:t>
      </w:r>
      <w:r>
        <w:rPr>
          <w:rStyle w:val="hps"/>
          <w:lang w:val="fr-FR"/>
        </w:rPr>
        <w:t xml:space="preserve"> autres</w:t>
      </w:r>
      <w:r>
        <w:rPr>
          <w:lang w:val="fr-FR"/>
        </w:rPr>
        <w:t xml:space="preserve"> </w:t>
      </w:r>
      <w:r>
        <w:rPr>
          <w:rStyle w:val="hps"/>
          <w:lang w:val="fr-FR"/>
        </w:rPr>
        <w:t>parties prenantes devraient</w:t>
      </w:r>
      <w:r>
        <w:rPr>
          <w:lang w:val="fr-FR"/>
        </w:rPr>
        <w:t xml:space="preserve"> </w:t>
      </w:r>
      <w:r>
        <w:rPr>
          <w:rStyle w:val="hps"/>
          <w:lang w:val="fr-FR"/>
        </w:rPr>
        <w:t>mettre en œuvre les</w:t>
      </w:r>
      <w:r>
        <w:rPr>
          <w:lang w:val="fr-FR"/>
        </w:rPr>
        <w:t xml:space="preserve"> </w:t>
      </w:r>
      <w:r>
        <w:rPr>
          <w:rStyle w:val="hps"/>
          <w:lang w:val="fr-FR"/>
        </w:rPr>
        <w:t>actions</w:t>
      </w:r>
      <w:r>
        <w:rPr>
          <w:lang w:val="fr-FR"/>
        </w:rPr>
        <w:t xml:space="preserve"> </w:t>
      </w:r>
      <w:r>
        <w:rPr>
          <w:rStyle w:val="hps"/>
          <w:lang w:val="fr-FR"/>
        </w:rPr>
        <w:t>contenues dans le présent</w:t>
      </w:r>
      <w:r>
        <w:rPr>
          <w:lang w:val="fr-FR"/>
        </w:rPr>
        <w:t xml:space="preserve"> </w:t>
      </w:r>
      <w:r>
        <w:rPr>
          <w:rStyle w:val="hps"/>
          <w:lang w:val="fr-FR"/>
        </w:rPr>
        <w:t>programme de travail</w:t>
      </w:r>
      <w:r>
        <w:rPr>
          <w:lang w:val="fr-FR"/>
        </w:rPr>
        <w:t xml:space="preserve"> </w:t>
      </w:r>
      <w:r>
        <w:rPr>
          <w:rStyle w:val="hps"/>
          <w:lang w:val="fr-FR"/>
        </w:rPr>
        <w:t>en fonction de leurs</w:t>
      </w:r>
      <w:r>
        <w:rPr>
          <w:lang w:val="fr-FR"/>
        </w:rPr>
        <w:t xml:space="preserve"> </w:t>
      </w:r>
      <w:r>
        <w:rPr>
          <w:rStyle w:val="hps"/>
          <w:lang w:val="fr-FR"/>
        </w:rPr>
        <w:t>circonstances individuelles</w:t>
      </w:r>
      <w:r>
        <w:rPr>
          <w:lang w:val="fr-FR"/>
        </w:rPr>
        <w:t xml:space="preserve"> </w:t>
      </w:r>
      <w:r>
        <w:rPr>
          <w:rStyle w:val="hps"/>
          <w:lang w:val="fr-FR"/>
        </w:rPr>
        <w:t>en vue</w:t>
      </w:r>
      <w:r>
        <w:rPr>
          <w:lang w:val="fr-FR"/>
        </w:rPr>
        <w:t xml:space="preserve"> </w:t>
      </w:r>
      <w:r>
        <w:rPr>
          <w:rStyle w:val="hps"/>
          <w:lang w:val="fr-FR"/>
        </w:rPr>
        <w:t>de maximiser</w:t>
      </w:r>
      <w:r>
        <w:rPr>
          <w:lang w:val="fr-FR"/>
        </w:rPr>
        <w:t xml:space="preserve"> </w:t>
      </w:r>
      <w:r>
        <w:rPr>
          <w:rStyle w:val="hps"/>
          <w:lang w:val="fr-FR"/>
        </w:rPr>
        <w:t>les avantages pour les</w:t>
      </w:r>
      <w:r>
        <w:rPr>
          <w:lang w:val="fr-FR"/>
        </w:rPr>
        <w:t xml:space="preserve"> </w:t>
      </w:r>
      <w:r>
        <w:rPr>
          <w:rStyle w:val="hps"/>
          <w:lang w:val="fr-FR"/>
        </w:rPr>
        <w:t>espèces migratrices</w:t>
      </w:r>
      <w:r>
        <w:rPr>
          <w:lang w:val="fr-FR"/>
        </w:rPr>
        <w:t xml:space="preserve">. </w:t>
      </w:r>
    </w:p>
    <w:p w:rsidR="005B4D07" w:rsidRDefault="005B4D07" w:rsidP="00F47A4C">
      <w:pPr>
        <w:pStyle w:val="Default"/>
        <w:jc w:val="both"/>
        <w:rPr>
          <w:lang w:val="fr-FR"/>
        </w:rPr>
      </w:pPr>
    </w:p>
    <w:p w:rsidR="005B4D07" w:rsidRDefault="00177267" w:rsidP="00F47A4C">
      <w:pPr>
        <w:pStyle w:val="Default"/>
        <w:jc w:val="both"/>
        <w:rPr>
          <w:lang w:val="fr-FR"/>
        </w:rPr>
      </w:pPr>
      <w:r>
        <w:rPr>
          <w:rStyle w:val="hps"/>
          <w:lang w:val="fr-FR"/>
        </w:rPr>
        <w:t>Un calendrier</w:t>
      </w:r>
      <w:r>
        <w:rPr>
          <w:lang w:val="fr-FR"/>
        </w:rPr>
        <w:t xml:space="preserve"> </w:t>
      </w:r>
      <w:r>
        <w:rPr>
          <w:rStyle w:val="hps"/>
          <w:lang w:val="fr-FR"/>
        </w:rPr>
        <w:t>de</w:t>
      </w:r>
      <w:r>
        <w:rPr>
          <w:lang w:val="fr-FR"/>
        </w:rPr>
        <w:t xml:space="preserve"> </w:t>
      </w:r>
      <w:r>
        <w:rPr>
          <w:rStyle w:val="hps"/>
          <w:lang w:val="fr-FR"/>
        </w:rPr>
        <w:t>mise en œuvre des</w:t>
      </w:r>
      <w:r>
        <w:rPr>
          <w:lang w:val="fr-FR"/>
        </w:rPr>
        <w:t xml:space="preserve"> </w:t>
      </w:r>
      <w:r>
        <w:rPr>
          <w:rStyle w:val="hps"/>
          <w:lang w:val="fr-FR"/>
        </w:rPr>
        <w:t>actions contenues dans ce</w:t>
      </w:r>
      <w:r>
        <w:rPr>
          <w:lang w:val="fr-FR"/>
        </w:rPr>
        <w:t xml:space="preserve"> </w:t>
      </w:r>
      <w:r>
        <w:rPr>
          <w:rStyle w:val="hps"/>
          <w:lang w:val="fr-FR"/>
        </w:rPr>
        <w:t>programme de travail</w:t>
      </w:r>
      <w:r>
        <w:rPr>
          <w:lang w:val="fr-FR"/>
        </w:rPr>
        <w:t xml:space="preserve"> </w:t>
      </w:r>
      <w:r>
        <w:rPr>
          <w:rStyle w:val="hps"/>
          <w:lang w:val="fr-FR"/>
        </w:rPr>
        <w:t>est proposé</w:t>
      </w:r>
      <w:r>
        <w:rPr>
          <w:lang w:val="fr-FR"/>
        </w:rPr>
        <w:t xml:space="preserve"> </w:t>
      </w:r>
      <w:r>
        <w:rPr>
          <w:rStyle w:val="hps"/>
          <w:lang w:val="fr-FR"/>
        </w:rPr>
        <w:t>après chaque action</w:t>
      </w:r>
      <w:r>
        <w:rPr>
          <w:lang w:val="fr-FR"/>
        </w:rPr>
        <w:t xml:space="preserve">. </w:t>
      </w:r>
      <w:r>
        <w:rPr>
          <w:rStyle w:val="hps"/>
          <w:lang w:val="fr-FR"/>
        </w:rPr>
        <w:t>Les catégories de</w:t>
      </w:r>
      <w:r>
        <w:rPr>
          <w:lang w:val="fr-FR"/>
        </w:rPr>
        <w:t xml:space="preserve"> </w:t>
      </w:r>
      <w:r>
        <w:rPr>
          <w:rStyle w:val="hps"/>
          <w:lang w:val="fr-FR"/>
        </w:rPr>
        <w:t>temps</w:t>
      </w:r>
      <w:r>
        <w:rPr>
          <w:lang w:val="fr-FR"/>
        </w:rPr>
        <w:t xml:space="preserve"> </w:t>
      </w:r>
      <w:r>
        <w:rPr>
          <w:rStyle w:val="hps"/>
          <w:lang w:val="fr-FR"/>
        </w:rPr>
        <w:t>proposé</w:t>
      </w:r>
      <w:r>
        <w:rPr>
          <w:rStyle w:val="hps"/>
          <w:lang w:val="fr-FR"/>
        </w:rPr>
        <w:t>e</w:t>
      </w:r>
      <w:r>
        <w:rPr>
          <w:rStyle w:val="hps"/>
          <w:lang w:val="fr-FR"/>
        </w:rPr>
        <w:t>s sont les suivant</w:t>
      </w:r>
      <w:r>
        <w:rPr>
          <w:rStyle w:val="hps"/>
          <w:lang w:val="fr-FR"/>
        </w:rPr>
        <w:t>e</w:t>
      </w:r>
      <w:r>
        <w:rPr>
          <w:rStyle w:val="hps"/>
          <w:lang w:val="fr-FR"/>
        </w:rPr>
        <w:t>s</w:t>
      </w:r>
      <w:r>
        <w:rPr>
          <w:lang w:val="fr-FR"/>
        </w:rPr>
        <w:t xml:space="preserve">: </w:t>
      </w:r>
    </w:p>
    <w:p w:rsidR="005B4D07" w:rsidRDefault="005B4D07" w:rsidP="00F47A4C">
      <w:pPr>
        <w:pStyle w:val="Default"/>
        <w:jc w:val="both"/>
        <w:rPr>
          <w:rStyle w:val="hps"/>
          <w:lang w:val="fr-FR"/>
        </w:rPr>
      </w:pPr>
    </w:p>
    <w:p w:rsidR="005B4D07" w:rsidRDefault="00177267" w:rsidP="00F47A4C">
      <w:pPr>
        <w:pStyle w:val="Default"/>
        <w:jc w:val="both"/>
        <w:rPr>
          <w:lang w:val="fr-FR"/>
        </w:rPr>
      </w:pPr>
      <w:r>
        <w:rPr>
          <w:rStyle w:val="hps"/>
          <w:lang w:val="fr-FR"/>
        </w:rPr>
        <w:t>[</w:t>
      </w:r>
      <w:r w:rsidR="0061058A">
        <w:rPr>
          <w:lang w:val="fr-FR"/>
        </w:rPr>
        <w:t>S]:</w:t>
      </w:r>
      <w:r w:rsidR="005B4D07">
        <w:rPr>
          <w:lang w:val="fr-FR"/>
        </w:rPr>
        <w:t xml:space="preserve"> </w:t>
      </w:r>
      <w:r>
        <w:rPr>
          <w:lang w:val="fr-FR"/>
        </w:rPr>
        <w:t xml:space="preserve">Court terme </w:t>
      </w:r>
      <w:r>
        <w:rPr>
          <w:rStyle w:val="hps"/>
          <w:lang w:val="fr-FR"/>
        </w:rPr>
        <w:t>-</w:t>
      </w:r>
      <w:r>
        <w:rPr>
          <w:lang w:val="fr-FR"/>
        </w:rPr>
        <w:t xml:space="preserve"> </w:t>
      </w:r>
      <w:r>
        <w:rPr>
          <w:rStyle w:val="hps"/>
          <w:lang w:val="fr-FR"/>
        </w:rPr>
        <w:t>Actions</w:t>
      </w:r>
      <w:r>
        <w:rPr>
          <w:lang w:val="fr-FR"/>
        </w:rPr>
        <w:t xml:space="preserve"> </w:t>
      </w:r>
      <w:r>
        <w:rPr>
          <w:rStyle w:val="hps"/>
          <w:lang w:val="fr-FR"/>
        </w:rPr>
        <w:t>devant être effectué</w:t>
      </w:r>
      <w:r w:rsidR="00B321C7">
        <w:rPr>
          <w:rStyle w:val="hps"/>
          <w:lang w:val="fr-FR"/>
        </w:rPr>
        <w:t>es</w:t>
      </w:r>
      <w:r>
        <w:rPr>
          <w:rStyle w:val="hps"/>
          <w:lang w:val="fr-FR"/>
        </w:rPr>
        <w:t xml:space="preserve"> dans</w:t>
      </w:r>
      <w:r>
        <w:rPr>
          <w:lang w:val="fr-FR"/>
        </w:rPr>
        <w:t xml:space="preserve"> </w:t>
      </w:r>
      <w:r>
        <w:rPr>
          <w:rStyle w:val="hps"/>
          <w:lang w:val="fr-FR"/>
        </w:rPr>
        <w:t>un</w:t>
      </w:r>
      <w:r>
        <w:rPr>
          <w:lang w:val="fr-FR"/>
        </w:rPr>
        <w:t xml:space="preserve"> </w:t>
      </w:r>
      <w:r>
        <w:rPr>
          <w:rStyle w:val="hps"/>
          <w:lang w:val="fr-FR"/>
        </w:rPr>
        <w:t>triennat</w:t>
      </w:r>
      <w:r>
        <w:rPr>
          <w:lang w:val="fr-FR"/>
        </w:rPr>
        <w:t xml:space="preserve"> </w:t>
      </w:r>
    </w:p>
    <w:p w:rsidR="005B4D07" w:rsidRDefault="00177267" w:rsidP="00F47A4C">
      <w:pPr>
        <w:pStyle w:val="Default"/>
        <w:jc w:val="both"/>
        <w:rPr>
          <w:lang w:val="fr-FR"/>
        </w:rPr>
      </w:pPr>
      <w:r>
        <w:rPr>
          <w:rStyle w:val="hps"/>
          <w:lang w:val="fr-FR"/>
        </w:rPr>
        <w:t>[</w:t>
      </w:r>
      <w:r>
        <w:rPr>
          <w:lang w:val="fr-FR"/>
        </w:rPr>
        <w:t xml:space="preserve">M]: </w:t>
      </w:r>
      <w:r>
        <w:rPr>
          <w:rStyle w:val="hps"/>
          <w:lang w:val="fr-FR"/>
        </w:rPr>
        <w:t>Moyen terme -</w:t>
      </w:r>
      <w:r>
        <w:rPr>
          <w:lang w:val="fr-FR"/>
        </w:rPr>
        <w:t xml:space="preserve"> </w:t>
      </w:r>
      <w:r>
        <w:rPr>
          <w:rStyle w:val="hps"/>
          <w:lang w:val="fr-FR"/>
        </w:rPr>
        <w:t>Actions</w:t>
      </w:r>
      <w:r>
        <w:rPr>
          <w:lang w:val="fr-FR"/>
        </w:rPr>
        <w:t xml:space="preserve"> </w:t>
      </w:r>
      <w:r w:rsidR="00B321C7">
        <w:rPr>
          <w:rStyle w:val="hps"/>
          <w:lang w:val="fr-FR"/>
        </w:rPr>
        <w:t>devant</w:t>
      </w:r>
      <w:r>
        <w:rPr>
          <w:lang w:val="fr-FR"/>
        </w:rPr>
        <w:t xml:space="preserve"> </w:t>
      </w:r>
      <w:r>
        <w:rPr>
          <w:rStyle w:val="hps"/>
          <w:lang w:val="fr-FR"/>
        </w:rPr>
        <w:t>être achevé</w:t>
      </w:r>
      <w:r w:rsidR="00B321C7">
        <w:rPr>
          <w:rStyle w:val="hps"/>
          <w:lang w:val="fr-FR"/>
        </w:rPr>
        <w:t xml:space="preserve">es dans </w:t>
      </w:r>
      <w:r>
        <w:rPr>
          <w:rStyle w:val="hps"/>
          <w:lang w:val="fr-FR"/>
        </w:rPr>
        <w:t>deux périodes triennales</w:t>
      </w:r>
      <w:r>
        <w:rPr>
          <w:lang w:val="fr-FR"/>
        </w:rPr>
        <w:t xml:space="preserve"> </w:t>
      </w:r>
    </w:p>
    <w:p w:rsidR="005B4D07" w:rsidRDefault="00177267" w:rsidP="0061058A">
      <w:pPr>
        <w:pStyle w:val="Default"/>
        <w:jc w:val="both"/>
        <w:rPr>
          <w:lang w:val="fr-FR"/>
        </w:rPr>
      </w:pPr>
      <w:r>
        <w:rPr>
          <w:rStyle w:val="hps"/>
          <w:lang w:val="fr-FR"/>
        </w:rPr>
        <w:t>[</w:t>
      </w:r>
      <w:r>
        <w:rPr>
          <w:lang w:val="fr-FR"/>
        </w:rPr>
        <w:t xml:space="preserve">L]: </w:t>
      </w:r>
      <w:r w:rsidR="005B4D07">
        <w:rPr>
          <w:rStyle w:val="hps"/>
          <w:lang w:val="fr-FR"/>
        </w:rPr>
        <w:t>P</w:t>
      </w:r>
      <w:r>
        <w:rPr>
          <w:rStyle w:val="hps"/>
          <w:lang w:val="fr-FR"/>
        </w:rPr>
        <w:t>lus long terme</w:t>
      </w:r>
      <w:r>
        <w:rPr>
          <w:lang w:val="fr-FR"/>
        </w:rPr>
        <w:t xml:space="preserve"> </w:t>
      </w:r>
      <w:r>
        <w:rPr>
          <w:rStyle w:val="hps"/>
          <w:lang w:val="fr-FR"/>
        </w:rPr>
        <w:t>-</w:t>
      </w:r>
      <w:r>
        <w:rPr>
          <w:lang w:val="fr-FR"/>
        </w:rPr>
        <w:t xml:space="preserve"> </w:t>
      </w:r>
      <w:r>
        <w:rPr>
          <w:rStyle w:val="hps"/>
          <w:lang w:val="fr-FR"/>
        </w:rPr>
        <w:t>Actions</w:t>
      </w:r>
      <w:r>
        <w:rPr>
          <w:lang w:val="fr-FR"/>
        </w:rPr>
        <w:t xml:space="preserve"> </w:t>
      </w:r>
      <w:r w:rsidR="00B321C7">
        <w:rPr>
          <w:lang w:val="fr-FR"/>
        </w:rPr>
        <w:t>devant</w:t>
      </w:r>
      <w:r>
        <w:rPr>
          <w:lang w:val="fr-FR"/>
        </w:rPr>
        <w:t xml:space="preserve"> </w:t>
      </w:r>
      <w:r>
        <w:rPr>
          <w:rStyle w:val="hps"/>
          <w:lang w:val="fr-FR"/>
        </w:rPr>
        <w:t>être achevé</w:t>
      </w:r>
      <w:r w:rsidR="00B321C7">
        <w:rPr>
          <w:rStyle w:val="hps"/>
          <w:lang w:val="fr-FR"/>
        </w:rPr>
        <w:t>es</w:t>
      </w:r>
      <w:r>
        <w:rPr>
          <w:rStyle w:val="hps"/>
          <w:lang w:val="fr-FR"/>
        </w:rPr>
        <w:t xml:space="preserve"> dans </w:t>
      </w:r>
      <w:r w:rsidR="00B321C7">
        <w:rPr>
          <w:rStyle w:val="hps"/>
          <w:lang w:val="fr-FR"/>
        </w:rPr>
        <w:t xml:space="preserve">un délai de </w:t>
      </w:r>
      <w:r>
        <w:rPr>
          <w:rStyle w:val="hps"/>
          <w:lang w:val="fr-FR"/>
        </w:rPr>
        <w:t>trois</w:t>
      </w:r>
      <w:r>
        <w:rPr>
          <w:lang w:val="fr-FR"/>
        </w:rPr>
        <w:t xml:space="preserve"> </w:t>
      </w:r>
      <w:r>
        <w:rPr>
          <w:rStyle w:val="hps"/>
          <w:lang w:val="fr-FR"/>
        </w:rPr>
        <w:t>périodes triennales</w:t>
      </w:r>
      <w:r w:rsidR="0061058A">
        <w:rPr>
          <w:rStyle w:val="hps"/>
          <w:lang w:val="fr-FR"/>
        </w:rPr>
        <w:br/>
      </w:r>
      <w:r>
        <w:rPr>
          <w:lang w:val="fr-FR"/>
        </w:rPr>
        <w:t xml:space="preserve"> </w:t>
      </w:r>
      <w:r w:rsidR="0061058A">
        <w:rPr>
          <w:lang w:val="fr-FR"/>
        </w:rPr>
        <w:t xml:space="preserve">                                     </w:t>
      </w:r>
      <w:bookmarkStart w:id="0" w:name="_GoBack"/>
      <w:bookmarkEnd w:id="0"/>
      <w:r>
        <w:rPr>
          <w:rStyle w:val="hps"/>
          <w:lang w:val="fr-FR"/>
        </w:rPr>
        <w:t>ou</w:t>
      </w:r>
      <w:r>
        <w:rPr>
          <w:lang w:val="fr-FR"/>
        </w:rPr>
        <w:t xml:space="preserve"> </w:t>
      </w:r>
      <w:r w:rsidR="00B321C7">
        <w:rPr>
          <w:rStyle w:val="hps"/>
          <w:lang w:val="fr-FR"/>
        </w:rPr>
        <w:t>plus</w:t>
      </w:r>
      <w:r w:rsidR="005B4D07">
        <w:rPr>
          <w:rStyle w:val="hps"/>
          <w:lang w:val="fr-FR"/>
        </w:rPr>
        <w:t>.</w:t>
      </w:r>
    </w:p>
    <w:p w:rsidR="005B4D07" w:rsidRDefault="005B4D07" w:rsidP="00F47A4C">
      <w:pPr>
        <w:pStyle w:val="Default"/>
        <w:jc w:val="both"/>
        <w:rPr>
          <w:lang w:val="fr-FR"/>
        </w:rPr>
      </w:pPr>
    </w:p>
    <w:p w:rsidR="00F47A4C" w:rsidRPr="00A10862" w:rsidRDefault="00B321C7" w:rsidP="00F47A4C">
      <w:pPr>
        <w:pStyle w:val="Default"/>
        <w:jc w:val="both"/>
        <w:rPr>
          <w:lang w:val="fr-FR"/>
        </w:rPr>
      </w:pPr>
      <w:r>
        <w:rPr>
          <w:rStyle w:val="hps"/>
          <w:lang w:val="fr-FR"/>
        </w:rPr>
        <w:t>Les a</w:t>
      </w:r>
      <w:r w:rsidR="00177267">
        <w:rPr>
          <w:rStyle w:val="hps"/>
          <w:lang w:val="fr-FR"/>
        </w:rPr>
        <w:t>ctions</w:t>
      </w:r>
      <w:r w:rsidR="00177267">
        <w:rPr>
          <w:lang w:val="fr-FR"/>
        </w:rPr>
        <w:t xml:space="preserve"> </w:t>
      </w:r>
      <w:r w:rsidR="00177267">
        <w:rPr>
          <w:rStyle w:val="hps"/>
          <w:lang w:val="fr-FR"/>
        </w:rPr>
        <w:t>à compléter</w:t>
      </w:r>
      <w:r w:rsidR="00177267">
        <w:rPr>
          <w:lang w:val="fr-FR"/>
        </w:rPr>
        <w:t xml:space="preserve"> </w:t>
      </w:r>
      <w:r w:rsidR="00177267">
        <w:rPr>
          <w:rStyle w:val="hps"/>
          <w:lang w:val="fr-FR"/>
        </w:rPr>
        <w:t>à moyen</w:t>
      </w:r>
      <w:r w:rsidR="00177267">
        <w:rPr>
          <w:lang w:val="fr-FR"/>
        </w:rPr>
        <w:t xml:space="preserve"> </w:t>
      </w:r>
      <w:r w:rsidR="00177267">
        <w:rPr>
          <w:rStyle w:val="hps"/>
          <w:lang w:val="fr-FR"/>
        </w:rPr>
        <w:t>ou à long terme</w:t>
      </w:r>
      <w:r w:rsidR="00177267">
        <w:rPr>
          <w:lang w:val="fr-FR"/>
        </w:rPr>
        <w:t xml:space="preserve"> </w:t>
      </w:r>
      <w:r w:rsidR="00177267">
        <w:rPr>
          <w:rStyle w:val="hps"/>
          <w:lang w:val="fr-FR"/>
        </w:rPr>
        <w:t>devraient</w:t>
      </w:r>
      <w:r w:rsidR="00177267">
        <w:rPr>
          <w:lang w:val="fr-FR"/>
        </w:rPr>
        <w:t xml:space="preserve"> </w:t>
      </w:r>
      <w:r w:rsidR="00177267">
        <w:rPr>
          <w:rStyle w:val="hps"/>
          <w:lang w:val="fr-FR"/>
        </w:rPr>
        <w:t>être lancées</w:t>
      </w:r>
      <w:r w:rsidR="00177267">
        <w:rPr>
          <w:lang w:val="fr-FR"/>
        </w:rPr>
        <w:t xml:space="preserve"> </w:t>
      </w:r>
      <w:r w:rsidR="00177267">
        <w:rPr>
          <w:rStyle w:val="hps"/>
          <w:lang w:val="fr-FR"/>
        </w:rPr>
        <w:t>dès que possible</w:t>
      </w:r>
      <w:r w:rsidR="00177267">
        <w:rPr>
          <w:lang w:val="fr-FR"/>
        </w:rPr>
        <w:t>, le cas échéant.</w:t>
      </w:r>
    </w:p>
    <w:p w:rsidR="00F47A4C" w:rsidRDefault="00F47A4C" w:rsidP="00F47A4C">
      <w:pPr>
        <w:pStyle w:val="Default"/>
        <w:jc w:val="both"/>
        <w:rPr>
          <w:lang w:val="fr-FR"/>
        </w:rPr>
      </w:pPr>
    </w:p>
    <w:p w:rsidR="00B321C7" w:rsidRPr="00A10862" w:rsidRDefault="00B321C7" w:rsidP="00F47A4C">
      <w:pPr>
        <w:pStyle w:val="Default"/>
        <w:jc w:val="both"/>
        <w:rPr>
          <w:lang w:val="fr-FR"/>
        </w:rPr>
      </w:pPr>
    </w:p>
    <w:p w:rsidR="00F47A4C" w:rsidRPr="00A10862" w:rsidRDefault="00F47A4C" w:rsidP="00F47A4C">
      <w:pPr>
        <w:pStyle w:val="Default"/>
        <w:jc w:val="both"/>
        <w:rPr>
          <w:b/>
          <w:u w:val="single"/>
          <w:lang w:val="fr-FR"/>
        </w:rPr>
      </w:pPr>
      <w:r w:rsidRPr="00A10862">
        <w:rPr>
          <w:b/>
          <w:u w:val="single"/>
          <w:lang w:val="fr-FR"/>
        </w:rPr>
        <w:t>Mesures visant à faciliter l’adaptation des espèces face au changement climatique</w:t>
      </w:r>
    </w:p>
    <w:p w:rsidR="00F47A4C" w:rsidRPr="00A10862" w:rsidRDefault="00F47A4C" w:rsidP="00F47A4C">
      <w:pPr>
        <w:pStyle w:val="Default"/>
        <w:jc w:val="both"/>
        <w:rPr>
          <w:b/>
          <w:lang w:val="fr-FR"/>
        </w:rPr>
      </w:pPr>
    </w:p>
    <w:p w:rsidR="00F47A4C" w:rsidRPr="00A10862" w:rsidRDefault="00F47A4C" w:rsidP="00F47A4C">
      <w:pPr>
        <w:pStyle w:val="Default"/>
        <w:numPr>
          <w:ilvl w:val="0"/>
          <w:numId w:val="22"/>
        </w:numPr>
        <w:adjustRightInd w:val="0"/>
        <w:ind w:hanging="720"/>
        <w:jc w:val="both"/>
        <w:rPr>
          <w:lang w:val="fr-FR"/>
        </w:rPr>
      </w:pPr>
      <w:r w:rsidRPr="00A10862">
        <w:rPr>
          <w:lang w:val="fr-FR"/>
        </w:rPr>
        <w:t xml:space="preserve">Préparer des plans d’action pour les espèces inscrites à l’Annexe I considérées comme étant les plus vulnérables au changement climatique </w:t>
      </w:r>
      <w:r w:rsidRPr="00A10862">
        <w:rPr>
          <w:i/>
          <w:lang w:val="fr-FR"/>
        </w:rPr>
        <w:t>(Parties</w:t>
      </w:r>
      <w:r>
        <w:rPr>
          <w:i/>
          <w:lang w:val="fr-FR"/>
        </w:rPr>
        <w:t>,</w:t>
      </w:r>
      <w:r w:rsidRPr="00A10862">
        <w:rPr>
          <w:i/>
          <w:lang w:val="fr-FR"/>
        </w:rPr>
        <w:t xml:space="preserve"> Conseil scientifique, organisations internationales, intergouvernementales et autres </w:t>
      </w:r>
      <w:r>
        <w:rPr>
          <w:i/>
          <w:lang w:val="fr-FR"/>
        </w:rPr>
        <w:t xml:space="preserve">organisations </w:t>
      </w:r>
      <w:r w:rsidRPr="00A10862">
        <w:rPr>
          <w:i/>
          <w:lang w:val="fr-FR"/>
        </w:rPr>
        <w:t>compétentes).</w:t>
      </w:r>
      <w:r w:rsidRPr="00A10862">
        <w:rPr>
          <w:lang w:val="fr-FR"/>
        </w:rPr>
        <w:t xml:space="preserve"> Les plans d’action devraient être exécutés au niveau approprié (des espèces ou de l’unité de gestion), mais des mesures pourraient aussi être appliquées au niveau national. Pour les espèces déjà couvertes par des instruments de la CMS, ces plans d’action devraient être élaborés dans le cadre de ces instruments. Pour les autres espèces, les États de l’aire de répartition devraient collaborer à la préparation de plans d’action à une échelle appropriée.</w:t>
      </w:r>
      <w:r w:rsidR="005B4D07">
        <w:rPr>
          <w:lang w:val="fr-FR"/>
        </w:rPr>
        <w:t xml:space="preserve"> </w:t>
      </w:r>
      <w:r w:rsidR="00B321C7">
        <w:rPr>
          <w:lang w:val="fr-FR"/>
        </w:rPr>
        <w:t>[M]</w:t>
      </w:r>
    </w:p>
    <w:p w:rsidR="00F47A4C" w:rsidRPr="00A10862" w:rsidRDefault="00F47A4C" w:rsidP="00F47A4C">
      <w:pPr>
        <w:pStyle w:val="Default"/>
        <w:numPr>
          <w:ilvl w:val="0"/>
          <w:numId w:val="22"/>
        </w:numPr>
        <w:adjustRightInd w:val="0"/>
        <w:ind w:hanging="720"/>
        <w:jc w:val="both"/>
        <w:rPr>
          <w:lang w:val="fr-FR"/>
        </w:rPr>
      </w:pPr>
      <w:r w:rsidRPr="00A10862">
        <w:rPr>
          <w:lang w:val="fr-FR"/>
        </w:rPr>
        <w:t xml:space="preserve">Améliorer la résilience au changement climatique des espèces migratrices et de leurs habitats et garantir la disponibilité d’habitats tout au long du cycle </w:t>
      </w:r>
      <w:r>
        <w:rPr>
          <w:lang w:val="fr-FR"/>
        </w:rPr>
        <w:t>de vie</w:t>
      </w:r>
      <w:r w:rsidRPr="00A10862">
        <w:rPr>
          <w:lang w:val="fr-FR"/>
        </w:rPr>
        <w:t xml:space="preserve"> des espèces, aujourd’hui et dans l’avenir, notamment, par le biais des actions suivantes:</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 xml:space="preserve">Identifier et hiérarchiser les zones subissant actuellement les effets rapides du changement climatique qui sont importants pour les espèces migratrices </w:t>
      </w:r>
      <w:r w:rsidRPr="00A10862">
        <w:rPr>
          <w:i/>
          <w:lang w:val="fr-FR"/>
        </w:rPr>
        <w:t>(Parties, communauté scientifique et acteurs de la conservation)</w:t>
      </w:r>
      <w:r w:rsidRPr="00A10862">
        <w:rPr>
          <w:lang w:val="fr-FR"/>
        </w:rPr>
        <w:t>;</w:t>
      </w:r>
      <w:r w:rsidR="00B321C7">
        <w:rPr>
          <w:lang w:val="fr-FR"/>
        </w:rPr>
        <w:t>[S]</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Garantir que les sites individuels sont suffisamment vastes et comportent une gamme d’habitats et</w:t>
      </w:r>
      <w:r>
        <w:rPr>
          <w:lang w:val="fr-FR"/>
        </w:rPr>
        <w:t xml:space="preserve"> de topographies</w:t>
      </w:r>
      <w:r w:rsidRPr="00A10862">
        <w:rPr>
          <w:lang w:val="fr-FR"/>
        </w:rPr>
        <w:t xml:space="preserve"> </w:t>
      </w:r>
      <w:r w:rsidRPr="00A10862">
        <w:rPr>
          <w:i/>
          <w:lang w:val="fr-FR"/>
        </w:rPr>
        <w:t>(Parties, communauté scientifique et acteurs de la conservation)</w:t>
      </w:r>
      <w:r w:rsidRPr="00A10862">
        <w:rPr>
          <w:lang w:val="fr-FR"/>
        </w:rPr>
        <w:t>;</w:t>
      </w:r>
      <w:r w:rsidR="00B321C7">
        <w:rPr>
          <w:lang w:val="fr-FR"/>
        </w:rPr>
        <w:t>[L]</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 xml:space="preserve">Assurer une connectivité physique et écologique entre les sites, facilitant la dispersion et la colonisation des espèces en cas de déplacements des aires de répartition </w:t>
      </w:r>
      <w:r w:rsidRPr="00A10862">
        <w:rPr>
          <w:i/>
          <w:lang w:val="fr-FR"/>
        </w:rPr>
        <w:t>(Parties, communauté scientifique et acteurs de la conservation</w:t>
      </w:r>
      <w:r w:rsidRPr="00A10862">
        <w:rPr>
          <w:lang w:val="fr-FR"/>
        </w:rPr>
        <w:t>);</w:t>
      </w:r>
      <w:r w:rsidR="00B321C7">
        <w:rPr>
          <w:lang w:val="fr-FR"/>
        </w:rPr>
        <w:t>[L]</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 xml:space="preserve">Envisager de désigner des aires protégées saisonnières ou d’appliquer des restrictions à l’utilisation des terres dans les zones où les espèces migratrices sont présentes à des stades critiques de leur cycle biologique et bénéficieraient de cette protection </w:t>
      </w:r>
      <w:r w:rsidRPr="00A10862">
        <w:rPr>
          <w:i/>
          <w:lang w:val="fr-FR"/>
        </w:rPr>
        <w:t>(Parties, communauté scientifique, organisations internationales, intergouvernementales et autres organisations compétentes)</w:t>
      </w:r>
      <w:r w:rsidRPr="00A10862">
        <w:rPr>
          <w:lang w:val="fr-FR"/>
        </w:rPr>
        <w:t>;</w:t>
      </w:r>
      <w:r w:rsidR="00B321C7">
        <w:rPr>
          <w:lang w:val="fr-FR"/>
        </w:rPr>
        <w:t>[M]</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 xml:space="preserve">Mettre en place des mesures de gestion spécifiques pour éliminer, contrecarrer ou compenser les effets néfastes du changement climatique et d’autres menaces potentielles qui pourraient interagir avec le changement climatique ou l’exacerber </w:t>
      </w:r>
      <w:r w:rsidRPr="00A10862">
        <w:rPr>
          <w:i/>
          <w:lang w:val="fr-FR"/>
        </w:rPr>
        <w:t>(Parties, communauté scientifique et acteurs de la conservation)</w:t>
      </w:r>
      <w:r w:rsidRPr="00A10862">
        <w:rPr>
          <w:lang w:val="fr-FR"/>
        </w:rPr>
        <w:t>;</w:t>
      </w:r>
      <w:r w:rsidR="00B321C7">
        <w:rPr>
          <w:lang w:val="fr-FR"/>
        </w:rPr>
        <w:t>[S]</w:t>
      </w:r>
    </w:p>
    <w:p w:rsidR="00F47A4C" w:rsidRPr="003A1C14" w:rsidRDefault="00F47A4C" w:rsidP="00A409EE">
      <w:pPr>
        <w:pStyle w:val="Default"/>
        <w:numPr>
          <w:ilvl w:val="1"/>
          <w:numId w:val="22"/>
        </w:numPr>
        <w:adjustRightInd w:val="0"/>
        <w:ind w:left="1134" w:hanging="425"/>
        <w:jc w:val="both"/>
        <w:rPr>
          <w:lang w:val="fr-FR"/>
        </w:rPr>
      </w:pPr>
      <w:r w:rsidRPr="00A10862">
        <w:rPr>
          <w:lang w:val="fr-FR"/>
        </w:rPr>
        <w:t xml:space="preserve">Envisager d’étendre les réseaux d’aires protégées existants afin de couvrir les lieux d’escale et les sites importants pour une éventuelle colonisation, et </w:t>
      </w:r>
      <w:r w:rsidR="00B321C7">
        <w:rPr>
          <w:lang w:val="fr-FR"/>
        </w:rPr>
        <w:t>garantir l</w:t>
      </w:r>
      <w:r w:rsidR="003A1C14">
        <w:rPr>
          <w:lang w:val="fr-FR"/>
        </w:rPr>
        <w:t>a protection efficace</w:t>
      </w:r>
      <w:r w:rsidR="00B321C7">
        <w:rPr>
          <w:lang w:val="fr-FR"/>
        </w:rPr>
        <w:t xml:space="preserve"> et la gestion appropriée des sites pour maintenir ou </w:t>
      </w:r>
      <w:r w:rsidRPr="00A10862">
        <w:rPr>
          <w:lang w:val="fr-FR"/>
        </w:rPr>
        <w:t xml:space="preserve">augmenter la résistance des populations vulnérables aux événements </w:t>
      </w:r>
      <w:r>
        <w:rPr>
          <w:lang w:val="fr-FR"/>
        </w:rPr>
        <w:t xml:space="preserve">extrêmes </w:t>
      </w:r>
      <w:r w:rsidRPr="00A10862">
        <w:rPr>
          <w:lang w:val="fr-FR"/>
        </w:rPr>
        <w:t xml:space="preserve">stochastiques. </w:t>
      </w:r>
      <w:r w:rsidR="003A1C14">
        <w:rPr>
          <w:lang w:val="fr-FR"/>
        </w:rPr>
        <w:t>Assurer</w:t>
      </w:r>
      <w:r w:rsidR="00B321C7">
        <w:rPr>
          <w:lang w:val="fr-FR"/>
        </w:rPr>
        <w:t xml:space="preserve"> </w:t>
      </w:r>
      <w:r w:rsidR="003A1C14">
        <w:rPr>
          <w:lang w:val="fr-FR"/>
        </w:rPr>
        <w:t xml:space="preserve">une surveillance efficace du réseau de sites afin de détecter les menaces et d’agir en cas de détérioration de la qualité d’un site en mettant en œuvre des mesures spécifiques </w:t>
      </w:r>
      <w:r w:rsidR="003A1C14" w:rsidRPr="003A1C14">
        <w:rPr>
          <w:rStyle w:val="hps"/>
          <w:lang w:val="fr-FR"/>
        </w:rPr>
        <w:t>pour</w:t>
      </w:r>
      <w:r w:rsidR="003A1C14" w:rsidRPr="003A1C14">
        <w:rPr>
          <w:lang w:val="fr-FR"/>
        </w:rPr>
        <w:t xml:space="preserve"> </w:t>
      </w:r>
      <w:r w:rsidR="003A1C14" w:rsidRPr="003A1C14">
        <w:rPr>
          <w:rStyle w:val="hps"/>
          <w:lang w:val="fr-FR"/>
        </w:rPr>
        <w:t>lutter contre les menaces</w:t>
      </w:r>
      <w:r w:rsidR="003A1C14" w:rsidRPr="003A1C14">
        <w:rPr>
          <w:lang w:val="fr-FR"/>
        </w:rPr>
        <w:t xml:space="preserve"> </w:t>
      </w:r>
      <w:r w:rsidR="003A1C14" w:rsidRPr="003A1C14">
        <w:rPr>
          <w:rStyle w:val="hps"/>
          <w:lang w:val="fr-FR"/>
        </w:rPr>
        <w:t>importantes</w:t>
      </w:r>
      <w:r w:rsidR="003A1C14" w:rsidRPr="003A1C14">
        <w:rPr>
          <w:lang w:val="fr-FR"/>
        </w:rPr>
        <w:t xml:space="preserve"> </w:t>
      </w:r>
      <w:r w:rsidR="003A1C14" w:rsidRPr="003A1C14">
        <w:rPr>
          <w:rStyle w:val="hps"/>
          <w:lang w:val="fr-FR"/>
        </w:rPr>
        <w:t>pour</w:t>
      </w:r>
      <w:r w:rsidR="003A1C14" w:rsidRPr="003A1C14">
        <w:rPr>
          <w:lang w:val="fr-FR"/>
        </w:rPr>
        <w:t xml:space="preserve"> </w:t>
      </w:r>
      <w:r w:rsidR="003A1C14" w:rsidRPr="003A1C14">
        <w:rPr>
          <w:rStyle w:val="hps"/>
          <w:lang w:val="fr-FR"/>
        </w:rPr>
        <w:t>les sites</w:t>
      </w:r>
      <w:r w:rsidR="003A1C14" w:rsidRPr="003A1C14">
        <w:rPr>
          <w:lang w:val="fr-FR"/>
        </w:rPr>
        <w:t>.</w:t>
      </w:r>
      <w:r w:rsidR="003A1C14">
        <w:rPr>
          <w:lang w:val="fr-FR"/>
        </w:rPr>
        <w:t xml:space="preserve"> </w:t>
      </w:r>
      <w:r w:rsidRPr="003A1C14">
        <w:rPr>
          <w:lang w:val="fr-FR"/>
        </w:rPr>
        <w:t xml:space="preserve">Cela pourrait comprendre l’augmentation  du nombre et de la </w:t>
      </w:r>
      <w:r w:rsidRPr="003A1C14">
        <w:rPr>
          <w:lang w:val="fr-FR"/>
        </w:rPr>
        <w:lastRenderedPageBreak/>
        <w:t xml:space="preserve">superficie des sites protégés </w:t>
      </w:r>
      <w:r w:rsidRPr="00A409EE">
        <w:rPr>
          <w:i/>
          <w:lang w:val="fr-FR"/>
        </w:rPr>
        <w:t>(Parties, communauté scientifique, organisations internationales, intergouvernementales et autres organisations compétentes, y compris les acteurs de la conservation)</w:t>
      </w:r>
      <w:r w:rsidRPr="00A409EE">
        <w:rPr>
          <w:lang w:val="fr-FR"/>
        </w:rPr>
        <w:t>;</w:t>
      </w:r>
      <w:r w:rsidR="003A1C14">
        <w:rPr>
          <w:lang w:val="fr-FR"/>
        </w:rPr>
        <w:t>[M]</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 xml:space="preserve">Intégrer des aires protégées dans des paysages terrestres et marins plus vastes, veiller à ce que des méthodes de gestion adéquates soient appliquées </w:t>
      </w:r>
      <w:r>
        <w:rPr>
          <w:lang w:val="fr-FR"/>
        </w:rPr>
        <w:t>sur une plus grande échelle</w:t>
      </w:r>
      <w:r w:rsidRPr="00A10862">
        <w:rPr>
          <w:lang w:val="fr-FR"/>
        </w:rPr>
        <w:t xml:space="preserve"> et entreprendre la restauration  des habitats et paysages terrestres et marins dégradés </w:t>
      </w:r>
      <w:r w:rsidRPr="00A10862">
        <w:rPr>
          <w:i/>
          <w:lang w:val="fr-FR"/>
        </w:rPr>
        <w:t>(Parties, communauté scientifique et acteurs de la conservation)</w:t>
      </w:r>
      <w:r w:rsidRPr="00A10862">
        <w:rPr>
          <w:lang w:val="fr-FR"/>
        </w:rPr>
        <w:t>;</w:t>
      </w:r>
      <w:r w:rsidR="003A1C14">
        <w:rPr>
          <w:lang w:val="fr-FR"/>
        </w:rPr>
        <w:t>(L)</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Établir</w:t>
      </w:r>
      <w:r w:rsidR="003A1C14">
        <w:rPr>
          <w:lang w:val="fr-FR"/>
        </w:rPr>
        <w:t>,</w:t>
      </w:r>
      <w:r w:rsidRPr="00A10862">
        <w:rPr>
          <w:lang w:val="fr-FR"/>
        </w:rPr>
        <w:t xml:space="preserve"> maintenir </w:t>
      </w:r>
      <w:r w:rsidR="003A1C14">
        <w:rPr>
          <w:lang w:val="fr-FR"/>
        </w:rPr>
        <w:t xml:space="preserve">et </w:t>
      </w:r>
      <w:r w:rsidR="00243405">
        <w:rPr>
          <w:lang w:val="fr-FR"/>
        </w:rPr>
        <w:t>revoir</w:t>
      </w:r>
      <w:r w:rsidR="003A1C14">
        <w:rPr>
          <w:lang w:val="fr-FR"/>
        </w:rPr>
        <w:t xml:space="preserve"> régulièrement</w:t>
      </w:r>
      <w:r w:rsidR="00243405">
        <w:rPr>
          <w:lang w:val="fr-FR"/>
        </w:rPr>
        <w:t xml:space="preserve"> </w:t>
      </w:r>
      <w:r w:rsidRPr="00A10862">
        <w:rPr>
          <w:lang w:val="fr-FR"/>
        </w:rPr>
        <w:t>un inventaire complet, inter</w:t>
      </w:r>
      <w:r>
        <w:rPr>
          <w:lang w:val="fr-FR"/>
        </w:rPr>
        <w:t xml:space="preserve">gouvernemental  </w:t>
      </w:r>
      <w:r w:rsidRPr="00A10862">
        <w:rPr>
          <w:lang w:val="fr-FR"/>
        </w:rPr>
        <w:t xml:space="preserve">des aires actuellement protégées et proposer des aires protégées hautement prioritaires afin de coordonner les efforts de conservation futurs </w:t>
      </w:r>
      <w:r w:rsidRPr="00A10862">
        <w:rPr>
          <w:i/>
          <w:lang w:val="fr-FR"/>
        </w:rPr>
        <w:t>(Parties, communauté scientifique et acteurs de la conservation)</w:t>
      </w:r>
      <w:r w:rsidRPr="00A10862">
        <w:rPr>
          <w:lang w:val="fr-FR"/>
        </w:rPr>
        <w:t>;</w:t>
      </w:r>
      <w:r w:rsidR="00243405">
        <w:rPr>
          <w:lang w:val="fr-FR"/>
        </w:rPr>
        <w:t>[S]</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 xml:space="preserve">Coopérer en ce qui concerne les aires et les populations protégées transfrontières, en faisant en sorte que les obstacles à la migration soient dans toute la mesure du possible éliminés ou réduits et que les espèces migratrices soient gérées selon des </w:t>
      </w:r>
      <w:r w:rsidR="00243405">
        <w:rPr>
          <w:lang w:val="fr-FR"/>
        </w:rPr>
        <w:t>lignes directrices</w:t>
      </w:r>
      <w:r w:rsidRPr="00A10862">
        <w:rPr>
          <w:lang w:val="fr-FR"/>
        </w:rPr>
        <w:t xml:space="preserve"> </w:t>
      </w:r>
      <w:r w:rsidR="00243405">
        <w:rPr>
          <w:lang w:val="fr-FR"/>
        </w:rPr>
        <w:t>arrêtées</w:t>
      </w:r>
      <w:r w:rsidR="005B4D07">
        <w:rPr>
          <w:lang w:val="fr-FR"/>
        </w:rPr>
        <w:t xml:space="preserve"> </w:t>
      </w:r>
      <w:r w:rsidRPr="00A10862">
        <w:rPr>
          <w:lang w:val="fr-FR"/>
        </w:rPr>
        <w:t xml:space="preserve">d’un commun accord. Le cas échéant, cela pourrait être réalisé dans le  cadre des instruments de la CMS applicables </w:t>
      </w:r>
      <w:r w:rsidRPr="00A10862">
        <w:rPr>
          <w:i/>
          <w:lang w:val="fr-FR"/>
        </w:rPr>
        <w:t>(Parties, communauté scientifique, organisations internationales, intergouvernementales et autres organisations compétentes)</w:t>
      </w:r>
      <w:r w:rsidRPr="00A10862">
        <w:rPr>
          <w:lang w:val="fr-FR"/>
        </w:rPr>
        <w:t>;</w:t>
      </w:r>
      <w:r w:rsidR="00243405">
        <w:rPr>
          <w:lang w:val="fr-FR"/>
        </w:rPr>
        <w:t>[S]</w:t>
      </w:r>
      <w:r w:rsidRPr="00A10862">
        <w:rPr>
          <w:lang w:val="fr-FR"/>
        </w:rPr>
        <w:t xml:space="preserve"> et</w:t>
      </w:r>
    </w:p>
    <w:p w:rsidR="00F47A4C" w:rsidRPr="00A10862" w:rsidRDefault="00F47A4C" w:rsidP="00F47A4C">
      <w:pPr>
        <w:pStyle w:val="Default"/>
        <w:numPr>
          <w:ilvl w:val="1"/>
          <w:numId w:val="22"/>
        </w:numPr>
        <w:adjustRightInd w:val="0"/>
        <w:ind w:left="1134" w:hanging="425"/>
        <w:jc w:val="both"/>
        <w:rPr>
          <w:lang w:val="fr-FR"/>
        </w:rPr>
      </w:pPr>
      <w:r w:rsidRPr="00A10862">
        <w:rPr>
          <w:lang w:val="fr-FR"/>
        </w:rPr>
        <w:t xml:space="preserve">Identifier les espèces migratrices qui ont des besoins de connectivité particuliers – celles qui </w:t>
      </w:r>
      <w:r>
        <w:rPr>
          <w:lang w:val="fr-FR"/>
        </w:rPr>
        <w:t xml:space="preserve">ont </w:t>
      </w:r>
      <w:r w:rsidRPr="00A10862">
        <w:rPr>
          <w:lang w:val="fr-FR"/>
        </w:rPr>
        <w:t xml:space="preserve">peu de ressources, peu d’aires ou </w:t>
      </w:r>
      <w:r>
        <w:rPr>
          <w:lang w:val="fr-FR"/>
        </w:rPr>
        <w:t>une faible capacité de</w:t>
      </w:r>
      <w:r w:rsidRPr="00A10862">
        <w:rPr>
          <w:lang w:val="fr-FR"/>
        </w:rPr>
        <w:t xml:space="preserve"> dispersion </w:t>
      </w:r>
      <w:r w:rsidRPr="00A10862">
        <w:rPr>
          <w:i/>
          <w:lang w:val="fr-FR"/>
        </w:rPr>
        <w:t>(Parties, communauté scientifique et acteurs de la conservation)</w:t>
      </w:r>
      <w:r w:rsidRPr="00A10862">
        <w:rPr>
          <w:lang w:val="fr-FR"/>
        </w:rPr>
        <w:t>;</w:t>
      </w:r>
      <w:r w:rsidR="00243405">
        <w:rPr>
          <w:lang w:val="fr-FR"/>
        </w:rPr>
        <w:t>[S]</w:t>
      </w:r>
    </w:p>
    <w:p w:rsidR="00F47A4C" w:rsidRPr="00A10862" w:rsidRDefault="00F47A4C" w:rsidP="00F47A4C">
      <w:pPr>
        <w:pStyle w:val="Default"/>
        <w:numPr>
          <w:ilvl w:val="0"/>
          <w:numId w:val="23"/>
        </w:numPr>
        <w:adjustRightInd w:val="0"/>
        <w:ind w:hanging="720"/>
        <w:jc w:val="both"/>
        <w:rPr>
          <w:lang w:val="fr-FR"/>
        </w:rPr>
      </w:pPr>
      <w:r w:rsidRPr="00A10862">
        <w:rPr>
          <w:lang w:val="fr-FR"/>
        </w:rPr>
        <w:t xml:space="preserve">Envisager des mesures </w:t>
      </w:r>
      <w:r w:rsidRPr="00A10862">
        <w:rPr>
          <w:i/>
          <w:lang w:val="fr-FR"/>
        </w:rPr>
        <w:t>ex situ</w:t>
      </w:r>
      <w:r w:rsidRPr="00A10862">
        <w:rPr>
          <w:lang w:val="fr-FR"/>
        </w:rPr>
        <w:t xml:space="preserve"> et une colonisation, notamment le transfert, selon le cas, des espèces migratrices les plus gravement menacées par le changement climatique en tenant compte de la nécessité de réduire au minimum les risques potentiels de conséquences écologiques </w:t>
      </w:r>
      <w:r>
        <w:rPr>
          <w:lang w:val="fr-FR"/>
        </w:rPr>
        <w:t>non intentionnelles</w:t>
      </w:r>
      <w:r w:rsidRPr="00A10862">
        <w:rPr>
          <w:lang w:val="fr-FR"/>
        </w:rPr>
        <w:t xml:space="preserve">, en conformité avec la Décision X/33 de la COP de la CDB sur la diversité </w:t>
      </w:r>
      <w:r>
        <w:rPr>
          <w:lang w:val="fr-FR"/>
        </w:rPr>
        <w:t>biologique et</w:t>
      </w:r>
      <w:r w:rsidRPr="00A10862">
        <w:rPr>
          <w:lang w:val="fr-FR"/>
        </w:rPr>
        <w:t xml:space="preserve"> le</w:t>
      </w:r>
      <w:r>
        <w:rPr>
          <w:lang w:val="fr-FR"/>
        </w:rPr>
        <w:t>s</w:t>
      </w:r>
      <w:r w:rsidRPr="00A10862">
        <w:rPr>
          <w:lang w:val="fr-FR"/>
        </w:rPr>
        <w:t xml:space="preserve"> changement</w:t>
      </w:r>
      <w:r>
        <w:rPr>
          <w:lang w:val="fr-FR"/>
        </w:rPr>
        <w:t>s</w:t>
      </w:r>
      <w:r w:rsidRPr="00A10862">
        <w:rPr>
          <w:lang w:val="fr-FR"/>
        </w:rPr>
        <w:t xml:space="preserve"> climatique</w:t>
      </w:r>
      <w:r>
        <w:rPr>
          <w:lang w:val="fr-FR"/>
        </w:rPr>
        <w:t>s</w:t>
      </w:r>
      <w:r w:rsidRPr="00A10862">
        <w:rPr>
          <w:lang w:val="fr-FR"/>
        </w:rPr>
        <w:t>, par. 8</w:t>
      </w:r>
      <w:r w:rsidR="005B4D07">
        <w:rPr>
          <w:lang w:val="fr-FR"/>
        </w:rPr>
        <w:t>(</w:t>
      </w:r>
      <w:r w:rsidRPr="00A10862">
        <w:rPr>
          <w:lang w:val="fr-FR"/>
        </w:rPr>
        <w:t xml:space="preserve">e) </w:t>
      </w:r>
      <w:r w:rsidRPr="00A10862">
        <w:rPr>
          <w:i/>
          <w:lang w:val="fr-FR"/>
        </w:rPr>
        <w:t>(Parties, Conseil scientifique et acteurs de la conservation)</w:t>
      </w:r>
      <w:proofErr w:type="gramStart"/>
      <w:r w:rsidRPr="00A10862">
        <w:rPr>
          <w:i/>
          <w:lang w:val="fr-FR"/>
        </w:rPr>
        <w:t>.</w:t>
      </w:r>
      <w:r w:rsidR="00243405">
        <w:rPr>
          <w:i/>
          <w:lang w:val="fr-FR"/>
        </w:rPr>
        <w:t>[</w:t>
      </w:r>
      <w:proofErr w:type="gramEnd"/>
      <w:r w:rsidR="00243405">
        <w:rPr>
          <w:i/>
          <w:lang w:val="fr-FR"/>
        </w:rPr>
        <w:t>L]</w:t>
      </w:r>
    </w:p>
    <w:p w:rsidR="00F47A4C" w:rsidRPr="00A10862" w:rsidRDefault="00F47A4C" w:rsidP="00F47A4C">
      <w:pPr>
        <w:pStyle w:val="Default"/>
        <w:numPr>
          <w:ilvl w:val="0"/>
          <w:numId w:val="23"/>
        </w:numPr>
        <w:adjustRightInd w:val="0"/>
        <w:ind w:hanging="720"/>
        <w:jc w:val="both"/>
        <w:rPr>
          <w:lang w:val="fr-FR"/>
        </w:rPr>
      </w:pPr>
      <w:r w:rsidRPr="00A10862">
        <w:rPr>
          <w:lang w:val="fr-FR"/>
        </w:rPr>
        <w:t xml:space="preserve">Contrôler périodiquement l’efficacité des mesures de conservation afin de guider les efforts en cours et appliquer des mesures d’adaptation appropriées, selon qu’il convient </w:t>
      </w:r>
      <w:r w:rsidRPr="00A10862">
        <w:rPr>
          <w:i/>
          <w:lang w:val="fr-FR"/>
        </w:rPr>
        <w:t>(Parties et communauté scientifique)</w:t>
      </w:r>
      <w:proofErr w:type="gramStart"/>
      <w:r w:rsidRPr="00A10862">
        <w:rPr>
          <w:lang w:val="fr-FR"/>
        </w:rPr>
        <w:t>.</w:t>
      </w:r>
      <w:r w:rsidR="00243405">
        <w:rPr>
          <w:lang w:val="fr-FR"/>
        </w:rPr>
        <w:t>[</w:t>
      </w:r>
      <w:proofErr w:type="gramEnd"/>
      <w:r w:rsidR="00243405">
        <w:rPr>
          <w:lang w:val="fr-FR"/>
        </w:rPr>
        <w:t>M]</w:t>
      </w:r>
    </w:p>
    <w:p w:rsidR="00F47A4C" w:rsidRPr="00A10862" w:rsidRDefault="00F47A4C" w:rsidP="00F47A4C">
      <w:pPr>
        <w:jc w:val="both"/>
        <w:rPr>
          <w:b/>
          <w:lang w:val="fr-FR"/>
        </w:rPr>
      </w:pPr>
    </w:p>
    <w:p w:rsidR="00F47A4C" w:rsidRPr="00A10862" w:rsidRDefault="00F47A4C" w:rsidP="00F47A4C">
      <w:pPr>
        <w:jc w:val="both"/>
        <w:rPr>
          <w:b/>
          <w:lang w:val="fr-FR"/>
        </w:rPr>
      </w:pPr>
    </w:p>
    <w:p w:rsidR="00F47A4C" w:rsidRPr="00A10862" w:rsidRDefault="00F47A4C" w:rsidP="00F47A4C">
      <w:pPr>
        <w:jc w:val="both"/>
        <w:rPr>
          <w:b/>
          <w:u w:val="single"/>
          <w:lang w:val="en-GB"/>
        </w:rPr>
      </w:pPr>
      <w:proofErr w:type="spellStart"/>
      <w:r w:rsidRPr="00A10862">
        <w:rPr>
          <w:b/>
          <w:u w:val="single"/>
          <w:lang w:val="en-GB"/>
        </w:rPr>
        <w:t>Évaluation</w:t>
      </w:r>
      <w:proofErr w:type="spellEnd"/>
      <w:r w:rsidRPr="00A10862">
        <w:rPr>
          <w:b/>
          <w:u w:val="single"/>
          <w:lang w:val="en-GB"/>
        </w:rPr>
        <w:t xml:space="preserve"> de la </w:t>
      </w:r>
      <w:proofErr w:type="spellStart"/>
      <w:r w:rsidRPr="00A10862">
        <w:rPr>
          <w:b/>
          <w:u w:val="single"/>
          <w:lang w:val="en-GB"/>
        </w:rPr>
        <w:t>vulnérabilité</w:t>
      </w:r>
      <w:proofErr w:type="spellEnd"/>
    </w:p>
    <w:p w:rsidR="00F47A4C" w:rsidRPr="00A10862" w:rsidRDefault="00F47A4C" w:rsidP="00F47A4C">
      <w:pPr>
        <w:jc w:val="both"/>
        <w:rPr>
          <w:b/>
          <w:u w:val="single"/>
          <w:lang w:val="en-GB"/>
        </w:rPr>
      </w:pPr>
    </w:p>
    <w:p w:rsidR="00F47A4C" w:rsidRPr="00A10862" w:rsidRDefault="00F47A4C" w:rsidP="00F47A4C">
      <w:pPr>
        <w:pStyle w:val="Default"/>
        <w:numPr>
          <w:ilvl w:val="0"/>
          <w:numId w:val="20"/>
        </w:numPr>
        <w:adjustRightInd w:val="0"/>
        <w:ind w:hanging="720"/>
        <w:jc w:val="both"/>
        <w:rPr>
          <w:lang w:val="fr-FR"/>
        </w:rPr>
      </w:pPr>
      <w:r w:rsidRPr="00A10862">
        <w:rPr>
          <w:lang w:val="fr-FR"/>
        </w:rPr>
        <w:t>Identifier et promouvoir une méthode standard pour évaluer la vulnérabilité des espèces au changement climatique qui comprend l</w:t>
      </w:r>
      <w:r>
        <w:rPr>
          <w:lang w:val="fr-FR"/>
        </w:rPr>
        <w:t>’ensemble du cycle de vie</w:t>
      </w:r>
      <w:r w:rsidRPr="00A10862">
        <w:rPr>
          <w:lang w:val="fr-FR"/>
        </w:rPr>
        <w:t xml:space="preserve"> des espèces concernées. Cela pourrait nécessiter la mise au point et la communication de nouveaux outils selon le cas </w:t>
      </w:r>
      <w:r w:rsidRPr="00A10862">
        <w:rPr>
          <w:i/>
          <w:lang w:val="fr-FR"/>
        </w:rPr>
        <w:t>(Parties, Conseil scientifique, communauté scientifique, organisations internationales, intergouvernementales et au</w:t>
      </w:r>
      <w:r w:rsidR="005B4D07">
        <w:rPr>
          <w:i/>
          <w:lang w:val="fr-FR"/>
        </w:rPr>
        <w:t>tres organisations compétentes)</w:t>
      </w:r>
      <w:proofErr w:type="gramStart"/>
      <w:r w:rsidR="005B4D07">
        <w:rPr>
          <w:i/>
          <w:lang w:val="fr-FR"/>
        </w:rPr>
        <w:t>.</w:t>
      </w:r>
      <w:r w:rsidR="00243405">
        <w:rPr>
          <w:i/>
          <w:lang w:val="fr-FR"/>
        </w:rPr>
        <w:t>[</w:t>
      </w:r>
      <w:proofErr w:type="gramEnd"/>
      <w:r w:rsidR="00243405">
        <w:rPr>
          <w:i/>
          <w:lang w:val="fr-FR"/>
        </w:rPr>
        <w:t>S]</w:t>
      </w:r>
    </w:p>
    <w:p w:rsidR="00F47A4C" w:rsidRPr="00A10862" w:rsidRDefault="00F47A4C" w:rsidP="00F47A4C">
      <w:pPr>
        <w:pStyle w:val="Default"/>
        <w:numPr>
          <w:ilvl w:val="0"/>
          <w:numId w:val="20"/>
        </w:numPr>
        <w:adjustRightInd w:val="0"/>
        <w:ind w:hanging="720"/>
        <w:jc w:val="both"/>
        <w:rPr>
          <w:lang w:val="fr-FR"/>
        </w:rPr>
      </w:pPr>
      <w:r w:rsidRPr="00A10862">
        <w:rPr>
          <w:lang w:val="fr-FR"/>
        </w:rPr>
        <w:t xml:space="preserve">Entreprendre des évaluations de la vulnérabilité des espèces inscrites aux Annexes I et II à un niveau approprié (par exemple, régional) </w:t>
      </w:r>
      <w:r>
        <w:rPr>
          <w:lang w:val="fr-FR"/>
        </w:rPr>
        <w:t xml:space="preserve">à titre de </w:t>
      </w:r>
      <w:r w:rsidRPr="00A10862">
        <w:rPr>
          <w:lang w:val="fr-FR"/>
        </w:rPr>
        <w:t xml:space="preserve">première priorité </w:t>
      </w:r>
      <w:r w:rsidRPr="00A10862">
        <w:rPr>
          <w:i/>
          <w:lang w:val="fr-FR"/>
        </w:rPr>
        <w:t>(Parties, communauté scientifique, organisations internationales, intergouvernementales et autres organisations compétentes)</w:t>
      </w:r>
      <w:proofErr w:type="gramStart"/>
      <w:r w:rsidRPr="00A10862">
        <w:rPr>
          <w:lang w:val="fr-FR"/>
        </w:rPr>
        <w:t>.</w:t>
      </w:r>
      <w:r w:rsidR="00243405">
        <w:rPr>
          <w:lang w:val="fr-FR"/>
        </w:rPr>
        <w:t>[</w:t>
      </w:r>
      <w:proofErr w:type="gramEnd"/>
      <w:r w:rsidR="00243405">
        <w:rPr>
          <w:lang w:val="fr-FR"/>
        </w:rPr>
        <w:t>S]</w:t>
      </w:r>
    </w:p>
    <w:p w:rsidR="00F47A4C" w:rsidRPr="00A10862" w:rsidRDefault="00F47A4C" w:rsidP="00F47A4C">
      <w:pPr>
        <w:pStyle w:val="Default"/>
        <w:numPr>
          <w:ilvl w:val="0"/>
          <w:numId w:val="20"/>
        </w:numPr>
        <w:adjustRightInd w:val="0"/>
        <w:ind w:hanging="720"/>
        <w:jc w:val="both"/>
        <w:rPr>
          <w:lang w:val="fr-FR"/>
        </w:rPr>
      </w:pPr>
      <w:r w:rsidRPr="00A10862">
        <w:rPr>
          <w:lang w:val="fr-FR"/>
        </w:rPr>
        <w:t xml:space="preserve">Une fois ces évaluations achevées, procéder à des évaluations de la vulnérabilité au changement climatique d’autres espèces migratrices afin de repérer celles qui sont les plus sensibles à ce changement climatique </w:t>
      </w:r>
      <w:r w:rsidRPr="00A10862">
        <w:rPr>
          <w:i/>
          <w:lang w:val="fr-FR"/>
        </w:rPr>
        <w:t>(Parties, communauté scientifique, organisations internationales, intergouvernementales et autres organisations compétentes)</w:t>
      </w:r>
      <w:proofErr w:type="gramStart"/>
      <w:r w:rsidRPr="00A10862">
        <w:rPr>
          <w:lang w:val="fr-FR"/>
        </w:rPr>
        <w:t>.</w:t>
      </w:r>
      <w:r w:rsidR="00243405">
        <w:rPr>
          <w:lang w:val="fr-FR"/>
        </w:rPr>
        <w:t>[</w:t>
      </w:r>
      <w:proofErr w:type="gramEnd"/>
      <w:r w:rsidR="00243405">
        <w:rPr>
          <w:lang w:val="fr-FR"/>
        </w:rPr>
        <w:t>M]</w:t>
      </w:r>
    </w:p>
    <w:p w:rsidR="00F47A4C" w:rsidRPr="00A10862" w:rsidRDefault="00F47A4C" w:rsidP="00F47A4C">
      <w:pPr>
        <w:pStyle w:val="Default"/>
        <w:numPr>
          <w:ilvl w:val="0"/>
          <w:numId w:val="20"/>
        </w:numPr>
        <w:adjustRightInd w:val="0"/>
        <w:ind w:hanging="720"/>
        <w:jc w:val="both"/>
        <w:rPr>
          <w:lang w:val="fr-FR"/>
        </w:rPr>
      </w:pPr>
      <w:r w:rsidRPr="00A10862">
        <w:rPr>
          <w:lang w:val="fr-FR"/>
        </w:rPr>
        <w:lastRenderedPageBreak/>
        <w:t>Déterminer quelles espèces vulnérables au changement climatique devraient être inscrites aux Annexes de la CMS ou bien re</w:t>
      </w:r>
      <w:r>
        <w:rPr>
          <w:lang w:val="fr-FR"/>
        </w:rPr>
        <w:t>qualifiées</w:t>
      </w:r>
      <w:r w:rsidRPr="00A10862">
        <w:rPr>
          <w:lang w:val="fr-FR"/>
        </w:rPr>
        <w:t xml:space="preserve">, selon le cas </w:t>
      </w:r>
      <w:r w:rsidRPr="00A10862">
        <w:rPr>
          <w:i/>
          <w:lang w:val="fr-FR"/>
        </w:rPr>
        <w:t>(Parties)</w:t>
      </w:r>
      <w:proofErr w:type="gramStart"/>
      <w:r w:rsidRPr="00A10862">
        <w:rPr>
          <w:lang w:val="fr-FR"/>
        </w:rPr>
        <w:t>.</w:t>
      </w:r>
      <w:r w:rsidR="00243405">
        <w:rPr>
          <w:lang w:val="fr-FR"/>
        </w:rPr>
        <w:t>[</w:t>
      </w:r>
      <w:proofErr w:type="gramEnd"/>
      <w:r w:rsidR="00243405">
        <w:rPr>
          <w:lang w:val="fr-FR"/>
        </w:rPr>
        <w:t>S]</w:t>
      </w:r>
    </w:p>
    <w:p w:rsidR="00F47A4C" w:rsidRPr="00A10862" w:rsidRDefault="00F47A4C" w:rsidP="00F47A4C">
      <w:pPr>
        <w:pStyle w:val="Default"/>
        <w:jc w:val="both"/>
        <w:rPr>
          <w:lang w:val="fr-FR"/>
        </w:rPr>
      </w:pPr>
    </w:p>
    <w:p w:rsidR="00F47A4C" w:rsidRPr="00A10862" w:rsidRDefault="00F47A4C" w:rsidP="00F47A4C">
      <w:pPr>
        <w:pStyle w:val="Default"/>
        <w:jc w:val="both"/>
        <w:rPr>
          <w:lang w:val="fr-FR"/>
        </w:rPr>
      </w:pPr>
    </w:p>
    <w:p w:rsidR="00F47A4C" w:rsidRPr="00A10862" w:rsidRDefault="00F47A4C" w:rsidP="00F47A4C">
      <w:pPr>
        <w:pStyle w:val="Default"/>
        <w:jc w:val="both"/>
        <w:rPr>
          <w:b/>
          <w:u w:val="single"/>
        </w:rPr>
      </w:pPr>
      <w:proofErr w:type="spellStart"/>
      <w:r w:rsidRPr="00A10862">
        <w:rPr>
          <w:b/>
          <w:u w:val="single"/>
        </w:rPr>
        <w:t>Suivi</w:t>
      </w:r>
      <w:proofErr w:type="spellEnd"/>
      <w:r w:rsidRPr="00A10862">
        <w:rPr>
          <w:b/>
          <w:u w:val="single"/>
        </w:rPr>
        <w:t xml:space="preserve"> </w:t>
      </w:r>
      <w:proofErr w:type="gramStart"/>
      <w:r w:rsidRPr="00A10862">
        <w:rPr>
          <w:b/>
          <w:u w:val="single"/>
        </w:rPr>
        <w:t>et</w:t>
      </w:r>
      <w:proofErr w:type="gramEnd"/>
      <w:r w:rsidRPr="00A10862">
        <w:rPr>
          <w:b/>
          <w:u w:val="single"/>
        </w:rPr>
        <w:t xml:space="preserve"> </w:t>
      </w:r>
      <w:proofErr w:type="spellStart"/>
      <w:r w:rsidRPr="00A10862">
        <w:rPr>
          <w:b/>
          <w:u w:val="single"/>
        </w:rPr>
        <w:t>recherche</w:t>
      </w:r>
      <w:proofErr w:type="spellEnd"/>
    </w:p>
    <w:p w:rsidR="00F47A4C" w:rsidRPr="00A10862" w:rsidRDefault="00F47A4C" w:rsidP="00F47A4C">
      <w:pPr>
        <w:pStyle w:val="Default"/>
        <w:jc w:val="both"/>
        <w:rPr>
          <w:b/>
        </w:rPr>
      </w:pPr>
    </w:p>
    <w:p w:rsidR="00F47A4C" w:rsidRPr="00A10862" w:rsidRDefault="00F47A4C" w:rsidP="00F47A4C">
      <w:pPr>
        <w:pStyle w:val="Default"/>
        <w:numPr>
          <w:ilvl w:val="0"/>
          <w:numId w:val="21"/>
        </w:numPr>
        <w:adjustRightInd w:val="0"/>
        <w:ind w:hanging="720"/>
        <w:jc w:val="both"/>
        <w:rPr>
          <w:lang w:val="fr-FR"/>
        </w:rPr>
      </w:pPr>
      <w:r w:rsidRPr="00A10862">
        <w:rPr>
          <w:lang w:val="fr-FR"/>
        </w:rPr>
        <w:t xml:space="preserve">Coordonner les activités de recherche et de suivi en rapport avec les impacts du changement climatique menées au sein de la Famille CMS </w:t>
      </w:r>
      <w:r w:rsidRPr="00A10862">
        <w:rPr>
          <w:i/>
          <w:lang w:val="fr-FR"/>
        </w:rPr>
        <w:t>(Parties / Signataires des instruments de la CMS)</w:t>
      </w:r>
      <w:proofErr w:type="gramStart"/>
      <w:r w:rsidRPr="00A10862">
        <w:rPr>
          <w:lang w:val="fr-FR"/>
        </w:rPr>
        <w:t>.</w:t>
      </w:r>
      <w:r w:rsidR="00243405">
        <w:rPr>
          <w:lang w:val="fr-FR"/>
        </w:rPr>
        <w:t>[</w:t>
      </w:r>
      <w:proofErr w:type="gramEnd"/>
      <w:r w:rsidR="00243405">
        <w:rPr>
          <w:lang w:val="fr-FR"/>
        </w:rPr>
        <w:t>S]</w:t>
      </w:r>
    </w:p>
    <w:p w:rsidR="00F47A4C" w:rsidRPr="00A10862" w:rsidRDefault="00F47A4C" w:rsidP="00F47A4C">
      <w:pPr>
        <w:pStyle w:val="Default"/>
        <w:numPr>
          <w:ilvl w:val="0"/>
          <w:numId w:val="21"/>
        </w:numPr>
        <w:adjustRightInd w:val="0"/>
        <w:ind w:hanging="720"/>
        <w:jc w:val="both"/>
        <w:rPr>
          <w:lang w:val="fr-FR"/>
        </w:rPr>
      </w:pPr>
      <w:r w:rsidRPr="00A10862">
        <w:rPr>
          <w:lang w:val="fr-FR"/>
        </w:rPr>
        <w:t xml:space="preserve">Entreprendre des recherches sur le statut, les tendances, la répartition et l’écologie des espèces migratrices. Il faudra détecter les lacunes dans les connaissances et éventuellement utiliser et perfectionner les technologies et outils existants (par exemple, la télédétection), en mettre au point de nouveaux, promouvoir les sciences citoyennes et </w:t>
      </w:r>
      <w:r>
        <w:rPr>
          <w:lang w:val="fr-FR"/>
        </w:rPr>
        <w:t xml:space="preserve">assurer </w:t>
      </w:r>
      <w:r w:rsidRPr="00A10862">
        <w:rPr>
          <w:lang w:val="fr-FR"/>
        </w:rPr>
        <w:t xml:space="preserve">la coordination ainsi que l’échange de connaissances afin d’améliorer les capacités </w:t>
      </w:r>
      <w:r w:rsidRPr="00A10862">
        <w:rPr>
          <w:i/>
          <w:lang w:val="fr-FR"/>
        </w:rPr>
        <w:t>(Parties, communauté scientifique)</w:t>
      </w:r>
      <w:proofErr w:type="gramStart"/>
      <w:r w:rsidRPr="00A10862">
        <w:rPr>
          <w:i/>
          <w:lang w:val="fr-FR"/>
        </w:rPr>
        <w:t>.</w:t>
      </w:r>
      <w:r w:rsidR="00243405">
        <w:rPr>
          <w:i/>
          <w:lang w:val="fr-FR"/>
        </w:rPr>
        <w:t>[</w:t>
      </w:r>
      <w:proofErr w:type="gramEnd"/>
      <w:r w:rsidR="00243405">
        <w:rPr>
          <w:i/>
          <w:lang w:val="fr-FR"/>
        </w:rPr>
        <w:t>S]</w:t>
      </w:r>
    </w:p>
    <w:p w:rsidR="00F47A4C" w:rsidRPr="00A10862" w:rsidRDefault="00243405" w:rsidP="00F47A4C">
      <w:pPr>
        <w:pStyle w:val="Default"/>
        <w:numPr>
          <w:ilvl w:val="0"/>
          <w:numId w:val="21"/>
        </w:numPr>
        <w:adjustRightInd w:val="0"/>
        <w:ind w:hanging="720"/>
        <w:jc w:val="both"/>
      </w:pPr>
      <w:r>
        <w:rPr>
          <w:lang w:val="fr-FR"/>
        </w:rPr>
        <w:t>Chercher à comprendre</w:t>
      </w:r>
      <w:r w:rsidR="00F47A4C" w:rsidRPr="00A10862">
        <w:rPr>
          <w:lang w:val="fr-FR"/>
        </w:rPr>
        <w:t xml:space="preserve"> les voies de migration</w:t>
      </w:r>
      <w:r>
        <w:rPr>
          <w:lang w:val="fr-FR"/>
        </w:rPr>
        <w:t>, comment elles changent</w:t>
      </w:r>
      <w:r w:rsidR="00F47A4C" w:rsidRPr="00A10862">
        <w:rPr>
          <w:lang w:val="fr-FR"/>
        </w:rPr>
        <w:t xml:space="preserve"> (par ex. en utilisant </w:t>
      </w:r>
      <w:r w:rsidR="002D7C02">
        <w:rPr>
          <w:lang w:val="fr-FR"/>
        </w:rPr>
        <w:t xml:space="preserve">les contrôles existants des oiseaux bagués et  </w:t>
      </w:r>
      <w:r w:rsidR="00F47A4C" w:rsidRPr="00A10862">
        <w:rPr>
          <w:lang w:val="fr-FR"/>
        </w:rPr>
        <w:t xml:space="preserve">les nouvelles techniques de </w:t>
      </w:r>
      <w:r w:rsidR="00F47A4C">
        <w:rPr>
          <w:lang w:val="fr-FR"/>
        </w:rPr>
        <w:t>pistage</w:t>
      </w:r>
      <w:r w:rsidR="00F47A4C" w:rsidRPr="00A10862">
        <w:t xml:space="preserve">) et la </w:t>
      </w:r>
      <w:proofErr w:type="spellStart"/>
      <w:r w:rsidR="00F47A4C" w:rsidRPr="00A10862">
        <w:t>connectivité</w:t>
      </w:r>
      <w:proofErr w:type="spellEnd"/>
      <w:r w:rsidR="00F47A4C" w:rsidRPr="00A10862">
        <w:t xml:space="preserve"> entre les populations (par ex. à </w:t>
      </w:r>
      <w:proofErr w:type="spellStart"/>
      <w:r w:rsidR="00F47A4C" w:rsidRPr="00A10862">
        <w:t>l’aide</w:t>
      </w:r>
      <w:proofErr w:type="spellEnd"/>
      <w:r w:rsidR="00F47A4C" w:rsidRPr="00A10862">
        <w:t xml:space="preserve"> de </w:t>
      </w:r>
      <w:proofErr w:type="spellStart"/>
      <w:r w:rsidR="00F47A4C" w:rsidRPr="00A10862">
        <w:t>méthodes</w:t>
      </w:r>
      <w:proofErr w:type="spellEnd"/>
      <w:r w:rsidR="00F47A4C" w:rsidRPr="00A10862">
        <w:t xml:space="preserve"> </w:t>
      </w:r>
      <w:proofErr w:type="spellStart"/>
      <w:r w:rsidR="00F47A4C" w:rsidRPr="00A10862">
        <w:t>génétiques</w:t>
      </w:r>
      <w:proofErr w:type="spellEnd"/>
      <w:r w:rsidR="00F47A4C" w:rsidRPr="00A10862">
        <w:t xml:space="preserve">) </w:t>
      </w:r>
      <w:proofErr w:type="spellStart"/>
      <w:r w:rsidR="00F47A4C" w:rsidRPr="00A10862">
        <w:t>afin</w:t>
      </w:r>
      <w:proofErr w:type="spellEnd"/>
      <w:r w:rsidR="00F47A4C" w:rsidRPr="00A10862">
        <w:t xml:space="preserve"> </w:t>
      </w:r>
      <w:proofErr w:type="spellStart"/>
      <w:r w:rsidR="00F47A4C" w:rsidRPr="00A10862">
        <w:t>d’identifier</w:t>
      </w:r>
      <w:proofErr w:type="spellEnd"/>
      <w:r w:rsidR="00F47A4C" w:rsidRPr="00A10862">
        <w:t xml:space="preserve"> les sites </w:t>
      </w:r>
      <w:proofErr w:type="spellStart"/>
      <w:r w:rsidR="00F47A4C" w:rsidRPr="00A10862">
        <w:t>clés</w:t>
      </w:r>
      <w:proofErr w:type="spellEnd"/>
      <w:r w:rsidR="00F47A4C" w:rsidRPr="00A10862">
        <w:t xml:space="preserve">, les emplacements et les </w:t>
      </w:r>
      <w:proofErr w:type="spellStart"/>
      <w:r w:rsidR="00F47A4C" w:rsidRPr="00A10862">
        <w:t>unités</w:t>
      </w:r>
      <w:proofErr w:type="spellEnd"/>
      <w:r w:rsidR="00F47A4C" w:rsidRPr="00A10862">
        <w:t xml:space="preserve"> de </w:t>
      </w:r>
      <w:proofErr w:type="spellStart"/>
      <w:r w:rsidR="00F47A4C" w:rsidRPr="00A10862">
        <w:t>gestion</w:t>
      </w:r>
      <w:proofErr w:type="spellEnd"/>
      <w:r w:rsidR="00F47A4C" w:rsidRPr="00A10862">
        <w:t xml:space="preserve"> </w:t>
      </w:r>
      <w:proofErr w:type="spellStart"/>
      <w:r w:rsidR="00F47A4C" w:rsidRPr="00A10862">
        <w:t>appropriées</w:t>
      </w:r>
      <w:proofErr w:type="spellEnd"/>
      <w:r w:rsidR="00F47A4C" w:rsidRPr="00A10862">
        <w:t xml:space="preserve"> pour des </w:t>
      </w:r>
      <w:proofErr w:type="spellStart"/>
      <w:r w:rsidR="00F47A4C" w:rsidRPr="00A10862">
        <w:t>espèces</w:t>
      </w:r>
      <w:proofErr w:type="spellEnd"/>
      <w:r w:rsidR="00F47A4C" w:rsidRPr="00A10862">
        <w:t xml:space="preserve"> </w:t>
      </w:r>
      <w:proofErr w:type="spellStart"/>
      <w:r w:rsidR="00F47A4C" w:rsidRPr="00A10862">
        <w:t>particulières</w:t>
      </w:r>
      <w:proofErr w:type="spellEnd"/>
      <w:r w:rsidR="00F47A4C" w:rsidRPr="00A10862">
        <w:t xml:space="preserve"> (</w:t>
      </w:r>
      <w:r w:rsidR="00F47A4C" w:rsidRPr="00A10862">
        <w:rPr>
          <w:i/>
        </w:rPr>
        <w:t xml:space="preserve">Parties, </w:t>
      </w:r>
      <w:proofErr w:type="spellStart"/>
      <w:r w:rsidR="00F47A4C" w:rsidRPr="00A10862">
        <w:rPr>
          <w:i/>
        </w:rPr>
        <w:t>communauté</w:t>
      </w:r>
      <w:proofErr w:type="spellEnd"/>
      <w:r w:rsidR="00F47A4C" w:rsidRPr="00A10862">
        <w:rPr>
          <w:i/>
        </w:rPr>
        <w:t xml:space="preserve"> </w:t>
      </w:r>
      <w:proofErr w:type="spellStart"/>
      <w:r w:rsidR="00F47A4C" w:rsidRPr="00A10862">
        <w:rPr>
          <w:i/>
        </w:rPr>
        <w:t>scientifique</w:t>
      </w:r>
      <w:proofErr w:type="spellEnd"/>
      <w:r w:rsidR="00F47A4C" w:rsidRPr="00A10862">
        <w:rPr>
          <w:i/>
        </w:rPr>
        <w:t>)</w:t>
      </w:r>
      <w:proofErr w:type="gramStart"/>
      <w:r w:rsidR="00F47A4C" w:rsidRPr="00A10862">
        <w:rPr>
          <w:i/>
        </w:rPr>
        <w:t>.</w:t>
      </w:r>
      <w:r w:rsidR="002D7C02">
        <w:rPr>
          <w:i/>
        </w:rPr>
        <w:t>[</w:t>
      </w:r>
      <w:proofErr w:type="gramEnd"/>
      <w:r w:rsidR="002D7C02">
        <w:rPr>
          <w:i/>
        </w:rPr>
        <w:t>M]</w:t>
      </w:r>
    </w:p>
    <w:p w:rsidR="00F47A4C" w:rsidRPr="00A10862" w:rsidRDefault="00F47A4C" w:rsidP="00F47A4C">
      <w:pPr>
        <w:pStyle w:val="Default"/>
        <w:numPr>
          <w:ilvl w:val="0"/>
          <w:numId w:val="21"/>
        </w:numPr>
        <w:adjustRightInd w:val="0"/>
        <w:ind w:hanging="720"/>
        <w:jc w:val="both"/>
        <w:rPr>
          <w:lang w:val="fr-FR"/>
        </w:rPr>
      </w:pPr>
      <w:r w:rsidRPr="00A10862">
        <w:rPr>
          <w:lang w:val="fr-FR"/>
        </w:rPr>
        <w:t xml:space="preserve">Identifier les zones de reproduction et </w:t>
      </w:r>
      <w:r>
        <w:rPr>
          <w:lang w:val="fr-FR"/>
        </w:rPr>
        <w:t>les lieux d’escale</w:t>
      </w:r>
      <w:r w:rsidRPr="00A10862">
        <w:rPr>
          <w:lang w:val="fr-FR"/>
        </w:rPr>
        <w:t xml:space="preserve"> ainsi que les sites d’hivernage (zones sensibles) pour les espèces migratrices et concentrer la surveillance de l’évolution du climat sur ces emplacements </w:t>
      </w:r>
      <w:r w:rsidRPr="00A10862">
        <w:rPr>
          <w:i/>
          <w:lang w:val="fr-FR"/>
        </w:rPr>
        <w:t>(Parties, communauté scientifique)</w:t>
      </w:r>
      <w:proofErr w:type="gramStart"/>
      <w:r w:rsidRPr="00A10862">
        <w:rPr>
          <w:lang w:val="fr-FR"/>
        </w:rPr>
        <w:t>.</w:t>
      </w:r>
      <w:r w:rsidR="002D7C02">
        <w:rPr>
          <w:lang w:val="fr-FR"/>
        </w:rPr>
        <w:t>[</w:t>
      </w:r>
      <w:proofErr w:type="gramEnd"/>
      <w:r w:rsidR="002D7C02">
        <w:rPr>
          <w:lang w:val="fr-FR"/>
        </w:rPr>
        <w:t>M]</w:t>
      </w:r>
    </w:p>
    <w:p w:rsidR="00F47A4C" w:rsidRDefault="00F47A4C" w:rsidP="00F47A4C">
      <w:pPr>
        <w:pStyle w:val="Default"/>
        <w:numPr>
          <w:ilvl w:val="0"/>
          <w:numId w:val="21"/>
        </w:numPr>
        <w:adjustRightInd w:val="0"/>
        <w:ind w:hanging="720"/>
        <w:jc w:val="both"/>
        <w:rPr>
          <w:lang w:val="fr-FR"/>
        </w:rPr>
      </w:pPr>
      <w:r w:rsidRPr="00A10862">
        <w:rPr>
          <w:lang w:val="fr-FR"/>
        </w:rPr>
        <w:t>Mettre au point et appliquer des systèmes de su</w:t>
      </w:r>
      <w:r>
        <w:rPr>
          <w:lang w:val="fr-FR"/>
        </w:rPr>
        <w:t>rveillance</w:t>
      </w:r>
      <w:r w:rsidRPr="00A10862">
        <w:rPr>
          <w:lang w:val="fr-FR"/>
        </w:rPr>
        <w:t xml:space="preserve"> qui permettent de distinguer les déclins dans les populations des changements dans les aires transfrontières, de </w:t>
      </w:r>
      <w:proofErr w:type="spellStart"/>
      <w:r w:rsidR="002D7C02">
        <w:rPr>
          <w:lang w:val="fr-FR"/>
        </w:rPr>
        <w:t>diagnotisquer</w:t>
      </w:r>
      <w:proofErr w:type="spellEnd"/>
      <w:r w:rsidRPr="00A10862">
        <w:rPr>
          <w:lang w:val="fr-FR"/>
        </w:rPr>
        <w:t xml:space="preserve"> les causes du déclin et d’</w:t>
      </w:r>
      <w:r w:rsidR="002D7C02">
        <w:rPr>
          <w:lang w:val="fr-FR"/>
        </w:rPr>
        <w:t>aider à analyser</w:t>
      </w:r>
      <w:r w:rsidRPr="00A10862">
        <w:rPr>
          <w:lang w:val="fr-FR"/>
        </w:rPr>
        <w:t xml:space="preserve"> l’impact du changement climatique sur les espèces migratrices, notamment à l’aide des mesures suivantes:</w:t>
      </w:r>
    </w:p>
    <w:p w:rsidR="005B4D07" w:rsidRPr="00A10862" w:rsidRDefault="005B4D07" w:rsidP="005B4D07">
      <w:pPr>
        <w:pStyle w:val="Default"/>
        <w:adjustRightInd w:val="0"/>
        <w:ind w:left="720"/>
        <w:jc w:val="both"/>
        <w:rPr>
          <w:lang w:val="fr-FR"/>
        </w:rPr>
      </w:pPr>
    </w:p>
    <w:p w:rsidR="00F47A4C" w:rsidRPr="00A10862" w:rsidRDefault="00F47A4C" w:rsidP="00F47A4C">
      <w:pPr>
        <w:pStyle w:val="Default"/>
        <w:numPr>
          <w:ilvl w:val="0"/>
          <w:numId w:val="24"/>
        </w:numPr>
        <w:adjustRightInd w:val="0"/>
        <w:ind w:left="1134" w:hanging="425"/>
        <w:jc w:val="both"/>
        <w:rPr>
          <w:lang w:val="fr-FR"/>
        </w:rPr>
      </w:pPr>
      <w:r w:rsidRPr="00A10862">
        <w:rPr>
          <w:lang w:val="fr-FR"/>
        </w:rPr>
        <w:t xml:space="preserve">Identifier et mener des recherches sur les impacts du changement climatique sur les espèces migratrices, y compris l’impact sur les habitats et sur les communautés locales (humaines) tributaires des services </w:t>
      </w:r>
      <w:proofErr w:type="spellStart"/>
      <w:r w:rsidRPr="00A10862">
        <w:rPr>
          <w:lang w:val="fr-FR"/>
        </w:rPr>
        <w:t>écosystémiques</w:t>
      </w:r>
      <w:proofErr w:type="spellEnd"/>
      <w:r w:rsidRPr="00A10862">
        <w:rPr>
          <w:lang w:val="fr-FR"/>
        </w:rPr>
        <w:t xml:space="preserve"> fournis par ces espèces. Ces recherches devraient porter sur les impacts </w:t>
      </w:r>
      <w:r>
        <w:rPr>
          <w:lang w:val="fr-FR"/>
        </w:rPr>
        <w:t>tout au long du</w:t>
      </w:r>
      <w:r w:rsidRPr="00A10862">
        <w:rPr>
          <w:lang w:val="fr-FR"/>
        </w:rPr>
        <w:t xml:space="preserve"> cycle de vie des espèces concernées </w:t>
      </w:r>
      <w:r w:rsidRPr="00A10862">
        <w:rPr>
          <w:i/>
          <w:lang w:val="fr-FR"/>
        </w:rPr>
        <w:t>(Communauté scientifique)</w:t>
      </w:r>
      <w:r w:rsidRPr="00A10862">
        <w:rPr>
          <w:lang w:val="fr-FR"/>
        </w:rPr>
        <w:t>;</w:t>
      </w:r>
      <w:r w:rsidR="002D7C02">
        <w:rPr>
          <w:lang w:val="fr-FR"/>
        </w:rPr>
        <w:t>[L]</w:t>
      </w:r>
    </w:p>
    <w:p w:rsidR="00F47A4C" w:rsidRPr="00A10862" w:rsidRDefault="00F47A4C" w:rsidP="00F47A4C">
      <w:pPr>
        <w:pStyle w:val="Default"/>
        <w:numPr>
          <w:ilvl w:val="0"/>
          <w:numId w:val="24"/>
        </w:numPr>
        <w:adjustRightInd w:val="0"/>
        <w:ind w:left="1134" w:hanging="425"/>
        <w:jc w:val="both"/>
        <w:rPr>
          <w:lang w:val="fr-FR"/>
        </w:rPr>
      </w:pPr>
      <w:r w:rsidRPr="00A10862">
        <w:rPr>
          <w:lang w:val="fr-FR"/>
        </w:rPr>
        <w:t xml:space="preserve">Mettre en place une surveillance appropriée de l’étendue et de la qualité des habitats ainsi que de l’abondance des ressources essentielles/ espèces en interaction (par ex. les proies clés ou les principaux prédateurs) afin de détecter les changements, facilitant ainsi les évaluations de la vulnérabilité </w:t>
      </w:r>
      <w:r w:rsidRPr="00A10862">
        <w:rPr>
          <w:i/>
          <w:lang w:val="fr-FR"/>
        </w:rPr>
        <w:t>(Parties, communauté scientifique)</w:t>
      </w:r>
      <w:r w:rsidRPr="00A10862">
        <w:rPr>
          <w:lang w:val="fr-FR"/>
        </w:rPr>
        <w:t>;</w:t>
      </w:r>
      <w:r w:rsidR="002D7C02">
        <w:rPr>
          <w:lang w:val="fr-FR"/>
        </w:rPr>
        <w:t>[M]</w:t>
      </w:r>
    </w:p>
    <w:p w:rsidR="00F47A4C" w:rsidRPr="00A10862" w:rsidRDefault="00F47A4C" w:rsidP="00F47A4C">
      <w:pPr>
        <w:pStyle w:val="Default"/>
        <w:numPr>
          <w:ilvl w:val="0"/>
          <w:numId w:val="24"/>
        </w:numPr>
        <w:adjustRightInd w:val="0"/>
        <w:ind w:left="1134" w:hanging="425"/>
        <w:jc w:val="both"/>
        <w:rPr>
          <w:lang w:val="fr-FR"/>
        </w:rPr>
      </w:pPr>
      <w:r w:rsidRPr="00A10862">
        <w:rPr>
          <w:lang w:val="fr-FR"/>
        </w:rPr>
        <w:t>Établir et réunir des moyens d’assurer le suivi d’autres menaces, pour aider à identifier des menaces synerg</w:t>
      </w:r>
      <w:r>
        <w:rPr>
          <w:lang w:val="fr-FR"/>
        </w:rPr>
        <w:t>iques</w:t>
      </w:r>
      <w:r w:rsidRPr="00A10862">
        <w:rPr>
          <w:lang w:val="fr-FR"/>
        </w:rPr>
        <w:t xml:space="preserve"> et à attribuer correctement les changements observés à l’évolution du climat ou à d’autres causes. Il faudra éventuellement utiliser et perfectionner les technologies et outils existants (par exemple, la télédétection), en mettre au point de nouveaux, promouvoir les sciences citoyennes et </w:t>
      </w:r>
      <w:r>
        <w:rPr>
          <w:lang w:val="fr-FR"/>
        </w:rPr>
        <w:t xml:space="preserve">assurer </w:t>
      </w:r>
      <w:r w:rsidRPr="00A10862">
        <w:rPr>
          <w:lang w:val="fr-FR"/>
        </w:rPr>
        <w:t xml:space="preserve">la coordination et l’échange de connaissances </w:t>
      </w:r>
      <w:r>
        <w:rPr>
          <w:lang w:val="fr-FR"/>
        </w:rPr>
        <w:t>afin d’</w:t>
      </w:r>
      <w:r w:rsidRPr="00A10862">
        <w:rPr>
          <w:lang w:val="fr-FR"/>
        </w:rPr>
        <w:t xml:space="preserve">améliorer les capacités </w:t>
      </w:r>
      <w:r w:rsidRPr="00A10862">
        <w:rPr>
          <w:i/>
          <w:lang w:val="fr-FR"/>
        </w:rPr>
        <w:t>(Parties, communauté scientifique</w:t>
      </w:r>
      <w:proofErr w:type="gramStart"/>
      <w:r w:rsidRPr="00A10862">
        <w:rPr>
          <w:i/>
          <w:lang w:val="fr-FR"/>
        </w:rPr>
        <w:t>)</w:t>
      </w:r>
      <w:r w:rsidR="002D7C02">
        <w:rPr>
          <w:lang w:val="fr-FR"/>
        </w:rPr>
        <w:t>[</w:t>
      </w:r>
      <w:proofErr w:type="gramEnd"/>
      <w:r w:rsidR="002D7C02">
        <w:rPr>
          <w:lang w:val="fr-FR"/>
        </w:rPr>
        <w:t>M]</w:t>
      </w:r>
    </w:p>
    <w:p w:rsidR="00F47A4C" w:rsidRPr="00A10862" w:rsidRDefault="00F47A4C" w:rsidP="00F47A4C">
      <w:pPr>
        <w:pStyle w:val="Default"/>
        <w:numPr>
          <w:ilvl w:val="0"/>
          <w:numId w:val="24"/>
        </w:numPr>
        <w:adjustRightInd w:val="0"/>
        <w:ind w:left="1134" w:hanging="425"/>
        <w:jc w:val="both"/>
        <w:rPr>
          <w:lang w:val="fr-FR"/>
        </w:rPr>
      </w:pPr>
      <w:r w:rsidRPr="00A10862">
        <w:rPr>
          <w:lang w:val="fr-FR"/>
        </w:rPr>
        <w:t xml:space="preserve">S’assurer que la surveillance est maintenue sur le long terme, en utilisant des méthodologies comparatives. Cela nécessitera d’importants échanges de connaissances et la fourniture d’orientations par les pays où ces techniques ont été mises au point </w:t>
      </w:r>
      <w:r w:rsidRPr="00A10862">
        <w:rPr>
          <w:i/>
          <w:lang w:val="fr-FR"/>
        </w:rPr>
        <w:t>(Parties, communauté scientifique, organisations internationales, intergouvernementales</w:t>
      </w:r>
      <w:r>
        <w:rPr>
          <w:i/>
          <w:lang w:val="fr-FR"/>
        </w:rPr>
        <w:t xml:space="preserve"> et</w:t>
      </w:r>
      <w:r w:rsidRPr="00A10862">
        <w:rPr>
          <w:i/>
          <w:lang w:val="fr-FR"/>
        </w:rPr>
        <w:t xml:space="preserve"> autres organisations compétentes)</w:t>
      </w:r>
      <w:r w:rsidRPr="00A10862">
        <w:rPr>
          <w:lang w:val="fr-FR"/>
        </w:rPr>
        <w:t>;</w:t>
      </w:r>
      <w:r w:rsidR="00AE12FE">
        <w:rPr>
          <w:lang w:val="fr-FR"/>
        </w:rPr>
        <w:t>[L]</w:t>
      </w:r>
    </w:p>
    <w:p w:rsidR="00F47A4C" w:rsidRPr="00A10862" w:rsidRDefault="00F47A4C" w:rsidP="00F47A4C">
      <w:pPr>
        <w:pStyle w:val="Default"/>
        <w:numPr>
          <w:ilvl w:val="0"/>
          <w:numId w:val="24"/>
        </w:numPr>
        <w:adjustRightInd w:val="0"/>
        <w:ind w:left="1134" w:hanging="425"/>
        <w:jc w:val="both"/>
        <w:rPr>
          <w:lang w:val="fr-FR"/>
        </w:rPr>
      </w:pPr>
      <w:r w:rsidRPr="00A10862">
        <w:rPr>
          <w:lang w:val="fr-FR"/>
        </w:rPr>
        <w:lastRenderedPageBreak/>
        <w:t>Communiquer et partager les résultats du suivi régulièrement avec les États voisins et d’autres États de l’aire de répartition (</w:t>
      </w:r>
      <w:r w:rsidRPr="00A10862">
        <w:rPr>
          <w:i/>
          <w:lang w:val="fr-FR"/>
        </w:rPr>
        <w:t>Parties, organisations internationales, intergouvernementales et autres organisations compétentes</w:t>
      </w:r>
      <w:r w:rsidRPr="00A10862">
        <w:rPr>
          <w:lang w:val="fr-FR"/>
        </w:rPr>
        <w:t>);</w:t>
      </w:r>
      <w:r w:rsidR="00AE12FE">
        <w:rPr>
          <w:lang w:val="fr-FR"/>
        </w:rPr>
        <w:t>[M]</w:t>
      </w:r>
    </w:p>
    <w:p w:rsidR="00F47A4C" w:rsidRPr="00A10862" w:rsidRDefault="00F47A4C" w:rsidP="00F47A4C">
      <w:pPr>
        <w:pStyle w:val="Default"/>
        <w:numPr>
          <w:ilvl w:val="0"/>
          <w:numId w:val="24"/>
        </w:numPr>
        <w:adjustRightInd w:val="0"/>
        <w:ind w:left="1134" w:hanging="425"/>
        <w:jc w:val="both"/>
        <w:rPr>
          <w:lang w:val="fr-FR"/>
        </w:rPr>
      </w:pPr>
      <w:r w:rsidRPr="00A10862">
        <w:rPr>
          <w:lang w:val="fr-FR"/>
        </w:rPr>
        <w:t xml:space="preserve">Modéliser les impacts futurs prévus du changement climatique pour faciliter les évaluations de la vulnérabilité et les plans d’action </w:t>
      </w:r>
      <w:r w:rsidRPr="00A10862">
        <w:rPr>
          <w:i/>
          <w:lang w:val="fr-FR"/>
        </w:rPr>
        <w:t>(Communauté scientifique)</w:t>
      </w:r>
      <w:r w:rsidR="002E323C">
        <w:rPr>
          <w:i/>
          <w:lang w:val="fr-FR"/>
        </w:rPr>
        <w:t> </w:t>
      </w:r>
      <w:proofErr w:type="gramStart"/>
      <w:r w:rsidR="002E323C">
        <w:rPr>
          <w:i/>
          <w:lang w:val="fr-FR"/>
        </w:rPr>
        <w:t>;</w:t>
      </w:r>
      <w:r w:rsidR="00AE12FE">
        <w:rPr>
          <w:i/>
          <w:lang w:val="fr-FR"/>
        </w:rPr>
        <w:t>[</w:t>
      </w:r>
      <w:proofErr w:type="gramEnd"/>
      <w:r w:rsidR="00AE12FE">
        <w:rPr>
          <w:i/>
          <w:lang w:val="fr-FR"/>
        </w:rPr>
        <w:t>S]</w:t>
      </w:r>
      <w:r w:rsidRPr="00A10862">
        <w:rPr>
          <w:lang w:val="fr-FR"/>
        </w:rPr>
        <w:t>; et</w:t>
      </w:r>
    </w:p>
    <w:p w:rsidR="00F47A4C" w:rsidRPr="00A10862" w:rsidRDefault="00F47A4C" w:rsidP="00F47A4C">
      <w:pPr>
        <w:pStyle w:val="Default"/>
        <w:numPr>
          <w:ilvl w:val="0"/>
          <w:numId w:val="24"/>
        </w:numPr>
        <w:adjustRightInd w:val="0"/>
        <w:ind w:left="1134" w:hanging="425"/>
        <w:jc w:val="both"/>
        <w:rPr>
          <w:b/>
          <w:spacing w:val="-2"/>
          <w:lang w:val="fr-FR"/>
        </w:rPr>
      </w:pPr>
      <w:r w:rsidRPr="00A10862">
        <w:rPr>
          <w:spacing w:val="-2"/>
          <w:lang w:val="fr-FR"/>
        </w:rPr>
        <w:t>Continuer à identifier les espèces indicatrices et/ou les indicateurs composites comme</w:t>
      </w:r>
      <w:r>
        <w:rPr>
          <w:spacing w:val="-2"/>
          <w:lang w:val="fr-FR"/>
        </w:rPr>
        <w:t xml:space="preserve"> moyen de se renseigner sur les</w:t>
      </w:r>
      <w:r w:rsidRPr="00A10862">
        <w:rPr>
          <w:spacing w:val="-2"/>
          <w:lang w:val="fr-FR"/>
        </w:rPr>
        <w:t xml:space="preserve"> regroupements, habitats et écosystèmes plus vastes des espèces migratrices, et faire régulièrement rapport sur l’état de ces indicateurs </w:t>
      </w:r>
      <w:r w:rsidRPr="00A10862">
        <w:rPr>
          <w:i/>
          <w:spacing w:val="-2"/>
          <w:lang w:val="fr-FR"/>
        </w:rPr>
        <w:t>(Communauté scientifique, Parties, ONG)</w:t>
      </w:r>
      <w:r w:rsidRPr="00A10862">
        <w:rPr>
          <w:spacing w:val="-2"/>
          <w:lang w:val="fr-FR"/>
        </w:rPr>
        <w:t>.</w:t>
      </w:r>
      <w:r w:rsidR="00AE12FE">
        <w:rPr>
          <w:spacing w:val="-2"/>
          <w:lang w:val="fr-FR"/>
        </w:rPr>
        <w:t>[L]</w:t>
      </w:r>
    </w:p>
    <w:p w:rsidR="00F47A4C" w:rsidRPr="00A10862" w:rsidRDefault="00F47A4C" w:rsidP="00F47A4C">
      <w:pPr>
        <w:pStyle w:val="ListParagraph"/>
        <w:numPr>
          <w:ilvl w:val="0"/>
          <w:numId w:val="17"/>
        </w:numPr>
        <w:contextualSpacing/>
        <w:jc w:val="both"/>
        <w:rPr>
          <w:lang w:val="fr-FR"/>
        </w:rPr>
      </w:pPr>
      <w:r w:rsidRPr="00A10862">
        <w:rPr>
          <w:lang w:val="fr-FR"/>
        </w:rPr>
        <w:t xml:space="preserve">Conduire périodiquement des recherches pour tester l’efficacité des mesures d’adaptation des espèces et évaluer les risques y afférents face au changement climatique </w:t>
      </w:r>
      <w:r w:rsidRPr="00A10862">
        <w:rPr>
          <w:i/>
          <w:lang w:val="fr-FR"/>
        </w:rPr>
        <w:t>(Parties, communauté scientifique)</w:t>
      </w:r>
      <w:proofErr w:type="gramStart"/>
      <w:r w:rsidRPr="00A10862">
        <w:rPr>
          <w:lang w:val="fr-FR"/>
        </w:rPr>
        <w:t>.</w:t>
      </w:r>
      <w:r w:rsidR="00AE12FE">
        <w:rPr>
          <w:lang w:val="fr-FR"/>
        </w:rPr>
        <w:t>[</w:t>
      </w:r>
      <w:proofErr w:type="gramEnd"/>
      <w:r w:rsidR="00AE12FE">
        <w:rPr>
          <w:lang w:val="fr-FR"/>
        </w:rPr>
        <w:t>L]</w:t>
      </w:r>
    </w:p>
    <w:p w:rsidR="00F47A4C" w:rsidRPr="00A10862" w:rsidRDefault="00F47A4C" w:rsidP="00F47A4C">
      <w:pPr>
        <w:pStyle w:val="ListParagraph"/>
        <w:numPr>
          <w:ilvl w:val="0"/>
          <w:numId w:val="17"/>
        </w:numPr>
        <w:contextualSpacing/>
        <w:jc w:val="both"/>
        <w:rPr>
          <w:lang w:val="fr-FR"/>
        </w:rPr>
      </w:pPr>
      <w:r w:rsidRPr="00A10862">
        <w:rPr>
          <w:lang w:val="fr-FR"/>
        </w:rPr>
        <w:t xml:space="preserve">Continuer à combler les lacunes dans les informations par la recherche et le suivi, afin d’indiquer explicitement les synergies associées et tout compromis entre la préservation de la biodiversité et les efforts d’adaptation et d’atténuation </w:t>
      </w:r>
      <w:r w:rsidRPr="00A10862">
        <w:rPr>
          <w:i/>
          <w:lang w:val="fr-FR"/>
        </w:rPr>
        <w:t>(Parties, communauté scientifique)</w:t>
      </w:r>
      <w:proofErr w:type="gramStart"/>
      <w:r w:rsidRPr="00A10862">
        <w:rPr>
          <w:lang w:val="fr-FR"/>
        </w:rPr>
        <w:t>.</w:t>
      </w:r>
      <w:r w:rsidR="00AE12FE">
        <w:rPr>
          <w:lang w:val="fr-FR"/>
        </w:rPr>
        <w:t>[</w:t>
      </w:r>
      <w:proofErr w:type="gramEnd"/>
      <w:r w:rsidR="00AE12FE">
        <w:rPr>
          <w:lang w:val="fr-FR"/>
        </w:rPr>
        <w:t>L]</w:t>
      </w:r>
    </w:p>
    <w:p w:rsidR="00F47A4C" w:rsidRPr="00A10862" w:rsidRDefault="00F47A4C" w:rsidP="00F47A4C">
      <w:pPr>
        <w:pStyle w:val="Default"/>
        <w:jc w:val="both"/>
        <w:rPr>
          <w:lang w:val="fr-FR"/>
        </w:rPr>
      </w:pPr>
    </w:p>
    <w:p w:rsidR="00F47A4C" w:rsidRPr="00A10862" w:rsidRDefault="00F47A4C" w:rsidP="00F47A4C">
      <w:pPr>
        <w:pStyle w:val="Default"/>
        <w:jc w:val="both"/>
        <w:rPr>
          <w:lang w:val="fr-FR"/>
        </w:rPr>
      </w:pPr>
    </w:p>
    <w:p w:rsidR="00F47A4C" w:rsidRPr="00A10862" w:rsidRDefault="00F47A4C" w:rsidP="00F47A4C">
      <w:pPr>
        <w:jc w:val="both"/>
        <w:rPr>
          <w:b/>
          <w:u w:val="single"/>
          <w:lang w:val="fr-FR"/>
        </w:rPr>
      </w:pPr>
      <w:r w:rsidRPr="00A10862">
        <w:rPr>
          <w:b/>
          <w:u w:val="single"/>
          <w:lang w:val="fr-FR"/>
        </w:rPr>
        <w:t>Atténuation des effets du changement climatique, adaptation humaine et planification de l’utilisation des terres</w:t>
      </w:r>
    </w:p>
    <w:p w:rsidR="00F47A4C" w:rsidRPr="00A10862" w:rsidRDefault="00F47A4C" w:rsidP="00F47A4C">
      <w:pPr>
        <w:jc w:val="both"/>
        <w:rPr>
          <w:lang w:val="fr-FR"/>
        </w:rPr>
      </w:pPr>
    </w:p>
    <w:p w:rsidR="00F47A4C" w:rsidRPr="00A10862" w:rsidRDefault="00F47A4C" w:rsidP="00F47A4C">
      <w:pPr>
        <w:pStyle w:val="ListParagraph"/>
        <w:numPr>
          <w:ilvl w:val="0"/>
          <w:numId w:val="15"/>
        </w:numPr>
        <w:ind w:hanging="720"/>
        <w:contextualSpacing/>
        <w:jc w:val="both"/>
        <w:rPr>
          <w:lang w:val="fr-FR"/>
        </w:rPr>
      </w:pPr>
      <w:r w:rsidRPr="00A10862">
        <w:rPr>
          <w:lang w:val="fr-FR"/>
        </w:rPr>
        <w:t>Identifier, évaluer, hiérarchiser et réduire les effets supplémentaires sur les espèces migratrices dus à des changements dans le comportement humain en raison de l’évolution  du climat (ce qu</w:t>
      </w:r>
      <w:r>
        <w:rPr>
          <w:lang w:val="fr-FR"/>
        </w:rPr>
        <w:t>e</w:t>
      </w:r>
      <w:r w:rsidRPr="00A10862">
        <w:rPr>
          <w:lang w:val="fr-FR"/>
        </w:rPr>
        <w:t xml:space="preserve"> l’on appelle les «effets tertiaires»</w:t>
      </w:r>
      <w:r>
        <w:rPr>
          <w:lang w:val="fr-FR"/>
        </w:rPr>
        <w:t>)</w:t>
      </w:r>
      <w:r w:rsidRPr="00A10862">
        <w:rPr>
          <w:lang w:val="fr-FR"/>
        </w:rPr>
        <w:t xml:space="preserve"> </w:t>
      </w:r>
      <w:r w:rsidRPr="00A10862">
        <w:rPr>
          <w:i/>
          <w:lang w:val="fr-FR"/>
        </w:rPr>
        <w:t>(Parties, organisations compétentes)</w:t>
      </w:r>
      <w:proofErr w:type="gramStart"/>
      <w:r w:rsidRPr="00A10862">
        <w:rPr>
          <w:lang w:val="fr-FR"/>
        </w:rPr>
        <w:t>.</w:t>
      </w:r>
      <w:r w:rsidR="00AE12FE">
        <w:rPr>
          <w:lang w:val="fr-FR"/>
        </w:rPr>
        <w:t>[</w:t>
      </w:r>
      <w:proofErr w:type="gramEnd"/>
      <w:r w:rsidR="00AE12FE">
        <w:rPr>
          <w:lang w:val="fr-FR"/>
        </w:rPr>
        <w:t>L]</w:t>
      </w:r>
    </w:p>
    <w:p w:rsidR="00F47A4C" w:rsidRPr="00A10862" w:rsidRDefault="00F47A4C" w:rsidP="00F47A4C">
      <w:pPr>
        <w:pStyle w:val="ListParagraph"/>
        <w:numPr>
          <w:ilvl w:val="0"/>
          <w:numId w:val="15"/>
        </w:numPr>
        <w:ind w:hanging="720"/>
        <w:contextualSpacing/>
        <w:jc w:val="both"/>
        <w:rPr>
          <w:spacing w:val="-4"/>
          <w:lang w:val="fr-FR"/>
        </w:rPr>
      </w:pPr>
      <w:r w:rsidRPr="00A10862">
        <w:rPr>
          <w:spacing w:val="-4"/>
          <w:lang w:val="fr-FR"/>
        </w:rPr>
        <w:t>Élaborer et/ou réviser les cartes de</w:t>
      </w:r>
      <w:r>
        <w:rPr>
          <w:spacing w:val="-4"/>
          <w:lang w:val="fr-FR"/>
        </w:rPr>
        <w:t>s zones vulnérables</w:t>
      </w:r>
      <w:r w:rsidRPr="00A10862">
        <w:rPr>
          <w:spacing w:val="-4"/>
          <w:lang w:val="fr-FR"/>
        </w:rPr>
        <w:t xml:space="preserve">, pour </w:t>
      </w:r>
      <w:r>
        <w:rPr>
          <w:spacing w:val="-4"/>
          <w:lang w:val="fr-FR"/>
        </w:rPr>
        <w:t xml:space="preserve">y </w:t>
      </w:r>
      <w:r w:rsidRPr="00A10862">
        <w:rPr>
          <w:spacing w:val="-4"/>
          <w:lang w:val="fr-FR"/>
        </w:rPr>
        <w:t xml:space="preserve">inclure des sites critiques et importants pour les espèces migratrices, comme outil essentiel pour la planification de l’utilisation durable des terres et des projets de gestion et d’adaptation </w:t>
      </w:r>
      <w:r w:rsidRPr="00A10862">
        <w:rPr>
          <w:i/>
          <w:spacing w:val="-4"/>
          <w:lang w:val="fr-FR"/>
        </w:rPr>
        <w:t>(Parties, communauté scientifique, ONG)</w:t>
      </w:r>
      <w:proofErr w:type="gramStart"/>
      <w:r w:rsidRPr="00A10862">
        <w:rPr>
          <w:spacing w:val="-4"/>
          <w:lang w:val="fr-FR"/>
        </w:rPr>
        <w:t>.</w:t>
      </w:r>
      <w:r w:rsidR="00AE12FE">
        <w:rPr>
          <w:spacing w:val="-4"/>
          <w:lang w:val="fr-FR"/>
        </w:rPr>
        <w:t>[</w:t>
      </w:r>
      <w:proofErr w:type="gramEnd"/>
      <w:r w:rsidR="00AE12FE">
        <w:rPr>
          <w:spacing w:val="-4"/>
          <w:lang w:val="fr-FR"/>
        </w:rPr>
        <w:t>S]</w:t>
      </w:r>
    </w:p>
    <w:p w:rsidR="00F47A4C" w:rsidRPr="00A10862" w:rsidRDefault="00F47A4C" w:rsidP="00F47A4C">
      <w:pPr>
        <w:pStyle w:val="ListParagraph"/>
        <w:numPr>
          <w:ilvl w:val="0"/>
          <w:numId w:val="15"/>
        </w:numPr>
        <w:ind w:hanging="720"/>
        <w:contextualSpacing/>
        <w:jc w:val="both"/>
        <w:rPr>
          <w:lang w:val="fr-FR"/>
        </w:rPr>
      </w:pPr>
      <w:r w:rsidRPr="00A10862">
        <w:rPr>
          <w:lang w:val="fr-FR"/>
        </w:rPr>
        <w:t>Utiliser les cartes de</w:t>
      </w:r>
      <w:r>
        <w:rPr>
          <w:lang w:val="fr-FR"/>
        </w:rPr>
        <w:t>s zones vulnérables</w:t>
      </w:r>
      <w:r w:rsidRPr="00A10862">
        <w:rPr>
          <w:lang w:val="fr-FR"/>
        </w:rPr>
        <w:t xml:space="preserve"> pour faciliter la sélection de sites qui bénéficient des projets d’atténuation du changement climatique tels que des projets d’énergie renouvelable </w:t>
      </w:r>
      <w:r w:rsidRPr="00A10862">
        <w:rPr>
          <w:i/>
          <w:lang w:val="fr-FR"/>
        </w:rPr>
        <w:t>(Parties)</w:t>
      </w:r>
      <w:proofErr w:type="gramStart"/>
      <w:r w:rsidRPr="00A10862">
        <w:rPr>
          <w:lang w:val="fr-FR"/>
        </w:rPr>
        <w:t>.</w:t>
      </w:r>
      <w:r w:rsidR="00AE12FE">
        <w:rPr>
          <w:lang w:val="fr-FR"/>
        </w:rPr>
        <w:t>[</w:t>
      </w:r>
      <w:proofErr w:type="gramEnd"/>
      <w:r w:rsidR="00AE12FE">
        <w:rPr>
          <w:lang w:val="fr-FR"/>
        </w:rPr>
        <w:t>M]</w:t>
      </w:r>
    </w:p>
    <w:p w:rsidR="00F47A4C" w:rsidRPr="00A10862" w:rsidRDefault="00F47A4C" w:rsidP="00F47A4C">
      <w:pPr>
        <w:pStyle w:val="ListParagraph"/>
        <w:numPr>
          <w:ilvl w:val="0"/>
          <w:numId w:val="15"/>
        </w:numPr>
        <w:ind w:hanging="720"/>
        <w:contextualSpacing/>
        <w:jc w:val="both"/>
        <w:rPr>
          <w:lang w:val="fr-FR"/>
        </w:rPr>
      </w:pPr>
      <w:r w:rsidRPr="00A10862">
        <w:rPr>
          <w:lang w:val="fr-FR"/>
        </w:rPr>
        <w:t xml:space="preserve">Élaborer des directives générales pour des projets d’adaptation humaine et d’atténuation afin </w:t>
      </w:r>
      <w:r>
        <w:rPr>
          <w:lang w:val="fr-FR"/>
        </w:rPr>
        <w:t xml:space="preserve">de garantir </w:t>
      </w:r>
      <w:r w:rsidRPr="00A10862">
        <w:rPr>
          <w:lang w:val="fr-FR"/>
        </w:rPr>
        <w:t xml:space="preserve">qu’ils ne sont pas nuisibles aux espèces migratrices </w:t>
      </w:r>
      <w:r w:rsidRPr="00A10862">
        <w:rPr>
          <w:i/>
          <w:lang w:val="fr-FR"/>
        </w:rPr>
        <w:t>(Conseil scientifique)</w:t>
      </w:r>
      <w:proofErr w:type="gramStart"/>
      <w:r w:rsidRPr="00A10862">
        <w:rPr>
          <w:i/>
          <w:lang w:val="fr-FR"/>
        </w:rPr>
        <w:t>.</w:t>
      </w:r>
      <w:r w:rsidR="00AE12FE">
        <w:rPr>
          <w:i/>
          <w:lang w:val="fr-FR"/>
        </w:rPr>
        <w:t>[</w:t>
      </w:r>
      <w:proofErr w:type="gramEnd"/>
      <w:r w:rsidR="00AE12FE">
        <w:rPr>
          <w:i/>
          <w:lang w:val="fr-FR"/>
        </w:rPr>
        <w:t>S]</w:t>
      </w:r>
    </w:p>
    <w:p w:rsidR="00F47A4C" w:rsidRPr="00A10862" w:rsidRDefault="00F47A4C" w:rsidP="00F47A4C">
      <w:pPr>
        <w:pStyle w:val="ListParagraph"/>
        <w:numPr>
          <w:ilvl w:val="0"/>
          <w:numId w:val="15"/>
        </w:numPr>
        <w:ind w:hanging="720"/>
        <w:contextualSpacing/>
        <w:jc w:val="both"/>
        <w:rPr>
          <w:lang w:val="fr-FR"/>
        </w:rPr>
      </w:pPr>
      <w:r w:rsidRPr="00A10862">
        <w:rPr>
          <w:lang w:val="fr-FR"/>
        </w:rPr>
        <w:t xml:space="preserve">Sur la base des directives générales, élaborer des lignes directrices minimales au niveau national pour des projets d’atténuation et d’adaptation afin de garantir qu’ils ne sont pas nuisibles aux espèces migratrices </w:t>
      </w:r>
      <w:r w:rsidRPr="00A10862">
        <w:rPr>
          <w:i/>
          <w:lang w:val="fr-FR"/>
        </w:rPr>
        <w:t>(Parties, communauté scientifique, ONG, énergie, agriculture, foresterie, transport et autres secteurs)</w:t>
      </w:r>
      <w:proofErr w:type="gramStart"/>
      <w:r w:rsidRPr="00A10862">
        <w:rPr>
          <w:i/>
          <w:lang w:val="fr-FR"/>
        </w:rPr>
        <w:t>.</w:t>
      </w:r>
      <w:r w:rsidR="00AE12FE">
        <w:rPr>
          <w:i/>
          <w:lang w:val="fr-FR"/>
        </w:rPr>
        <w:t>[</w:t>
      </w:r>
      <w:proofErr w:type="gramEnd"/>
      <w:r w:rsidR="00AE12FE">
        <w:rPr>
          <w:i/>
          <w:lang w:val="fr-FR"/>
        </w:rPr>
        <w:t>M]</w:t>
      </w:r>
    </w:p>
    <w:p w:rsidR="00F47A4C" w:rsidRPr="00A10862" w:rsidRDefault="00F47A4C" w:rsidP="00F47A4C">
      <w:pPr>
        <w:pStyle w:val="ListParagraph"/>
        <w:numPr>
          <w:ilvl w:val="0"/>
          <w:numId w:val="15"/>
        </w:numPr>
        <w:ind w:hanging="720"/>
        <w:contextualSpacing/>
        <w:jc w:val="both"/>
        <w:rPr>
          <w:lang w:val="fr-FR"/>
        </w:rPr>
      </w:pPr>
      <w:r w:rsidRPr="00A10862">
        <w:rPr>
          <w:lang w:val="fr-FR"/>
        </w:rPr>
        <w:t>Faire en sorte qu’une évaluation de l’impact sur l’environnement soit menée avant d’entreprendre d</w:t>
      </w:r>
      <w:r w:rsidR="00AE12FE">
        <w:rPr>
          <w:lang w:val="fr-FR"/>
        </w:rPr>
        <w:t>’importants</w:t>
      </w:r>
      <w:r w:rsidRPr="00A10862">
        <w:rPr>
          <w:lang w:val="fr-FR"/>
        </w:rPr>
        <w:t xml:space="preserve"> projets</w:t>
      </w:r>
      <w:r w:rsidR="002E323C">
        <w:rPr>
          <w:lang w:val="fr-FR"/>
        </w:rPr>
        <w:t xml:space="preserve"> </w:t>
      </w:r>
      <w:r w:rsidRPr="00A10862">
        <w:rPr>
          <w:lang w:val="fr-FR"/>
        </w:rPr>
        <w:t>d’adaptation et d’atténuation</w:t>
      </w:r>
      <w:r w:rsidR="00AE12FE">
        <w:rPr>
          <w:lang w:val="fr-FR"/>
        </w:rPr>
        <w:t xml:space="preserve"> ainsi que des projets d’exploration et d’exploitation</w:t>
      </w:r>
      <w:r w:rsidRPr="00A10862">
        <w:rPr>
          <w:lang w:val="fr-FR"/>
        </w:rPr>
        <w:t xml:space="preserve"> en tenant compte des effets sur les espèces migratrices </w:t>
      </w:r>
      <w:r w:rsidRPr="00A10862">
        <w:rPr>
          <w:i/>
          <w:lang w:val="fr-FR"/>
        </w:rPr>
        <w:t>(Parties, secteur de l’énergie).</w:t>
      </w:r>
      <w:r w:rsidR="00AE12FE">
        <w:rPr>
          <w:i/>
          <w:lang w:val="fr-FR"/>
        </w:rPr>
        <w:t>[S]</w:t>
      </w:r>
    </w:p>
    <w:p w:rsidR="00F47A4C" w:rsidRPr="00A10862" w:rsidRDefault="00F47A4C" w:rsidP="00F47A4C">
      <w:pPr>
        <w:pStyle w:val="ListParagraph"/>
        <w:numPr>
          <w:ilvl w:val="0"/>
          <w:numId w:val="15"/>
        </w:numPr>
        <w:ind w:hanging="720"/>
        <w:contextualSpacing/>
        <w:jc w:val="both"/>
        <w:rPr>
          <w:spacing w:val="-4"/>
          <w:lang w:val="fr-FR"/>
        </w:rPr>
      </w:pPr>
      <w:r w:rsidRPr="00A10862">
        <w:rPr>
          <w:spacing w:val="-4"/>
          <w:lang w:val="fr-FR"/>
        </w:rPr>
        <w:t xml:space="preserve">Faire du suivi des impacts sur l’environnement une condition sine qua non pour les projets </w:t>
      </w:r>
      <w:r w:rsidR="00AE12FE">
        <w:rPr>
          <w:spacing w:val="-4"/>
          <w:lang w:val="fr-FR"/>
        </w:rPr>
        <w:t xml:space="preserve">importants </w:t>
      </w:r>
      <w:r w:rsidRPr="00A10862">
        <w:rPr>
          <w:spacing w:val="-4"/>
          <w:lang w:val="fr-FR"/>
        </w:rPr>
        <w:t>d’adaptation au changement climatique et d’atténuation de ses effets</w:t>
      </w:r>
      <w:r w:rsidR="00AE12FE">
        <w:rPr>
          <w:spacing w:val="-4"/>
          <w:lang w:val="fr-FR"/>
        </w:rPr>
        <w:t>, projets d’exploration et d’exploitation</w:t>
      </w:r>
      <w:r w:rsidRPr="00A10862">
        <w:rPr>
          <w:spacing w:val="-4"/>
          <w:lang w:val="fr-FR"/>
        </w:rPr>
        <w:t xml:space="preserve"> </w:t>
      </w:r>
      <w:proofErr w:type="spellStart"/>
      <w:r w:rsidRPr="00A10862">
        <w:rPr>
          <w:spacing w:val="-4"/>
          <w:lang w:val="fr-FR"/>
        </w:rPr>
        <w:t>et</w:t>
      </w:r>
      <w:proofErr w:type="spellEnd"/>
      <w:r w:rsidRPr="00A10862">
        <w:rPr>
          <w:spacing w:val="-4"/>
          <w:lang w:val="fr-FR"/>
        </w:rPr>
        <w:t xml:space="preserve"> pour la planification de l’utilisation des terres </w:t>
      </w:r>
      <w:r w:rsidRPr="00A10862">
        <w:rPr>
          <w:i/>
          <w:spacing w:val="-4"/>
          <w:lang w:val="fr-FR"/>
        </w:rPr>
        <w:t>(Parties, secteur de l’énergie)</w:t>
      </w:r>
      <w:proofErr w:type="gramStart"/>
      <w:r w:rsidRPr="00A10862">
        <w:rPr>
          <w:i/>
          <w:spacing w:val="-4"/>
          <w:lang w:val="fr-FR"/>
        </w:rPr>
        <w:t>.</w:t>
      </w:r>
      <w:r w:rsidR="00AE12FE">
        <w:rPr>
          <w:i/>
          <w:spacing w:val="-4"/>
          <w:lang w:val="fr-FR"/>
        </w:rPr>
        <w:t>[</w:t>
      </w:r>
      <w:proofErr w:type="gramEnd"/>
      <w:r w:rsidR="00AE12FE">
        <w:rPr>
          <w:i/>
          <w:spacing w:val="-4"/>
          <w:lang w:val="fr-FR"/>
        </w:rPr>
        <w:t>M]</w:t>
      </w:r>
    </w:p>
    <w:p w:rsidR="00F47A4C" w:rsidRPr="00A10862" w:rsidRDefault="00F47A4C" w:rsidP="00F47A4C">
      <w:pPr>
        <w:pStyle w:val="ListParagraph"/>
        <w:numPr>
          <w:ilvl w:val="0"/>
          <w:numId w:val="15"/>
        </w:numPr>
        <w:ind w:hanging="720"/>
        <w:contextualSpacing/>
        <w:jc w:val="both"/>
        <w:rPr>
          <w:lang w:val="fr-FR"/>
        </w:rPr>
      </w:pPr>
      <w:r w:rsidRPr="00A10862">
        <w:rPr>
          <w:lang w:val="fr-FR"/>
        </w:rPr>
        <w:t xml:space="preserve">S’assurer que les projets incorporent la gestion adaptative dans les </w:t>
      </w:r>
      <w:proofErr w:type="spellStart"/>
      <w:r w:rsidR="00AE12FE">
        <w:rPr>
          <w:lang w:val="fr-FR"/>
        </w:rPr>
        <w:t>activités</w:t>
      </w:r>
      <w:r w:rsidRPr="00A10862">
        <w:rPr>
          <w:lang w:val="fr-FR"/>
        </w:rPr>
        <w:t>d’adaptation</w:t>
      </w:r>
      <w:proofErr w:type="spellEnd"/>
      <w:r w:rsidRPr="00A10862">
        <w:rPr>
          <w:lang w:val="fr-FR"/>
        </w:rPr>
        <w:t xml:space="preserve"> et d’atténuation </w:t>
      </w:r>
      <w:r w:rsidRPr="00A10862">
        <w:rPr>
          <w:i/>
          <w:lang w:val="fr-FR"/>
        </w:rPr>
        <w:t>(Parties)</w:t>
      </w:r>
      <w:proofErr w:type="gramStart"/>
      <w:r w:rsidRPr="00A10862">
        <w:rPr>
          <w:i/>
          <w:lang w:val="fr-FR"/>
        </w:rPr>
        <w:t>.</w:t>
      </w:r>
      <w:r w:rsidR="00AE12FE">
        <w:rPr>
          <w:i/>
          <w:lang w:val="fr-FR"/>
        </w:rPr>
        <w:t>[</w:t>
      </w:r>
      <w:proofErr w:type="gramEnd"/>
      <w:r w:rsidR="00AE12FE">
        <w:rPr>
          <w:i/>
          <w:lang w:val="fr-FR"/>
        </w:rPr>
        <w:t>S]</w:t>
      </w:r>
    </w:p>
    <w:p w:rsidR="00F47A4C" w:rsidRPr="00A10862" w:rsidRDefault="00F47A4C" w:rsidP="00F47A4C">
      <w:pPr>
        <w:pStyle w:val="ListParagraph"/>
        <w:numPr>
          <w:ilvl w:val="0"/>
          <w:numId w:val="15"/>
        </w:numPr>
        <w:ind w:hanging="720"/>
        <w:contextualSpacing/>
        <w:jc w:val="both"/>
        <w:rPr>
          <w:lang w:val="fr-FR"/>
        </w:rPr>
      </w:pPr>
      <w:r w:rsidRPr="00A10862">
        <w:rPr>
          <w:lang w:val="fr-FR"/>
        </w:rPr>
        <w:t xml:space="preserve">Reconnaissant qu’une grande incertitude règne quant à l’efficacité potentielle des compensations comme moyen de neutraliser les effets nuisibles de l’adaptation </w:t>
      </w:r>
      <w:r w:rsidRPr="00A10862">
        <w:rPr>
          <w:lang w:val="fr-FR"/>
        </w:rPr>
        <w:lastRenderedPageBreak/>
        <w:t>humaine et de l’atténuation, entreprendre une recherche pour faciliter l’évaluation du rôle probable des compensations conçues pour réduire ou prévenir les effets nuisibles des projets d’atténuation et d’adaptation sur les espèces migratrices (</w:t>
      </w:r>
      <w:r w:rsidRPr="00A10862">
        <w:rPr>
          <w:i/>
          <w:lang w:val="fr-FR"/>
        </w:rPr>
        <w:t>Parties, communauté scientifique)</w:t>
      </w:r>
      <w:r w:rsidRPr="00A10862">
        <w:rPr>
          <w:lang w:val="fr-FR"/>
        </w:rPr>
        <w:t>.</w:t>
      </w:r>
      <w:r w:rsidR="00AE12FE">
        <w:rPr>
          <w:lang w:val="fr-FR"/>
        </w:rPr>
        <w:t>[S]</w:t>
      </w:r>
    </w:p>
    <w:p w:rsidR="00F47A4C" w:rsidRPr="00A10862" w:rsidRDefault="00F47A4C" w:rsidP="00F47A4C">
      <w:pPr>
        <w:pStyle w:val="ListParagraph"/>
        <w:numPr>
          <w:ilvl w:val="0"/>
          <w:numId w:val="15"/>
        </w:numPr>
        <w:ind w:hanging="720"/>
        <w:contextualSpacing/>
        <w:jc w:val="both"/>
        <w:rPr>
          <w:lang w:val="fr-FR"/>
        </w:rPr>
      </w:pPr>
      <w:r w:rsidRPr="00A10862">
        <w:rPr>
          <w:lang w:val="fr-FR"/>
        </w:rPr>
        <w:t xml:space="preserve">Élaborer et appliquer des méthodologies appropriées pour examiner les effets cumulatifs potentiels des projets d’atténuation et d’adaptation tout </w:t>
      </w:r>
      <w:r>
        <w:rPr>
          <w:lang w:val="fr-FR"/>
        </w:rPr>
        <w:t xml:space="preserve">au long du </w:t>
      </w:r>
      <w:r w:rsidRPr="00A10862">
        <w:rPr>
          <w:lang w:val="fr-FR"/>
        </w:rPr>
        <w:t xml:space="preserve">cycle </w:t>
      </w:r>
      <w:r>
        <w:rPr>
          <w:lang w:val="fr-FR"/>
        </w:rPr>
        <w:t>de vie</w:t>
      </w:r>
      <w:r w:rsidRPr="00A10862">
        <w:rPr>
          <w:lang w:val="fr-FR"/>
        </w:rPr>
        <w:t xml:space="preserve"> des espèces migratrices, y compris les sites de reproduction, d’hivernage et </w:t>
      </w:r>
      <w:r>
        <w:rPr>
          <w:lang w:val="fr-FR"/>
        </w:rPr>
        <w:t xml:space="preserve">les lieux </w:t>
      </w:r>
      <w:r w:rsidRPr="00A10862">
        <w:rPr>
          <w:lang w:val="fr-FR"/>
        </w:rPr>
        <w:t>d’escale, ainsi que les incidences sur les voies de migration. Ces méthodologies pourraient être appliquées aux niveaux des populations régionales, nationales ou internationales (</w:t>
      </w:r>
      <w:r w:rsidRPr="00A10862">
        <w:rPr>
          <w:i/>
          <w:lang w:val="fr-FR"/>
        </w:rPr>
        <w:t>Parties, communauté scientifique)</w:t>
      </w:r>
      <w:proofErr w:type="gramStart"/>
      <w:r w:rsidRPr="00A10862">
        <w:rPr>
          <w:lang w:val="fr-FR"/>
        </w:rPr>
        <w:t>.</w:t>
      </w:r>
      <w:r w:rsidR="00AE12FE">
        <w:rPr>
          <w:lang w:val="fr-FR"/>
        </w:rPr>
        <w:t>[</w:t>
      </w:r>
      <w:proofErr w:type="gramEnd"/>
      <w:r w:rsidR="00AE12FE">
        <w:rPr>
          <w:lang w:val="fr-FR"/>
        </w:rPr>
        <w:t>M]</w:t>
      </w:r>
    </w:p>
    <w:p w:rsidR="00F47A4C" w:rsidRPr="00A10862" w:rsidRDefault="00F47A4C" w:rsidP="00F47A4C">
      <w:pPr>
        <w:pStyle w:val="ListParagraph"/>
        <w:numPr>
          <w:ilvl w:val="0"/>
          <w:numId w:val="16"/>
        </w:numPr>
        <w:ind w:hanging="720"/>
        <w:contextualSpacing/>
        <w:jc w:val="both"/>
        <w:rPr>
          <w:lang w:val="fr-FR"/>
        </w:rPr>
      </w:pPr>
      <w:r w:rsidRPr="00A10862">
        <w:rPr>
          <w:lang w:val="fr-FR"/>
        </w:rPr>
        <w:t xml:space="preserve">S’assurer que là où les effets sur les espèces migratrices sont importants, l’énergie renouvelable et d’autres moyens d’adaptation au changement climatique et d’atténuation de ses effets sont gérées de manière à éliminer ou à réduire au minimum les effets négatifs sur les espèces migratrices (par ex. brefs arrêts ou vitesse d’activation des éoliennes plus rapide dans les fermes éoliennes) </w:t>
      </w:r>
      <w:r w:rsidRPr="00A10862">
        <w:rPr>
          <w:i/>
          <w:lang w:val="fr-FR"/>
        </w:rPr>
        <w:t>(Parties, secteur de l’énergie)</w:t>
      </w:r>
      <w:proofErr w:type="gramStart"/>
      <w:r w:rsidRPr="00A10862">
        <w:rPr>
          <w:i/>
          <w:lang w:val="fr-FR"/>
        </w:rPr>
        <w:t>.</w:t>
      </w:r>
      <w:r w:rsidR="00AE12FE">
        <w:rPr>
          <w:i/>
          <w:lang w:val="fr-FR"/>
        </w:rPr>
        <w:t>[</w:t>
      </w:r>
      <w:proofErr w:type="gramEnd"/>
      <w:r w:rsidR="00AE12FE">
        <w:rPr>
          <w:i/>
          <w:lang w:val="fr-FR"/>
        </w:rPr>
        <w:t>S]</w:t>
      </w:r>
    </w:p>
    <w:p w:rsidR="00F47A4C" w:rsidRPr="00A10862" w:rsidRDefault="00F47A4C" w:rsidP="00F47A4C">
      <w:pPr>
        <w:pStyle w:val="ListParagraph"/>
        <w:numPr>
          <w:ilvl w:val="0"/>
          <w:numId w:val="16"/>
        </w:numPr>
        <w:ind w:hanging="720"/>
        <w:contextualSpacing/>
        <w:jc w:val="both"/>
        <w:rPr>
          <w:lang w:val="fr-FR"/>
        </w:rPr>
      </w:pPr>
      <w:r w:rsidRPr="00A10862">
        <w:rPr>
          <w:lang w:val="fr-FR"/>
        </w:rPr>
        <w:t xml:space="preserve">S’assurer que toute initiative </w:t>
      </w:r>
      <w:r>
        <w:rPr>
          <w:lang w:val="fr-FR"/>
        </w:rPr>
        <w:t>visant</w:t>
      </w:r>
      <w:r w:rsidRPr="00A10862">
        <w:rPr>
          <w:lang w:val="fr-FR"/>
        </w:rPr>
        <w:t xml:space="preserve"> l’adaptation au changement  climatique et l’atténuation de ses effets jouit de protections sociales et environnementales appropriées à tous les stades, tenant compte </w:t>
      </w:r>
      <w:r w:rsidR="00AE12FE">
        <w:rPr>
          <w:lang w:val="fr-FR"/>
        </w:rPr>
        <w:t xml:space="preserve">des besoins </w:t>
      </w:r>
      <w:r w:rsidRPr="00A10862">
        <w:rPr>
          <w:lang w:val="fr-FR"/>
        </w:rPr>
        <w:t xml:space="preserve">des espèces inscrites aux Annexes de la CMS </w:t>
      </w:r>
      <w:r w:rsidRPr="00A10862">
        <w:rPr>
          <w:i/>
          <w:lang w:val="fr-FR"/>
        </w:rPr>
        <w:t>(Parties, banques de développement multilatérales et secteur de l’énergie)</w:t>
      </w:r>
      <w:proofErr w:type="gramStart"/>
      <w:r w:rsidRPr="00A10862">
        <w:rPr>
          <w:i/>
          <w:lang w:val="fr-FR"/>
        </w:rPr>
        <w:t>.</w:t>
      </w:r>
      <w:r w:rsidR="00AE12FE">
        <w:rPr>
          <w:i/>
          <w:lang w:val="fr-FR"/>
        </w:rPr>
        <w:t>[</w:t>
      </w:r>
      <w:proofErr w:type="gramEnd"/>
      <w:r w:rsidR="00AE12FE">
        <w:rPr>
          <w:i/>
          <w:lang w:val="fr-FR"/>
        </w:rPr>
        <w:t>M]</w:t>
      </w:r>
    </w:p>
    <w:p w:rsidR="00F47A4C" w:rsidRPr="00A10862" w:rsidRDefault="00F47A4C" w:rsidP="00F47A4C">
      <w:pPr>
        <w:pStyle w:val="ListParagraph"/>
        <w:numPr>
          <w:ilvl w:val="0"/>
          <w:numId w:val="16"/>
        </w:numPr>
        <w:ind w:hanging="720"/>
        <w:contextualSpacing/>
        <w:jc w:val="both"/>
        <w:rPr>
          <w:lang w:val="fr-FR"/>
        </w:rPr>
      </w:pPr>
      <w:r w:rsidRPr="00A10862">
        <w:rPr>
          <w:lang w:val="fr-FR"/>
        </w:rPr>
        <w:t xml:space="preserve">Faire en sorte que les meilleures informations scientifiques disponibles sur les effets du changement climatique sur les espèces migratrices sont accessibles et utilisables pour la planification et la prise de décisions </w:t>
      </w:r>
      <w:r w:rsidRPr="00A10862">
        <w:rPr>
          <w:i/>
          <w:lang w:val="fr-FR"/>
        </w:rPr>
        <w:t>(Parties, communauté scientifique)</w:t>
      </w:r>
      <w:proofErr w:type="gramStart"/>
      <w:r w:rsidRPr="00A10862">
        <w:rPr>
          <w:i/>
          <w:lang w:val="fr-FR"/>
        </w:rPr>
        <w:t>.</w:t>
      </w:r>
      <w:r w:rsidR="00AE12FE">
        <w:rPr>
          <w:i/>
          <w:lang w:val="fr-FR"/>
        </w:rPr>
        <w:t>[</w:t>
      </w:r>
      <w:proofErr w:type="gramEnd"/>
      <w:r w:rsidR="00AE12FE">
        <w:rPr>
          <w:i/>
          <w:lang w:val="fr-FR"/>
        </w:rPr>
        <w:t>L]</w:t>
      </w:r>
    </w:p>
    <w:p w:rsidR="00F47A4C" w:rsidRPr="00A10862" w:rsidRDefault="00F47A4C" w:rsidP="00F47A4C">
      <w:pPr>
        <w:jc w:val="both"/>
        <w:rPr>
          <w:lang w:val="fr-FR"/>
        </w:rPr>
      </w:pPr>
    </w:p>
    <w:p w:rsidR="00F47A4C" w:rsidRPr="00A10862" w:rsidRDefault="00F47A4C" w:rsidP="00F47A4C">
      <w:pPr>
        <w:jc w:val="both"/>
        <w:rPr>
          <w:lang w:val="fr-FR"/>
        </w:rPr>
      </w:pPr>
    </w:p>
    <w:p w:rsidR="00F47A4C" w:rsidRPr="00A10862" w:rsidRDefault="00F47A4C" w:rsidP="00F47A4C">
      <w:pPr>
        <w:pStyle w:val="Default"/>
        <w:jc w:val="both"/>
        <w:rPr>
          <w:b/>
          <w:u w:val="single"/>
          <w:lang w:val="fr-FR"/>
        </w:rPr>
      </w:pPr>
      <w:r w:rsidRPr="00A10862">
        <w:rPr>
          <w:b/>
          <w:u w:val="single"/>
          <w:lang w:val="fr-FR"/>
        </w:rPr>
        <w:t xml:space="preserve">Échange de connaissances et renforcement des capacités  </w:t>
      </w:r>
    </w:p>
    <w:p w:rsidR="00F47A4C" w:rsidRPr="00A10862" w:rsidRDefault="00F47A4C" w:rsidP="00F47A4C">
      <w:pPr>
        <w:pStyle w:val="Default"/>
        <w:jc w:val="both"/>
        <w:rPr>
          <w:lang w:val="fr-FR"/>
        </w:rPr>
      </w:pPr>
    </w:p>
    <w:p w:rsidR="00F47A4C" w:rsidRPr="00A10862" w:rsidRDefault="00F47A4C" w:rsidP="00F47A4C">
      <w:pPr>
        <w:pStyle w:val="ListParagraph"/>
        <w:numPr>
          <w:ilvl w:val="0"/>
          <w:numId w:val="19"/>
        </w:numPr>
        <w:ind w:hanging="720"/>
        <w:contextualSpacing/>
        <w:jc w:val="both"/>
        <w:rPr>
          <w:lang w:val="fr-FR"/>
        </w:rPr>
      </w:pPr>
      <w:r w:rsidRPr="00A10862">
        <w:rPr>
          <w:lang w:val="fr-FR"/>
        </w:rPr>
        <w:t xml:space="preserve">Sensibiliser davantage aux impacts du changement climatique sur les espèces migratrices </w:t>
      </w:r>
      <w:r w:rsidRPr="00A10862">
        <w:rPr>
          <w:i/>
          <w:lang w:val="fr-FR"/>
        </w:rPr>
        <w:t>(Parties, communauté scientifique, organisations internationales, intergouvernementales et autres organisations compétentes)</w:t>
      </w:r>
      <w:proofErr w:type="gramStart"/>
      <w:r w:rsidRPr="00A10862">
        <w:rPr>
          <w:i/>
          <w:lang w:val="fr-FR"/>
        </w:rPr>
        <w:t>.</w:t>
      </w:r>
      <w:r w:rsidR="00AE12FE">
        <w:rPr>
          <w:i/>
          <w:lang w:val="fr-FR"/>
        </w:rPr>
        <w:t>[</w:t>
      </w:r>
      <w:proofErr w:type="gramEnd"/>
      <w:r w:rsidR="00AE12FE">
        <w:rPr>
          <w:i/>
          <w:lang w:val="fr-FR"/>
        </w:rPr>
        <w:t>L]</w:t>
      </w:r>
    </w:p>
    <w:p w:rsidR="00F47A4C" w:rsidRPr="00A10862" w:rsidRDefault="00F47A4C" w:rsidP="00F47A4C">
      <w:pPr>
        <w:pStyle w:val="ListParagraph"/>
        <w:numPr>
          <w:ilvl w:val="0"/>
          <w:numId w:val="19"/>
        </w:numPr>
        <w:ind w:hanging="720"/>
        <w:contextualSpacing/>
        <w:jc w:val="both"/>
        <w:rPr>
          <w:lang w:val="fr-FR"/>
        </w:rPr>
      </w:pPr>
      <w:r w:rsidRPr="00A10862">
        <w:rPr>
          <w:lang w:val="fr-FR"/>
        </w:rPr>
        <w:t xml:space="preserve">Utiliser les rapports pertinents du GIEC et d’autres analyses pour obtenir des informations de base sur les impacts du changement climatique et compiler et diffuser les informations pertinentes </w:t>
      </w:r>
      <w:r w:rsidRPr="00A10862">
        <w:rPr>
          <w:i/>
          <w:lang w:val="fr-FR"/>
        </w:rPr>
        <w:t>(Parties et Conseil scientifique)</w:t>
      </w:r>
      <w:proofErr w:type="gramStart"/>
      <w:r w:rsidRPr="00A10862">
        <w:rPr>
          <w:i/>
          <w:lang w:val="fr-FR"/>
        </w:rPr>
        <w:t>.</w:t>
      </w:r>
      <w:r w:rsidR="00AE12FE">
        <w:rPr>
          <w:i/>
          <w:lang w:val="fr-FR"/>
        </w:rPr>
        <w:t>[</w:t>
      </w:r>
      <w:proofErr w:type="gramEnd"/>
      <w:r w:rsidR="00AE12FE">
        <w:rPr>
          <w:i/>
          <w:lang w:val="fr-FR"/>
        </w:rPr>
        <w:t>L]</w:t>
      </w:r>
    </w:p>
    <w:p w:rsidR="00F47A4C" w:rsidRPr="00A10862" w:rsidRDefault="00F47A4C" w:rsidP="00F47A4C">
      <w:pPr>
        <w:pStyle w:val="Default"/>
        <w:numPr>
          <w:ilvl w:val="0"/>
          <w:numId w:val="16"/>
        </w:numPr>
        <w:adjustRightInd w:val="0"/>
        <w:ind w:hanging="720"/>
        <w:jc w:val="both"/>
        <w:rPr>
          <w:lang w:val="fr-FR"/>
        </w:rPr>
      </w:pPr>
      <w:r w:rsidRPr="00A10862">
        <w:rPr>
          <w:lang w:val="fr-FR"/>
        </w:rPr>
        <w:t xml:space="preserve">Commander des études techniques et des lignes directrices concernant les meilleures pratiques et encourager la publication, le partage et la distribution de revues scientifiques périodiques sur les thèmes ci-après </w:t>
      </w:r>
      <w:r w:rsidRPr="00A10862">
        <w:rPr>
          <w:i/>
          <w:lang w:val="fr-FR"/>
        </w:rPr>
        <w:t>(Parties et communauté scientifique)</w:t>
      </w:r>
      <w:r w:rsidRPr="00A10862">
        <w:rPr>
          <w:lang w:val="fr-FR"/>
        </w:rPr>
        <w:t>:</w:t>
      </w:r>
      <w:r w:rsidR="00AE12FE">
        <w:rPr>
          <w:lang w:val="fr-FR"/>
        </w:rPr>
        <w:t>[S]</w:t>
      </w:r>
    </w:p>
    <w:p w:rsidR="00F47A4C" w:rsidRPr="00A10862" w:rsidRDefault="00F47A4C" w:rsidP="00F47A4C">
      <w:pPr>
        <w:pStyle w:val="ListParagraph"/>
        <w:numPr>
          <w:ilvl w:val="0"/>
          <w:numId w:val="18"/>
        </w:numPr>
        <w:ind w:left="1134" w:hanging="414"/>
        <w:contextualSpacing/>
        <w:jc w:val="both"/>
        <w:rPr>
          <w:lang w:val="fr-FR"/>
        </w:rPr>
      </w:pPr>
      <w:r w:rsidRPr="00A10862">
        <w:rPr>
          <w:lang w:val="fr-FR"/>
        </w:rPr>
        <w:t>les impacts du changement climatique sur les espèces migratrices;</w:t>
      </w:r>
    </w:p>
    <w:p w:rsidR="00F47A4C" w:rsidRPr="00A10862" w:rsidRDefault="00F47A4C" w:rsidP="00F47A4C">
      <w:pPr>
        <w:pStyle w:val="ListParagraph"/>
        <w:numPr>
          <w:ilvl w:val="0"/>
          <w:numId w:val="18"/>
        </w:numPr>
        <w:ind w:left="1134" w:hanging="414"/>
        <w:contextualSpacing/>
        <w:jc w:val="both"/>
        <w:rPr>
          <w:lang w:val="fr-FR"/>
        </w:rPr>
      </w:pPr>
      <w:r w:rsidRPr="00A10862">
        <w:rPr>
          <w:lang w:val="fr-FR"/>
        </w:rPr>
        <w:t>le potentiel pour la gestion de la conservation dans le but d’augmenter la résistance, la résilience et l’adaptation des populations d’espèces migratrices au changement climatique; et</w:t>
      </w:r>
    </w:p>
    <w:p w:rsidR="00F47A4C" w:rsidRPr="00A10862" w:rsidRDefault="00F47A4C" w:rsidP="00F47A4C">
      <w:pPr>
        <w:pStyle w:val="ListParagraph"/>
        <w:numPr>
          <w:ilvl w:val="0"/>
          <w:numId w:val="18"/>
        </w:numPr>
        <w:ind w:left="1134" w:hanging="414"/>
        <w:contextualSpacing/>
        <w:jc w:val="both"/>
        <w:rPr>
          <w:lang w:val="fr-FR"/>
        </w:rPr>
      </w:pPr>
      <w:r w:rsidRPr="00A10862">
        <w:rPr>
          <w:lang w:val="fr-FR"/>
        </w:rPr>
        <w:t>les impacts sur les espèces migratrices de l’adaptation au changement climatique anthropique et de l’atténuation de ses effets.</w:t>
      </w:r>
    </w:p>
    <w:p w:rsidR="00F47A4C" w:rsidRPr="00A10862" w:rsidRDefault="00F47A4C" w:rsidP="00F47A4C">
      <w:pPr>
        <w:pStyle w:val="Default"/>
        <w:numPr>
          <w:ilvl w:val="0"/>
          <w:numId w:val="19"/>
        </w:numPr>
        <w:adjustRightInd w:val="0"/>
        <w:ind w:hanging="720"/>
        <w:jc w:val="both"/>
        <w:rPr>
          <w:lang w:val="fr-FR"/>
        </w:rPr>
      </w:pPr>
      <w:r w:rsidRPr="00A10862">
        <w:rPr>
          <w:lang w:val="fr-FR"/>
        </w:rPr>
        <w:t xml:space="preserve">Diffuser les résultats de ces analyses par le biais du site web et de l’espace de travail de la CMS, en traduisant chaque fois que possible les résultats de ces analyses dans les différentes langues </w:t>
      </w:r>
      <w:r w:rsidRPr="00A10862">
        <w:rPr>
          <w:i/>
          <w:lang w:val="fr-FR"/>
        </w:rPr>
        <w:t>(Conseil scientifique)</w:t>
      </w:r>
      <w:proofErr w:type="gramStart"/>
      <w:r w:rsidRPr="00A10862">
        <w:rPr>
          <w:lang w:val="fr-FR"/>
        </w:rPr>
        <w:t>.</w:t>
      </w:r>
      <w:r w:rsidR="00AE12FE">
        <w:rPr>
          <w:lang w:val="fr-FR"/>
        </w:rPr>
        <w:t>[</w:t>
      </w:r>
      <w:proofErr w:type="gramEnd"/>
      <w:r w:rsidR="00AE12FE">
        <w:rPr>
          <w:lang w:val="fr-FR"/>
        </w:rPr>
        <w:t>S]</w:t>
      </w:r>
    </w:p>
    <w:p w:rsidR="00F47A4C" w:rsidRPr="00A10862" w:rsidRDefault="00F47A4C" w:rsidP="00F47A4C">
      <w:pPr>
        <w:pStyle w:val="Default"/>
        <w:numPr>
          <w:ilvl w:val="0"/>
          <w:numId w:val="19"/>
        </w:numPr>
        <w:adjustRightInd w:val="0"/>
        <w:ind w:hanging="720"/>
        <w:jc w:val="both"/>
        <w:rPr>
          <w:lang w:val="fr-FR"/>
        </w:rPr>
      </w:pPr>
      <w:r w:rsidRPr="00A10862">
        <w:rPr>
          <w:lang w:val="fr-FR"/>
        </w:rPr>
        <w:t>Organiser une série d’ateliers régionaux</w:t>
      </w:r>
      <w:r>
        <w:rPr>
          <w:lang w:val="fr-FR"/>
        </w:rPr>
        <w:t>,</w:t>
      </w:r>
      <w:r w:rsidRPr="00A10862">
        <w:rPr>
          <w:lang w:val="fr-FR"/>
        </w:rPr>
        <w:t xml:space="preserve"> </w:t>
      </w:r>
      <w:proofErr w:type="spellStart"/>
      <w:r w:rsidRPr="00A10862">
        <w:rPr>
          <w:lang w:val="fr-FR"/>
        </w:rPr>
        <w:t>sous-régionaux</w:t>
      </w:r>
      <w:proofErr w:type="spellEnd"/>
      <w:r w:rsidRPr="00A10862">
        <w:rPr>
          <w:lang w:val="fr-FR"/>
        </w:rPr>
        <w:t xml:space="preserve"> ou nationaux avec la participation de scientifiques, d’ONG, de points focaux nationaux pour toutes les conventions sur l’environnement, les responsables des politiques et les gestionnaires pour échanger des informations et débattre </w:t>
      </w:r>
      <w:r w:rsidRPr="00A10862">
        <w:rPr>
          <w:i/>
          <w:lang w:val="fr-FR"/>
        </w:rPr>
        <w:t xml:space="preserve">(Parties, Conseil scientifique, communauté </w:t>
      </w:r>
      <w:r w:rsidRPr="00A10862">
        <w:rPr>
          <w:i/>
          <w:lang w:val="fr-FR"/>
        </w:rPr>
        <w:lastRenderedPageBreak/>
        <w:t>scientifique, organisations internationales, intergouvernementales et autres organisations compétentes)</w:t>
      </w:r>
      <w:r w:rsidRPr="00A10862">
        <w:rPr>
          <w:lang w:val="fr-FR"/>
        </w:rPr>
        <w:t>.</w:t>
      </w:r>
      <w:r w:rsidR="00E224BB">
        <w:rPr>
          <w:lang w:val="fr-FR"/>
        </w:rPr>
        <w:t>[S]</w:t>
      </w:r>
    </w:p>
    <w:p w:rsidR="00F47A4C" w:rsidRPr="00A10862" w:rsidRDefault="00F47A4C" w:rsidP="00F47A4C">
      <w:pPr>
        <w:pStyle w:val="Default"/>
        <w:numPr>
          <w:ilvl w:val="0"/>
          <w:numId w:val="19"/>
        </w:numPr>
        <w:adjustRightInd w:val="0"/>
        <w:ind w:hanging="720"/>
        <w:jc w:val="both"/>
        <w:rPr>
          <w:lang w:val="fr-FR"/>
        </w:rPr>
      </w:pPr>
      <w:r w:rsidRPr="00A10862">
        <w:rPr>
          <w:lang w:val="fr-FR"/>
        </w:rPr>
        <w:t xml:space="preserve">Mieux faire le lien entre les besoins des pays en développement et la recherche dans les pays développés à l’aide des instruments de la Famille CMS afin d’encourager la collaboration, la coordination et des actions </w:t>
      </w:r>
      <w:r w:rsidRPr="00A10862">
        <w:rPr>
          <w:i/>
          <w:lang w:val="fr-FR"/>
        </w:rPr>
        <w:t>(Parties / Signataires des instruments de la CMS)</w:t>
      </w:r>
      <w:proofErr w:type="gramStart"/>
      <w:r w:rsidRPr="00A10862">
        <w:rPr>
          <w:lang w:val="fr-FR"/>
        </w:rPr>
        <w:t>.</w:t>
      </w:r>
      <w:r w:rsidR="00E224BB">
        <w:rPr>
          <w:lang w:val="fr-FR"/>
        </w:rPr>
        <w:t>[</w:t>
      </w:r>
      <w:proofErr w:type="gramEnd"/>
      <w:r w:rsidR="00E224BB">
        <w:rPr>
          <w:lang w:val="fr-FR"/>
        </w:rPr>
        <w:t>L]</w:t>
      </w:r>
    </w:p>
    <w:p w:rsidR="00F47A4C" w:rsidRPr="00A10862" w:rsidRDefault="00F47A4C" w:rsidP="00F47A4C">
      <w:pPr>
        <w:pStyle w:val="ListParagraph"/>
        <w:numPr>
          <w:ilvl w:val="0"/>
          <w:numId w:val="16"/>
        </w:numPr>
        <w:ind w:hanging="720"/>
        <w:contextualSpacing/>
        <w:jc w:val="both"/>
        <w:rPr>
          <w:lang w:val="fr-FR"/>
        </w:rPr>
      </w:pPr>
      <w:r w:rsidRPr="00A10862">
        <w:rPr>
          <w:lang w:val="fr-FR"/>
        </w:rPr>
        <w:t>Renforcer l</w:t>
      </w:r>
      <w:r w:rsidR="00E224BB">
        <w:rPr>
          <w:lang w:val="fr-FR"/>
        </w:rPr>
        <w:t>a</w:t>
      </w:r>
      <w:r w:rsidRPr="00A10862">
        <w:rPr>
          <w:lang w:val="fr-FR"/>
        </w:rPr>
        <w:t xml:space="preserve"> c</w:t>
      </w:r>
      <w:r>
        <w:rPr>
          <w:lang w:val="fr-FR"/>
        </w:rPr>
        <w:t>apacité</w:t>
      </w:r>
      <w:r w:rsidRPr="00A10862">
        <w:rPr>
          <w:lang w:val="fr-FR"/>
        </w:rPr>
        <w:t xml:space="preserve"> des gestionnaires des ressources naturelles et d’autres décideurs et améliorer leur</w:t>
      </w:r>
      <w:r w:rsidR="002E323C">
        <w:rPr>
          <w:lang w:val="fr-FR"/>
        </w:rPr>
        <w:t xml:space="preserve"> </w:t>
      </w:r>
      <w:r w:rsidRPr="00A10862">
        <w:rPr>
          <w:lang w:val="fr-FR"/>
        </w:rPr>
        <w:t>compétence afin de faire face aux impacts du changement climatique sur les espèces migratrices, notamment par les actions suivantes :</w:t>
      </w:r>
    </w:p>
    <w:p w:rsidR="00F47A4C" w:rsidRPr="00A10862" w:rsidRDefault="00F47A4C" w:rsidP="00F47A4C">
      <w:pPr>
        <w:pStyle w:val="ListParagraph"/>
        <w:numPr>
          <w:ilvl w:val="1"/>
          <w:numId w:val="16"/>
        </w:numPr>
        <w:ind w:left="1134" w:hanging="425"/>
        <w:contextualSpacing/>
        <w:jc w:val="both"/>
        <w:rPr>
          <w:lang w:val="fr-FR"/>
        </w:rPr>
      </w:pPr>
      <w:r w:rsidRPr="00A10862">
        <w:rPr>
          <w:lang w:val="fr-FR"/>
        </w:rPr>
        <w:t xml:space="preserve">Procéder à une évaluation des besoins de formation en matière de changement climatique et d’espèces migratrices au niveau national </w:t>
      </w:r>
      <w:r w:rsidRPr="00A10862">
        <w:rPr>
          <w:i/>
          <w:lang w:val="fr-FR"/>
        </w:rPr>
        <w:t>(Parties)</w:t>
      </w:r>
      <w:r w:rsidRPr="00A10862">
        <w:rPr>
          <w:lang w:val="fr-FR"/>
        </w:rPr>
        <w:t>;</w:t>
      </w:r>
      <w:r w:rsidR="00E224BB">
        <w:rPr>
          <w:lang w:val="fr-FR"/>
        </w:rPr>
        <w:t>[S]</w:t>
      </w:r>
    </w:p>
    <w:p w:rsidR="00F47A4C" w:rsidRPr="00A10862" w:rsidRDefault="00F47A4C" w:rsidP="00F47A4C">
      <w:pPr>
        <w:pStyle w:val="ListParagraph"/>
        <w:numPr>
          <w:ilvl w:val="1"/>
          <w:numId w:val="16"/>
        </w:numPr>
        <w:ind w:left="1134" w:hanging="425"/>
        <w:contextualSpacing/>
        <w:jc w:val="both"/>
        <w:rPr>
          <w:lang w:val="fr-FR"/>
        </w:rPr>
      </w:pPr>
      <w:r w:rsidRPr="00A10862">
        <w:rPr>
          <w:lang w:val="fr-FR"/>
        </w:rPr>
        <w:t xml:space="preserve">Développer la formation sur l’utilisation des outils existants et nouveaux utiles pour gérer les impacts du changement climatique sur les espèces migratrices (SIG, analyse statistique, etc.). </w:t>
      </w:r>
      <w:r w:rsidRPr="00A10862">
        <w:rPr>
          <w:i/>
          <w:lang w:val="fr-FR"/>
        </w:rPr>
        <w:t>(Parties, communauté scientifique)</w:t>
      </w:r>
      <w:r w:rsidRPr="00A10862">
        <w:rPr>
          <w:lang w:val="fr-FR"/>
        </w:rPr>
        <w:t>;</w:t>
      </w:r>
      <w:r w:rsidR="00E224BB">
        <w:rPr>
          <w:lang w:val="fr-FR"/>
        </w:rPr>
        <w:t>[S]</w:t>
      </w:r>
    </w:p>
    <w:p w:rsidR="00F47A4C" w:rsidRPr="00A10862" w:rsidRDefault="00F47A4C" w:rsidP="00F47A4C">
      <w:pPr>
        <w:pStyle w:val="ListParagraph"/>
        <w:numPr>
          <w:ilvl w:val="1"/>
          <w:numId w:val="16"/>
        </w:numPr>
        <w:ind w:left="1134" w:hanging="425"/>
        <w:contextualSpacing/>
        <w:jc w:val="both"/>
        <w:rPr>
          <w:lang w:val="fr-FR"/>
        </w:rPr>
      </w:pPr>
      <w:r w:rsidRPr="00A10862">
        <w:rPr>
          <w:lang w:val="fr-FR"/>
        </w:rPr>
        <w:t xml:space="preserve">Tirer parti des cours de formation déjà en place et travailler avec les associations professionnelles, les universités, les experts techniques et les spécialistes de la formation des organismes s’occupant des ressources naturelles pour répondre aux besoins essentiels et augmenter les possibilités de formation à l’adaptation </w:t>
      </w:r>
      <w:r w:rsidRPr="00A10862">
        <w:rPr>
          <w:i/>
          <w:lang w:val="fr-FR"/>
        </w:rPr>
        <w:t>(Parties, ONG et communauté scientifique)</w:t>
      </w:r>
      <w:r w:rsidRPr="00A10862">
        <w:rPr>
          <w:lang w:val="fr-FR"/>
        </w:rPr>
        <w:t>;</w:t>
      </w:r>
      <w:r w:rsidR="00E224BB">
        <w:rPr>
          <w:lang w:val="fr-FR"/>
        </w:rPr>
        <w:t>[S]</w:t>
      </w:r>
    </w:p>
    <w:p w:rsidR="00F47A4C" w:rsidRPr="00A10862" w:rsidRDefault="00F47A4C" w:rsidP="00F47A4C">
      <w:pPr>
        <w:pStyle w:val="ListParagraph"/>
        <w:numPr>
          <w:ilvl w:val="1"/>
          <w:numId w:val="16"/>
        </w:numPr>
        <w:ind w:left="1134" w:hanging="425"/>
        <w:contextualSpacing/>
        <w:jc w:val="both"/>
        <w:rPr>
          <w:spacing w:val="-4"/>
          <w:lang w:val="fr-FR"/>
        </w:rPr>
      </w:pPr>
      <w:r w:rsidRPr="00A10862">
        <w:rPr>
          <w:spacing w:val="-4"/>
          <w:lang w:val="fr-FR"/>
        </w:rPr>
        <w:t xml:space="preserve">Identifier et nouer le dialogue avec les principaux acteurs qui ont une expérience des possibilités de formation dans les domaines du changement climatique, de la surveillance et de la modélisation et partager ces connaissances </w:t>
      </w:r>
      <w:r w:rsidRPr="00A10862">
        <w:rPr>
          <w:i/>
          <w:spacing w:val="-4"/>
          <w:lang w:val="fr-FR"/>
        </w:rPr>
        <w:t>(Parties, organisations internationales, intergouvernementales et autres organisations compétentes)</w:t>
      </w:r>
      <w:r w:rsidRPr="00A10862">
        <w:rPr>
          <w:spacing w:val="-4"/>
          <w:lang w:val="fr-FR"/>
        </w:rPr>
        <w:t>;</w:t>
      </w:r>
      <w:r w:rsidR="00E224BB">
        <w:rPr>
          <w:spacing w:val="-4"/>
          <w:lang w:val="fr-FR"/>
        </w:rPr>
        <w:t>[S]</w:t>
      </w:r>
    </w:p>
    <w:p w:rsidR="00F47A4C" w:rsidRPr="00A10862" w:rsidRDefault="00F47A4C" w:rsidP="00F47A4C">
      <w:pPr>
        <w:pStyle w:val="ListParagraph"/>
        <w:numPr>
          <w:ilvl w:val="1"/>
          <w:numId w:val="16"/>
        </w:numPr>
        <w:ind w:left="1134" w:hanging="425"/>
        <w:contextualSpacing/>
        <w:jc w:val="both"/>
        <w:rPr>
          <w:lang w:val="fr-FR"/>
        </w:rPr>
      </w:pPr>
      <w:r w:rsidRPr="00A10862">
        <w:rPr>
          <w:lang w:val="fr-FR"/>
        </w:rPr>
        <w:t xml:space="preserve">Développer et encourager l’utilisation des webinaires et des formations en ligne sur le changement climatique et les espèces migratrices </w:t>
      </w:r>
      <w:r w:rsidRPr="00A10862">
        <w:rPr>
          <w:i/>
          <w:lang w:val="fr-FR"/>
        </w:rPr>
        <w:t>(Parties, ONG, communauté scientifique</w:t>
      </w:r>
      <w:r w:rsidRPr="002E323C">
        <w:rPr>
          <w:i/>
          <w:lang w:val="fr-FR"/>
        </w:rPr>
        <w:t>);</w:t>
      </w:r>
      <w:r w:rsidR="00E224BB" w:rsidRPr="002E323C">
        <w:rPr>
          <w:i/>
          <w:lang w:val="fr-FR"/>
        </w:rPr>
        <w:t>[M]</w:t>
      </w:r>
      <w:r w:rsidRPr="00A10862">
        <w:rPr>
          <w:b/>
          <w:i/>
          <w:lang w:val="fr-FR"/>
        </w:rPr>
        <w:t xml:space="preserve"> </w:t>
      </w:r>
      <w:r w:rsidRPr="00A10862">
        <w:rPr>
          <w:lang w:val="fr-FR"/>
        </w:rPr>
        <w:t>et</w:t>
      </w:r>
    </w:p>
    <w:p w:rsidR="00F47A4C" w:rsidRPr="00A10862" w:rsidRDefault="00F47A4C" w:rsidP="00F47A4C">
      <w:pPr>
        <w:pStyle w:val="ListParagraph"/>
        <w:numPr>
          <w:ilvl w:val="1"/>
          <w:numId w:val="16"/>
        </w:numPr>
        <w:ind w:left="1134" w:hanging="425"/>
        <w:contextualSpacing/>
        <w:jc w:val="both"/>
        <w:rPr>
          <w:lang w:val="fr-FR"/>
        </w:rPr>
      </w:pPr>
      <w:r w:rsidRPr="00A10862">
        <w:rPr>
          <w:lang w:val="fr-FR"/>
        </w:rPr>
        <w:t xml:space="preserve">Renforcer les capacités tant scientifiques que de gestion, y compris par des cours universitaires jusqu’au niveau du doctorat, afin de s’attaquer aux impacts du changement climatique sur les espèces migratrices </w:t>
      </w:r>
      <w:r w:rsidRPr="00A10862">
        <w:rPr>
          <w:i/>
          <w:lang w:val="fr-FR"/>
        </w:rPr>
        <w:t>(Parties, communauté scientifique)</w:t>
      </w:r>
      <w:proofErr w:type="gramStart"/>
      <w:r w:rsidRPr="00A10862">
        <w:rPr>
          <w:i/>
          <w:lang w:val="fr-FR"/>
        </w:rPr>
        <w:t>.</w:t>
      </w:r>
      <w:r w:rsidR="00E224BB">
        <w:rPr>
          <w:i/>
          <w:lang w:val="fr-FR"/>
        </w:rPr>
        <w:t>[</w:t>
      </w:r>
      <w:proofErr w:type="gramEnd"/>
      <w:r w:rsidR="00E224BB">
        <w:rPr>
          <w:i/>
          <w:lang w:val="fr-FR"/>
        </w:rPr>
        <w:t>M]</w:t>
      </w:r>
    </w:p>
    <w:p w:rsidR="00F47A4C" w:rsidRPr="00A10862" w:rsidRDefault="00F47A4C" w:rsidP="00F47A4C">
      <w:pPr>
        <w:pStyle w:val="ListParagraph"/>
        <w:numPr>
          <w:ilvl w:val="0"/>
          <w:numId w:val="16"/>
        </w:numPr>
        <w:ind w:hanging="720"/>
        <w:contextualSpacing/>
        <w:jc w:val="both"/>
        <w:rPr>
          <w:lang w:val="fr-FR"/>
        </w:rPr>
      </w:pPr>
      <w:r w:rsidRPr="00A10862">
        <w:rPr>
          <w:lang w:val="fr-FR"/>
        </w:rPr>
        <w:t xml:space="preserve">Élaborer un curriculum de base pour les webinaires et les formations en ligne afin de renforcer les capacités sur le changement climatique et les espèces migratrices parmi les spécialistes des ressources naturelles et les décideurs </w:t>
      </w:r>
      <w:r w:rsidRPr="00A10862">
        <w:rPr>
          <w:i/>
          <w:lang w:val="fr-FR"/>
        </w:rPr>
        <w:t>(Secrétariat, Conseil scientifique, communauté scientifique)</w:t>
      </w:r>
      <w:proofErr w:type="gramStart"/>
      <w:r w:rsidRPr="00A10862">
        <w:rPr>
          <w:lang w:val="fr-FR"/>
        </w:rPr>
        <w:t>.</w:t>
      </w:r>
      <w:r w:rsidR="00E224BB">
        <w:rPr>
          <w:lang w:val="fr-FR"/>
        </w:rPr>
        <w:t>[</w:t>
      </w:r>
      <w:proofErr w:type="gramEnd"/>
      <w:r w:rsidR="00E224BB">
        <w:rPr>
          <w:lang w:val="fr-FR"/>
        </w:rPr>
        <w:t>M]</w:t>
      </w:r>
    </w:p>
    <w:p w:rsidR="00F47A4C" w:rsidRPr="00A10862" w:rsidRDefault="00F47A4C" w:rsidP="00F47A4C">
      <w:pPr>
        <w:pStyle w:val="ListParagraph"/>
        <w:numPr>
          <w:ilvl w:val="0"/>
          <w:numId w:val="16"/>
        </w:numPr>
        <w:ind w:hanging="720"/>
        <w:contextualSpacing/>
        <w:jc w:val="both"/>
        <w:rPr>
          <w:lang w:val="fr-FR"/>
        </w:rPr>
      </w:pPr>
      <w:r w:rsidRPr="00A10862">
        <w:rPr>
          <w:lang w:val="fr-FR"/>
        </w:rPr>
        <w:t xml:space="preserve">Fournir des informations techniques et scientifiques sur le changement climatique et les espèces migratrices au mécanisme d’échange d’informations national et central de la CDB </w:t>
      </w:r>
      <w:r w:rsidRPr="00A10862">
        <w:rPr>
          <w:i/>
          <w:lang w:val="fr-FR"/>
        </w:rPr>
        <w:t>(Parties, communauté scientifique, ONG et autres organisations compétentes)</w:t>
      </w:r>
      <w:proofErr w:type="gramStart"/>
      <w:r w:rsidRPr="00A10862">
        <w:rPr>
          <w:lang w:val="fr-FR"/>
        </w:rPr>
        <w:t>.</w:t>
      </w:r>
      <w:r w:rsidR="00E224BB">
        <w:rPr>
          <w:lang w:val="fr-FR"/>
        </w:rPr>
        <w:t>[</w:t>
      </w:r>
      <w:proofErr w:type="gramEnd"/>
      <w:r w:rsidR="00E224BB">
        <w:rPr>
          <w:lang w:val="fr-FR"/>
        </w:rPr>
        <w:t>L]</w:t>
      </w:r>
    </w:p>
    <w:p w:rsidR="00F47A4C" w:rsidRPr="00A10862" w:rsidRDefault="00F47A4C" w:rsidP="00F47A4C">
      <w:pPr>
        <w:pStyle w:val="ListParagraph"/>
        <w:numPr>
          <w:ilvl w:val="0"/>
          <w:numId w:val="16"/>
        </w:numPr>
        <w:ind w:hanging="720"/>
        <w:contextualSpacing/>
        <w:jc w:val="both"/>
        <w:rPr>
          <w:lang w:val="fr-FR"/>
        </w:rPr>
      </w:pPr>
      <w:r w:rsidRPr="00A10862">
        <w:rPr>
          <w:lang w:val="fr-FR"/>
        </w:rPr>
        <w:t xml:space="preserve">Inviter la COP de la CDB à encourager ses points focaux nationaux à rendre accessibles les mécanismes nationaux d’échanges d’informations sur les espèces migratrices et le changement climatique </w:t>
      </w:r>
      <w:r w:rsidRPr="00A10862">
        <w:rPr>
          <w:i/>
          <w:lang w:val="fr-FR"/>
        </w:rPr>
        <w:t>(Parties)</w:t>
      </w:r>
      <w:proofErr w:type="gramStart"/>
      <w:r w:rsidRPr="00A10862">
        <w:rPr>
          <w:i/>
          <w:lang w:val="fr-FR"/>
        </w:rPr>
        <w:t>.</w:t>
      </w:r>
      <w:r w:rsidR="00E224BB">
        <w:rPr>
          <w:i/>
          <w:lang w:val="fr-FR"/>
        </w:rPr>
        <w:t>[</w:t>
      </w:r>
      <w:proofErr w:type="gramEnd"/>
      <w:r w:rsidR="00E224BB">
        <w:rPr>
          <w:i/>
          <w:lang w:val="fr-FR"/>
        </w:rPr>
        <w:t>S]</w:t>
      </w:r>
    </w:p>
    <w:p w:rsidR="00F47A4C" w:rsidRPr="00A10862" w:rsidRDefault="00F47A4C" w:rsidP="00F47A4C">
      <w:pPr>
        <w:pStyle w:val="ListParagraph"/>
        <w:numPr>
          <w:ilvl w:val="0"/>
          <w:numId w:val="16"/>
        </w:numPr>
        <w:ind w:hanging="720"/>
        <w:contextualSpacing/>
        <w:jc w:val="both"/>
        <w:rPr>
          <w:lang w:val="fr-FR"/>
        </w:rPr>
      </w:pPr>
      <w:r w:rsidRPr="00A10862">
        <w:rPr>
          <w:lang w:val="fr-FR"/>
        </w:rPr>
        <w:t xml:space="preserve">Suivre l’efficacité des efforts déployés pour le renforcement des capacités en matière de changement climatique et d’espèces migratrices </w:t>
      </w:r>
      <w:r w:rsidRPr="00A10862">
        <w:rPr>
          <w:i/>
          <w:lang w:val="fr-FR"/>
        </w:rPr>
        <w:t>(Parties)</w:t>
      </w:r>
      <w:proofErr w:type="gramStart"/>
      <w:r w:rsidRPr="00A10862">
        <w:rPr>
          <w:lang w:val="fr-FR"/>
        </w:rPr>
        <w:t>.</w:t>
      </w:r>
      <w:r w:rsidR="00E224BB">
        <w:rPr>
          <w:lang w:val="fr-FR"/>
        </w:rPr>
        <w:t>[</w:t>
      </w:r>
      <w:proofErr w:type="gramEnd"/>
      <w:r w:rsidR="00E224BB">
        <w:rPr>
          <w:lang w:val="fr-FR"/>
        </w:rPr>
        <w:t>L]</w:t>
      </w:r>
    </w:p>
    <w:p w:rsidR="00F47A4C" w:rsidRDefault="00F47A4C" w:rsidP="00F47A4C">
      <w:pPr>
        <w:jc w:val="both"/>
        <w:rPr>
          <w:lang w:val="fr-FR"/>
        </w:rPr>
      </w:pPr>
    </w:p>
    <w:p w:rsidR="002E323C" w:rsidRPr="00A10862" w:rsidRDefault="002E323C" w:rsidP="00F47A4C">
      <w:pPr>
        <w:jc w:val="both"/>
        <w:rPr>
          <w:lang w:val="fr-FR"/>
        </w:rPr>
      </w:pPr>
    </w:p>
    <w:p w:rsidR="00F47A4C" w:rsidRPr="0061058A" w:rsidRDefault="00F47A4C" w:rsidP="00F47A4C">
      <w:pPr>
        <w:pStyle w:val="Default"/>
        <w:jc w:val="both"/>
        <w:rPr>
          <w:u w:val="single"/>
          <w:lang w:val="de-DE"/>
        </w:rPr>
      </w:pPr>
      <w:r w:rsidRPr="0061058A">
        <w:rPr>
          <w:b/>
          <w:bCs/>
          <w:u w:val="single"/>
          <w:lang w:val="de-DE"/>
        </w:rPr>
        <w:lastRenderedPageBreak/>
        <w:t>Coopération et mise en oeuvre</w:t>
      </w:r>
    </w:p>
    <w:p w:rsidR="00F47A4C" w:rsidRPr="0061058A" w:rsidRDefault="00F47A4C" w:rsidP="00F47A4C">
      <w:pPr>
        <w:pStyle w:val="Default"/>
        <w:jc w:val="both"/>
        <w:rPr>
          <w:lang w:val="de-DE"/>
        </w:rPr>
      </w:pPr>
    </w:p>
    <w:p w:rsidR="00F47A4C" w:rsidRPr="00A10862" w:rsidRDefault="00F47A4C" w:rsidP="00F47A4C">
      <w:pPr>
        <w:pStyle w:val="Default"/>
        <w:numPr>
          <w:ilvl w:val="0"/>
          <w:numId w:val="17"/>
        </w:numPr>
        <w:adjustRightInd w:val="0"/>
        <w:ind w:hanging="720"/>
        <w:jc w:val="both"/>
        <w:rPr>
          <w:lang w:val="fr-FR"/>
        </w:rPr>
      </w:pPr>
      <w:r w:rsidRPr="00A10862">
        <w:rPr>
          <w:lang w:val="fr-FR"/>
        </w:rPr>
        <w:t xml:space="preserve">Coordonner les mesures visant à faciliter l’adaptation des espèces face au changement climatique au sein des divers instruments de la CMS </w:t>
      </w:r>
      <w:r w:rsidRPr="00A10862">
        <w:rPr>
          <w:i/>
          <w:lang w:val="fr-FR"/>
        </w:rPr>
        <w:t>(Parties / Signataires des instruments de la CMS)</w:t>
      </w:r>
      <w:proofErr w:type="gramStart"/>
      <w:r w:rsidRPr="00A10862">
        <w:rPr>
          <w:lang w:val="fr-FR"/>
        </w:rPr>
        <w:t>.</w:t>
      </w:r>
      <w:r w:rsidR="00E224BB">
        <w:rPr>
          <w:lang w:val="fr-FR"/>
        </w:rPr>
        <w:t>[</w:t>
      </w:r>
      <w:proofErr w:type="gramEnd"/>
      <w:r w:rsidR="00E224BB">
        <w:rPr>
          <w:lang w:val="fr-FR"/>
        </w:rPr>
        <w:t>L]</w:t>
      </w:r>
    </w:p>
    <w:p w:rsidR="00F47A4C" w:rsidRPr="00A10862" w:rsidRDefault="00F47A4C" w:rsidP="00F47A4C">
      <w:pPr>
        <w:pStyle w:val="Default"/>
        <w:numPr>
          <w:ilvl w:val="0"/>
          <w:numId w:val="17"/>
        </w:numPr>
        <w:adjustRightInd w:val="0"/>
        <w:ind w:hanging="720"/>
        <w:jc w:val="both"/>
        <w:rPr>
          <w:lang w:val="fr-FR"/>
        </w:rPr>
      </w:pPr>
      <w:r w:rsidRPr="00A10862">
        <w:rPr>
          <w:lang w:val="fr-FR"/>
        </w:rPr>
        <w:t>Travailler en coopération avec les points focaux nationaux de la CCNUCC</w:t>
      </w:r>
      <w:r>
        <w:rPr>
          <w:lang w:val="fr-FR"/>
        </w:rPr>
        <w:t xml:space="preserve"> </w:t>
      </w:r>
      <w:r w:rsidRPr="00A10862">
        <w:rPr>
          <w:lang w:val="fr-FR"/>
        </w:rPr>
        <w:t>et leur fournir des avis et le soutien d’experts sur la manière dont les espèces migratrices sont affectées par les activités humaines d’adaptation au changement climatique et d’atténuation de ses effets</w:t>
      </w:r>
      <w:r>
        <w:rPr>
          <w:lang w:val="fr-FR"/>
        </w:rPr>
        <w:t>, par exemple</w:t>
      </w:r>
      <w:r w:rsidRPr="00A10862">
        <w:rPr>
          <w:lang w:val="fr-FR"/>
        </w:rPr>
        <w:t xml:space="preserve"> le développement des énergies renouvelables et de la bioénergie, et collaborer étroitement à la conception de solutions communes visant à réduire au minimum les effets négatifs sur les espèces migratrices </w:t>
      </w:r>
      <w:r w:rsidRPr="00A10862">
        <w:rPr>
          <w:i/>
          <w:lang w:val="fr-FR"/>
        </w:rPr>
        <w:t>(Points focaux et conseillers scientifiques de la CMS)</w:t>
      </w:r>
      <w:r w:rsidRPr="00A10862">
        <w:rPr>
          <w:lang w:val="fr-FR"/>
        </w:rPr>
        <w:t>.</w:t>
      </w:r>
      <w:r w:rsidR="00E224BB">
        <w:rPr>
          <w:lang w:val="fr-FR"/>
        </w:rPr>
        <w:t>[L]</w:t>
      </w:r>
    </w:p>
    <w:p w:rsidR="00F47A4C" w:rsidRPr="00A10862" w:rsidRDefault="00F47A4C" w:rsidP="00F47A4C">
      <w:pPr>
        <w:pStyle w:val="Default"/>
        <w:numPr>
          <w:ilvl w:val="0"/>
          <w:numId w:val="17"/>
        </w:numPr>
        <w:adjustRightInd w:val="0"/>
        <w:ind w:hanging="720"/>
        <w:jc w:val="both"/>
        <w:rPr>
          <w:i/>
          <w:lang w:val="fr-FR"/>
        </w:rPr>
      </w:pPr>
      <w:r w:rsidRPr="00A10862">
        <w:rPr>
          <w:lang w:val="fr-FR"/>
        </w:rPr>
        <w:t xml:space="preserve">Promouvoir la coopération et les synergies </w:t>
      </w:r>
      <w:r>
        <w:rPr>
          <w:lang w:val="fr-FR"/>
        </w:rPr>
        <w:t>quant aux</w:t>
      </w:r>
      <w:r w:rsidRPr="00A10862">
        <w:rPr>
          <w:lang w:val="fr-FR"/>
        </w:rPr>
        <w:t xml:space="preserve"> actions concernant le changement climatique auprès des instruments de la Famille CMS, y compris en organisant des réunions consécutives </w:t>
      </w:r>
      <w:r w:rsidRPr="00A10862">
        <w:rPr>
          <w:i/>
          <w:lang w:val="fr-FR"/>
        </w:rPr>
        <w:t>(Secrétariat)</w:t>
      </w:r>
      <w:proofErr w:type="gramStart"/>
      <w:r w:rsidRPr="00A10862">
        <w:rPr>
          <w:i/>
          <w:lang w:val="fr-FR"/>
        </w:rPr>
        <w:t>.</w:t>
      </w:r>
      <w:r w:rsidR="00E224BB">
        <w:rPr>
          <w:i/>
          <w:lang w:val="fr-FR"/>
        </w:rPr>
        <w:t>[</w:t>
      </w:r>
      <w:proofErr w:type="gramEnd"/>
      <w:r w:rsidR="00E224BB">
        <w:rPr>
          <w:i/>
          <w:lang w:val="fr-FR"/>
        </w:rPr>
        <w:t>L]</w:t>
      </w:r>
    </w:p>
    <w:p w:rsidR="00F47A4C" w:rsidRPr="00A10862" w:rsidRDefault="00F47A4C" w:rsidP="00F47A4C">
      <w:pPr>
        <w:pStyle w:val="Default"/>
        <w:numPr>
          <w:ilvl w:val="0"/>
          <w:numId w:val="17"/>
        </w:numPr>
        <w:adjustRightInd w:val="0"/>
        <w:ind w:hanging="720"/>
        <w:jc w:val="both"/>
        <w:rPr>
          <w:lang w:val="fr-FR"/>
        </w:rPr>
      </w:pPr>
      <w:r w:rsidRPr="00A10862">
        <w:rPr>
          <w:lang w:val="fr-FR"/>
        </w:rPr>
        <w:t xml:space="preserve">Consolider le Groupe de travail sur le changement climatique de la CMS en tant que moyen de conseiller, promouvoir et mettre en œuvre des actions. Cela pourrait comprendre l’établissement de priorités et la promotion de projets spécifiques auprès des  bailleurs de fonds </w:t>
      </w:r>
      <w:r w:rsidRPr="00A10862">
        <w:rPr>
          <w:i/>
          <w:lang w:val="fr-FR"/>
        </w:rPr>
        <w:t>(Conseil scientifique)</w:t>
      </w:r>
      <w:proofErr w:type="gramStart"/>
      <w:r w:rsidRPr="00A10862">
        <w:rPr>
          <w:lang w:val="fr-FR"/>
        </w:rPr>
        <w:t>.</w:t>
      </w:r>
      <w:r w:rsidR="00E224BB">
        <w:rPr>
          <w:lang w:val="fr-FR"/>
        </w:rPr>
        <w:t>[</w:t>
      </w:r>
      <w:proofErr w:type="gramEnd"/>
      <w:r w:rsidR="00E224BB">
        <w:rPr>
          <w:lang w:val="fr-FR"/>
        </w:rPr>
        <w:t>S]</w:t>
      </w:r>
    </w:p>
    <w:p w:rsidR="00F47A4C" w:rsidRPr="00A10862" w:rsidRDefault="00F47A4C" w:rsidP="00F47A4C">
      <w:pPr>
        <w:pStyle w:val="Default"/>
        <w:numPr>
          <w:ilvl w:val="0"/>
          <w:numId w:val="17"/>
        </w:numPr>
        <w:adjustRightInd w:val="0"/>
        <w:ind w:hanging="720"/>
        <w:jc w:val="both"/>
        <w:rPr>
          <w:lang w:val="fr-FR"/>
        </w:rPr>
      </w:pPr>
      <w:r w:rsidRPr="00A10862">
        <w:rPr>
          <w:lang w:val="fr-FR"/>
        </w:rPr>
        <w:t xml:space="preserve">Mettre au point des mécanismes pour la promotion et l’application des meilleures pratiques de gestion des espèces migratrices à la lumière du changement climatique, en particulier sur les zones sensibles </w:t>
      </w:r>
      <w:r w:rsidRPr="00A10862">
        <w:rPr>
          <w:i/>
          <w:lang w:val="fr-FR"/>
        </w:rPr>
        <w:t>(Parties).</w:t>
      </w:r>
      <w:r w:rsidR="00E224BB">
        <w:rPr>
          <w:i/>
          <w:lang w:val="fr-FR"/>
        </w:rPr>
        <w:t>[M]</w:t>
      </w:r>
    </w:p>
    <w:p w:rsidR="00F47A4C" w:rsidRPr="00A10862" w:rsidRDefault="00F47A4C" w:rsidP="00F47A4C">
      <w:pPr>
        <w:pStyle w:val="Default"/>
        <w:numPr>
          <w:ilvl w:val="0"/>
          <w:numId w:val="17"/>
        </w:numPr>
        <w:adjustRightInd w:val="0"/>
        <w:ind w:hanging="720"/>
        <w:jc w:val="both"/>
        <w:rPr>
          <w:lang w:val="fr-FR"/>
        </w:rPr>
      </w:pPr>
      <w:r w:rsidRPr="00A10862">
        <w:rPr>
          <w:lang w:val="fr-FR"/>
        </w:rPr>
        <w:t xml:space="preserve">Renforcer les synergies avec les Secrétariats de la CDB, de la CCNUCC, de la CNULCD, de la Convention de </w:t>
      </w:r>
      <w:proofErr w:type="spellStart"/>
      <w:r w:rsidRPr="00A10862">
        <w:rPr>
          <w:lang w:val="fr-FR"/>
        </w:rPr>
        <w:t>Ramsar</w:t>
      </w:r>
      <w:proofErr w:type="spellEnd"/>
      <w:r w:rsidRPr="00A10862">
        <w:rPr>
          <w:lang w:val="fr-FR"/>
        </w:rPr>
        <w:t>, de la Convention du patrimoine mondial, de la CBI, du Conseil de l’Arctique et de la CFFA, de la Convention de Berne et d’autres instruments et a</w:t>
      </w:r>
      <w:r>
        <w:rPr>
          <w:lang w:val="fr-FR"/>
        </w:rPr>
        <w:t>rrangements</w:t>
      </w:r>
      <w:r w:rsidRPr="00A10862">
        <w:rPr>
          <w:lang w:val="fr-FR"/>
        </w:rPr>
        <w:t xml:space="preserve"> internationaux </w:t>
      </w:r>
      <w:r w:rsidRPr="00A10862">
        <w:rPr>
          <w:i/>
          <w:lang w:val="fr-FR"/>
        </w:rPr>
        <w:t>(Secrétariat)</w:t>
      </w:r>
      <w:proofErr w:type="gramStart"/>
      <w:r w:rsidRPr="00A10862">
        <w:rPr>
          <w:lang w:val="fr-FR"/>
        </w:rPr>
        <w:t>.</w:t>
      </w:r>
      <w:r w:rsidR="00E224BB">
        <w:rPr>
          <w:lang w:val="fr-FR"/>
        </w:rPr>
        <w:t>[</w:t>
      </w:r>
      <w:proofErr w:type="gramEnd"/>
      <w:r w:rsidR="00E224BB">
        <w:rPr>
          <w:lang w:val="fr-FR"/>
        </w:rPr>
        <w:t>L]</w:t>
      </w:r>
    </w:p>
    <w:p w:rsidR="00F47A4C" w:rsidRPr="00A10862" w:rsidRDefault="00F47A4C" w:rsidP="00F47A4C">
      <w:pPr>
        <w:pStyle w:val="Default"/>
        <w:numPr>
          <w:ilvl w:val="0"/>
          <w:numId w:val="17"/>
        </w:numPr>
        <w:adjustRightInd w:val="0"/>
        <w:ind w:hanging="720"/>
        <w:jc w:val="both"/>
        <w:rPr>
          <w:lang w:val="fr-FR"/>
        </w:rPr>
      </w:pPr>
      <w:r w:rsidRPr="00A10862">
        <w:rPr>
          <w:lang w:val="fr-FR"/>
        </w:rPr>
        <w:t xml:space="preserve">Participer et apporter un soutien aux activités de la CMS liées au changement climatique </w:t>
      </w:r>
      <w:r w:rsidRPr="00A10862">
        <w:rPr>
          <w:i/>
          <w:lang w:val="fr-FR"/>
        </w:rPr>
        <w:t xml:space="preserve">(CDB, CCNUCC, CNULCD, Convention de </w:t>
      </w:r>
      <w:proofErr w:type="spellStart"/>
      <w:r w:rsidRPr="00A10862">
        <w:rPr>
          <w:i/>
          <w:lang w:val="fr-FR"/>
        </w:rPr>
        <w:t>Ramsar</w:t>
      </w:r>
      <w:proofErr w:type="spellEnd"/>
      <w:r w:rsidRPr="00A10862">
        <w:rPr>
          <w:i/>
          <w:lang w:val="fr-FR"/>
        </w:rPr>
        <w:t>, Convention du patrimoine mondial, CBI, Conseil de l’Arctique et CFFA,  Convention de Berne et d’autres instruments et accords internationaux</w:t>
      </w:r>
      <w:r w:rsidRPr="00A10862">
        <w:rPr>
          <w:lang w:val="fr-FR"/>
        </w:rPr>
        <w:t xml:space="preserve"> </w:t>
      </w:r>
      <w:r w:rsidRPr="00A10862">
        <w:rPr>
          <w:i/>
          <w:lang w:val="fr-FR"/>
        </w:rPr>
        <w:t xml:space="preserve">tels que la Convention interaméricaine pour la protection et la conservation des tortues marines, des mécanismes internationaux comme la Plateforme intergouvernementale sur la biodiversité et les services </w:t>
      </w:r>
      <w:proofErr w:type="spellStart"/>
      <w:r w:rsidRPr="00A10862">
        <w:rPr>
          <w:i/>
          <w:lang w:val="fr-FR"/>
        </w:rPr>
        <w:t>écosystémiques</w:t>
      </w:r>
      <w:proofErr w:type="spellEnd"/>
      <w:r w:rsidRPr="00A10862">
        <w:rPr>
          <w:i/>
          <w:lang w:val="fr-FR"/>
        </w:rPr>
        <w:t xml:space="preserve"> (IPBES) et d’autres instruments et arrangements internationaux)</w:t>
      </w:r>
      <w:r w:rsidRPr="00A10862">
        <w:rPr>
          <w:lang w:val="fr-FR"/>
        </w:rPr>
        <w:t>.</w:t>
      </w:r>
      <w:r w:rsidR="00E224BB">
        <w:rPr>
          <w:lang w:val="fr-FR"/>
        </w:rPr>
        <w:t>[L]</w:t>
      </w:r>
    </w:p>
    <w:p w:rsidR="00F47A4C" w:rsidRPr="00A10862" w:rsidRDefault="00F47A4C" w:rsidP="00F47A4C">
      <w:pPr>
        <w:pStyle w:val="ListParagraph"/>
        <w:numPr>
          <w:ilvl w:val="0"/>
          <w:numId w:val="17"/>
        </w:numPr>
        <w:ind w:hanging="720"/>
        <w:contextualSpacing/>
        <w:jc w:val="both"/>
        <w:rPr>
          <w:lang w:val="fr-FR"/>
        </w:rPr>
      </w:pPr>
      <w:r w:rsidRPr="00A10862">
        <w:rPr>
          <w:lang w:val="fr-FR"/>
        </w:rPr>
        <w:t xml:space="preserve">Utiliser les mécanismes de financement disponibles pour appuyer la gestion des services </w:t>
      </w:r>
      <w:proofErr w:type="spellStart"/>
      <w:r w:rsidRPr="00A10862">
        <w:rPr>
          <w:lang w:val="fr-FR"/>
        </w:rPr>
        <w:t>écosystémiques</w:t>
      </w:r>
      <w:proofErr w:type="spellEnd"/>
      <w:r w:rsidRPr="00A10862">
        <w:rPr>
          <w:lang w:val="fr-FR"/>
        </w:rPr>
        <w:t xml:space="preserve">, avec la pleine participation des communautés locales, afin d’améliorer l’état de conservation des espèces migratrices </w:t>
      </w:r>
      <w:r w:rsidRPr="00A10862">
        <w:rPr>
          <w:i/>
          <w:lang w:val="fr-FR"/>
        </w:rPr>
        <w:t>(Parties et certaines parties prenantes)</w:t>
      </w:r>
      <w:proofErr w:type="gramStart"/>
      <w:r w:rsidRPr="00A10862">
        <w:rPr>
          <w:lang w:val="fr-FR"/>
        </w:rPr>
        <w:t>.</w:t>
      </w:r>
      <w:r w:rsidR="00E224BB">
        <w:rPr>
          <w:lang w:val="fr-FR"/>
        </w:rPr>
        <w:t>[</w:t>
      </w:r>
      <w:proofErr w:type="gramEnd"/>
      <w:r w:rsidR="00E224BB">
        <w:rPr>
          <w:lang w:val="fr-FR"/>
        </w:rPr>
        <w:t>S]</w:t>
      </w:r>
    </w:p>
    <w:p w:rsidR="00F47A4C" w:rsidRPr="00A10862" w:rsidRDefault="00E224BB" w:rsidP="00F47A4C">
      <w:pPr>
        <w:pStyle w:val="ListParagraph"/>
        <w:numPr>
          <w:ilvl w:val="0"/>
          <w:numId w:val="17"/>
        </w:numPr>
        <w:ind w:hanging="720"/>
        <w:contextualSpacing/>
        <w:jc w:val="both"/>
        <w:rPr>
          <w:lang w:val="fr-FR"/>
        </w:rPr>
      </w:pPr>
      <w:r>
        <w:rPr>
          <w:lang w:val="fr-FR"/>
        </w:rPr>
        <w:t xml:space="preserve">Mettre en place </w:t>
      </w:r>
      <w:r w:rsidR="00F47A4C" w:rsidRPr="00A10862">
        <w:rPr>
          <w:lang w:val="fr-FR"/>
        </w:rPr>
        <w:t xml:space="preserve"> les mesures législatives, administratives, stratégiques et autres nécessaires pour mener à bien les actions fixées dans le cadre de ce programme de travail</w:t>
      </w:r>
      <w:r w:rsidR="00F47A4C">
        <w:rPr>
          <w:lang w:val="fr-FR"/>
        </w:rPr>
        <w:t>,</w:t>
      </w:r>
      <w:r w:rsidR="00F47A4C" w:rsidRPr="00A10862">
        <w:rPr>
          <w:lang w:val="fr-FR"/>
        </w:rPr>
        <w:t xml:space="preserve"> notamment l’incorporation de ces mesures dans les stratégies nationales relatives au changement climatique, les Stratégies et Plans d’action nationaux pour la biodiversité (SPANB), les plans de gestion des aires protégées et d’autres instruments et processus pertinents</w:t>
      </w:r>
      <w:r w:rsidR="00F47A4C" w:rsidRPr="00A10862">
        <w:rPr>
          <w:i/>
          <w:lang w:val="fr-FR"/>
        </w:rPr>
        <w:t xml:space="preserve"> (Parties et non-Parties)</w:t>
      </w:r>
      <w:r w:rsidR="00F47A4C" w:rsidRPr="00A10862">
        <w:rPr>
          <w:lang w:val="fr-FR"/>
        </w:rPr>
        <w:t>.</w:t>
      </w:r>
      <w:r>
        <w:rPr>
          <w:lang w:val="fr-FR"/>
        </w:rPr>
        <w:t>[L]</w:t>
      </w:r>
    </w:p>
    <w:p w:rsidR="00F47A4C" w:rsidRPr="00A10862" w:rsidRDefault="00F47A4C" w:rsidP="00F47A4C">
      <w:pPr>
        <w:pStyle w:val="ListParagraph"/>
        <w:numPr>
          <w:ilvl w:val="0"/>
          <w:numId w:val="17"/>
        </w:numPr>
        <w:ind w:hanging="720"/>
        <w:contextualSpacing/>
        <w:jc w:val="both"/>
        <w:rPr>
          <w:lang w:val="fr-FR"/>
        </w:rPr>
      </w:pPr>
      <w:r w:rsidRPr="00A10862">
        <w:rPr>
          <w:lang w:val="fr-FR"/>
        </w:rPr>
        <w:t xml:space="preserve">Fournir un appui financier, technique, consultatif et autre approprié pour la mise en œuvre de ce programme de travail </w:t>
      </w:r>
      <w:r w:rsidRPr="00A10862">
        <w:rPr>
          <w:i/>
          <w:lang w:val="fr-FR"/>
        </w:rPr>
        <w:t>(Parties, PNUE, banques de développement multilatéral</w:t>
      </w:r>
      <w:r>
        <w:rPr>
          <w:i/>
          <w:lang w:val="fr-FR"/>
        </w:rPr>
        <w:t>es</w:t>
      </w:r>
      <w:r w:rsidRPr="00A10862">
        <w:rPr>
          <w:i/>
          <w:lang w:val="fr-FR"/>
        </w:rPr>
        <w:t xml:space="preserve"> et autres bailleurs de fonds nationaux et internationaux)</w:t>
      </w:r>
      <w:proofErr w:type="gramStart"/>
      <w:r w:rsidRPr="00A10862">
        <w:rPr>
          <w:lang w:val="fr-FR"/>
        </w:rPr>
        <w:t>.</w:t>
      </w:r>
      <w:r w:rsidR="00E224BB">
        <w:rPr>
          <w:lang w:val="fr-FR"/>
        </w:rPr>
        <w:t>[</w:t>
      </w:r>
      <w:proofErr w:type="gramEnd"/>
      <w:r w:rsidR="00E224BB">
        <w:rPr>
          <w:lang w:val="fr-FR"/>
        </w:rPr>
        <w:t>S]</w:t>
      </w:r>
    </w:p>
    <w:p w:rsidR="00F47A4C" w:rsidRPr="00A10862" w:rsidRDefault="00F47A4C" w:rsidP="00F47A4C">
      <w:pPr>
        <w:jc w:val="both"/>
        <w:rPr>
          <w:lang w:val="fr-FR"/>
        </w:rPr>
      </w:pPr>
    </w:p>
    <w:p w:rsidR="00F47A4C" w:rsidRPr="004556F3" w:rsidRDefault="00F47A4C" w:rsidP="00F47A4C">
      <w:pPr>
        <w:rPr>
          <w:szCs w:val="24"/>
          <w:lang w:val="fr-FR"/>
        </w:rPr>
      </w:pPr>
    </w:p>
    <w:p w:rsidR="006E6631" w:rsidRDefault="006E6631" w:rsidP="001572E6">
      <w:pPr>
        <w:pStyle w:val="BodyText3"/>
        <w:widowControl/>
        <w:spacing w:before="60"/>
        <w:outlineLvl w:val="0"/>
        <w:rPr>
          <w:lang w:val="fr-FR"/>
        </w:rPr>
      </w:pPr>
    </w:p>
    <w:sectPr w:rsidR="006E6631" w:rsidSect="004556F3">
      <w:headerReference w:type="even" r:id="rId23"/>
      <w:headerReference w:type="default" r:id="rId24"/>
      <w:headerReference w:type="first" r:id="rId25"/>
      <w:pgSz w:w="11907" w:h="16840" w:code="9"/>
      <w:pgMar w:top="1134"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E6" w:rsidRDefault="001572E6" w:rsidP="00C96A00">
      <w:r>
        <w:separator/>
      </w:r>
    </w:p>
  </w:endnote>
  <w:endnote w:type="continuationSeparator" w:id="0">
    <w:p w:rsidR="001572E6" w:rsidRDefault="001572E6"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2116D7">
      <w:rPr>
        <w:noProof/>
        <w:sz w:val="22"/>
        <w:lang w:val="fr-FR"/>
      </w:rPr>
      <w:t>12</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2116D7">
      <w:rPr>
        <w:noProof/>
        <w:sz w:val="22"/>
        <w:lang w:val="fr-FR"/>
      </w:rPr>
      <w:t>13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1572E6"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7E995A9C" wp14:editId="5C361F63">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235EF79A" wp14:editId="0D4D923C">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4C" w:rsidRDefault="00F47A4C">
    <w:pPr>
      <w:pStyle w:val="Footer"/>
      <w:jc w:val="center"/>
    </w:pPr>
    <w:r>
      <w:fldChar w:fldCharType="begin"/>
    </w:r>
    <w:r>
      <w:instrText xml:space="preserve"> PAGE   \* MERGEFORMAT </w:instrText>
    </w:r>
    <w:r>
      <w:fldChar w:fldCharType="separate"/>
    </w:r>
    <w:r w:rsidR="002116D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E6" w:rsidRDefault="001572E6" w:rsidP="00C96A00">
      <w:r>
        <w:separator/>
      </w:r>
    </w:p>
  </w:footnote>
  <w:footnote w:type="continuationSeparator" w:id="0">
    <w:p w:rsidR="001572E6" w:rsidRDefault="001572E6"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4C" w:rsidRPr="0061058A" w:rsidRDefault="00F47A4C" w:rsidP="00335DF3">
    <w:pPr>
      <w:pStyle w:val="Heading1"/>
      <w:keepNext w:val="0"/>
      <w:pBdr>
        <w:bottom w:val="single" w:sz="4" w:space="1" w:color="auto"/>
      </w:pBdr>
      <w:ind w:left="261" w:right="-2" w:hanging="261"/>
      <w:rPr>
        <w:rFonts w:ascii="Times New Roman" w:hAnsi="Times New Roman"/>
        <w:b w:val="0"/>
        <w:i/>
        <w:sz w:val="20"/>
        <w:szCs w:val="20"/>
        <w:lang w:val="fr-FR"/>
      </w:rPr>
    </w:pPr>
    <w:r w:rsidRPr="0061058A">
      <w:rPr>
        <w:rFonts w:ascii="Times New Roman" w:hAnsi="Times New Roman"/>
        <w:b w:val="0"/>
        <w:i/>
        <w:sz w:val="20"/>
        <w:szCs w:val="20"/>
        <w:lang w:val="fr-FR"/>
      </w:rPr>
      <w:t>P</w:t>
    </w:r>
    <w:r w:rsidRPr="0061058A">
      <w:rPr>
        <w:rFonts w:ascii="Times New Roman" w:hAnsi="Times New Roman"/>
        <w:b w:val="0"/>
        <w:i/>
        <w:sz w:val="20"/>
        <w:szCs w:val="20"/>
        <w:lang w:val="fr-FR"/>
      </w:rPr>
      <w:t>NUE/CMS/COP11</w:t>
    </w:r>
    <w:r w:rsidRPr="0061058A">
      <w:rPr>
        <w:rFonts w:ascii="Times New Roman" w:hAnsi="Times New Roman"/>
        <w:b w:val="0"/>
        <w:i/>
        <w:sz w:val="20"/>
        <w:szCs w:val="20"/>
        <w:lang w:val="fr-FR"/>
      </w:rPr>
      <w:t>/</w:t>
    </w:r>
    <w:r w:rsidRPr="0061058A">
      <w:rPr>
        <w:rFonts w:ascii="Times New Roman" w:hAnsi="Times New Roman"/>
        <w:b w:val="0"/>
        <w:i/>
        <w:sz w:val="20"/>
        <w:szCs w:val="20"/>
        <w:lang w:val="fr-FR"/>
      </w:rPr>
      <w:t>Doc.23.4.2</w:t>
    </w:r>
  </w:p>
  <w:p w:rsidR="00F47A4C" w:rsidRPr="00AA3994" w:rsidRDefault="00F47A4C" w:rsidP="00AA39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E3" w:rsidRPr="0061058A" w:rsidRDefault="00D61AE3" w:rsidP="00D61AE3">
    <w:pPr>
      <w:pStyle w:val="Heading1"/>
      <w:keepNext w:val="0"/>
      <w:pBdr>
        <w:bottom w:val="single" w:sz="4" w:space="1" w:color="auto"/>
      </w:pBdr>
      <w:ind w:left="261" w:right="-2" w:hanging="261"/>
      <w:rPr>
        <w:rFonts w:ascii="Times New Roman" w:hAnsi="Times New Roman"/>
        <w:b w:val="0"/>
        <w:i/>
        <w:sz w:val="20"/>
        <w:szCs w:val="20"/>
        <w:lang w:val="fr-FR"/>
      </w:rPr>
    </w:pPr>
    <w:r w:rsidRPr="0061058A">
      <w:rPr>
        <w:rFonts w:ascii="Times New Roman" w:hAnsi="Times New Roman"/>
        <w:b w:val="0"/>
        <w:i/>
        <w:sz w:val="20"/>
        <w:szCs w:val="20"/>
        <w:lang w:val="fr-FR"/>
      </w:rPr>
      <w:t>PNUE/CMS/COP11/Doc.23.4.2/Annexe : Projet de Résolution</w:t>
    </w:r>
  </w:p>
  <w:p w:rsidR="00F47A4C" w:rsidRPr="00D61AE3" w:rsidRDefault="00F47A4C" w:rsidP="00D61AE3">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E3" w:rsidRPr="0061058A" w:rsidRDefault="00D61AE3" w:rsidP="00D61AE3">
    <w:pPr>
      <w:pStyle w:val="Heading1"/>
      <w:keepNext w:val="0"/>
      <w:pBdr>
        <w:bottom w:val="single" w:sz="4" w:space="1" w:color="auto"/>
      </w:pBdr>
      <w:ind w:left="261" w:right="-2" w:hanging="261"/>
      <w:jc w:val="right"/>
      <w:rPr>
        <w:rFonts w:ascii="Times New Roman" w:hAnsi="Times New Roman"/>
        <w:b w:val="0"/>
        <w:i/>
        <w:sz w:val="20"/>
        <w:szCs w:val="20"/>
        <w:lang w:val="fr-FR"/>
      </w:rPr>
    </w:pPr>
    <w:r w:rsidRPr="0061058A">
      <w:rPr>
        <w:rFonts w:ascii="Times New Roman" w:hAnsi="Times New Roman"/>
        <w:b w:val="0"/>
        <w:i/>
        <w:sz w:val="20"/>
        <w:szCs w:val="20"/>
        <w:lang w:val="fr-FR"/>
      </w:rPr>
      <w:t>PNUE/CMS/COP11/Doc.23.4.2/Annexe : Projet de Résolution</w:t>
    </w:r>
  </w:p>
  <w:p w:rsidR="00F47A4C" w:rsidRPr="00D61AE3" w:rsidRDefault="00F47A4C" w:rsidP="00AA3994">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4C" w:rsidRPr="0061058A" w:rsidRDefault="00F47A4C" w:rsidP="00F47A4C">
    <w:pPr>
      <w:pStyle w:val="Heading1"/>
      <w:keepNext w:val="0"/>
      <w:pBdr>
        <w:bottom w:val="single" w:sz="4" w:space="1" w:color="auto"/>
      </w:pBdr>
      <w:ind w:left="261" w:right="-2" w:hanging="261"/>
      <w:jc w:val="right"/>
      <w:rPr>
        <w:rFonts w:ascii="Times New Roman" w:hAnsi="Times New Roman"/>
        <w:b w:val="0"/>
        <w:i/>
        <w:sz w:val="20"/>
        <w:szCs w:val="20"/>
        <w:lang w:val="fr-FR"/>
      </w:rPr>
    </w:pPr>
    <w:r w:rsidRPr="0061058A">
      <w:rPr>
        <w:rFonts w:ascii="Times New Roman" w:hAnsi="Times New Roman"/>
        <w:b w:val="0"/>
        <w:i/>
        <w:sz w:val="20"/>
        <w:szCs w:val="20"/>
        <w:lang w:val="fr-FR"/>
      </w:rPr>
      <w:t>PNUE/CMS/COP11/Doc.23.4.2</w:t>
    </w:r>
    <w:r w:rsidR="00612049" w:rsidRPr="0061058A">
      <w:rPr>
        <w:rFonts w:ascii="Times New Roman" w:hAnsi="Times New Roman"/>
        <w:b w:val="0"/>
        <w:i/>
        <w:sz w:val="20"/>
        <w:szCs w:val="20"/>
        <w:lang w:val="fr-FR"/>
      </w:rPr>
      <w:t>/Annexe : Projet de Résolution</w:t>
    </w:r>
  </w:p>
  <w:p w:rsidR="00F47A4C" w:rsidRPr="00AA3994" w:rsidRDefault="00F47A4C" w:rsidP="00AA39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07" w:rsidRPr="0061058A" w:rsidRDefault="005B4D07" w:rsidP="005B4D07">
    <w:pPr>
      <w:pStyle w:val="Heading1"/>
      <w:keepNext w:val="0"/>
      <w:pBdr>
        <w:bottom w:val="single" w:sz="4" w:space="1" w:color="auto"/>
      </w:pBdr>
      <w:ind w:left="261" w:right="-2" w:hanging="261"/>
      <w:jc w:val="right"/>
      <w:rPr>
        <w:rFonts w:ascii="Times New Roman" w:hAnsi="Times New Roman"/>
        <w:b w:val="0"/>
        <w:i/>
        <w:sz w:val="20"/>
        <w:szCs w:val="20"/>
        <w:lang w:val="fr-FR"/>
      </w:rPr>
    </w:pPr>
    <w:r w:rsidRPr="0061058A">
      <w:rPr>
        <w:rFonts w:ascii="Times New Roman" w:hAnsi="Times New Roman"/>
        <w:b w:val="0"/>
        <w:i/>
        <w:sz w:val="20"/>
        <w:szCs w:val="20"/>
        <w:lang w:val="fr-FR"/>
      </w:rPr>
      <w:t>PNUE/CMS/COP11/Doc.23.4.2/Annexe : Projet de Résolution</w:t>
    </w:r>
  </w:p>
  <w:p w:rsidR="00F97414" w:rsidRPr="005B4D07" w:rsidRDefault="002116D7" w:rsidP="00AA3994">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07" w:rsidRPr="0061058A" w:rsidRDefault="005B4D07" w:rsidP="005B4D07">
    <w:pPr>
      <w:pStyle w:val="Heading1"/>
      <w:keepNext w:val="0"/>
      <w:pBdr>
        <w:bottom w:val="single" w:sz="4" w:space="1" w:color="auto"/>
      </w:pBdr>
      <w:ind w:left="261" w:right="-2" w:hanging="261"/>
      <w:jc w:val="right"/>
      <w:rPr>
        <w:rFonts w:ascii="Times New Roman" w:hAnsi="Times New Roman"/>
        <w:b w:val="0"/>
        <w:i/>
        <w:sz w:val="20"/>
        <w:szCs w:val="20"/>
        <w:lang w:val="fr-FR"/>
      </w:rPr>
    </w:pPr>
    <w:r w:rsidRPr="0061058A">
      <w:rPr>
        <w:rFonts w:ascii="Times New Roman" w:hAnsi="Times New Roman"/>
        <w:b w:val="0"/>
        <w:i/>
        <w:sz w:val="20"/>
        <w:szCs w:val="20"/>
        <w:lang w:val="fr-FR"/>
      </w:rPr>
      <w:t>PNUE/CMS/COP11/Doc.23.4.2/Annexe : Projet de Résolution</w:t>
    </w:r>
  </w:p>
  <w:p w:rsidR="00335DF3" w:rsidRPr="005B4D07" w:rsidRDefault="002116D7" w:rsidP="00F97414">
    <w:pPr>
      <w:pStyle w:val="Header"/>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E3" w:rsidRPr="0061058A" w:rsidRDefault="00D61AE3" w:rsidP="0061058A">
    <w:pPr>
      <w:pStyle w:val="Heading1"/>
      <w:keepNext w:val="0"/>
      <w:pBdr>
        <w:bottom w:val="single" w:sz="4" w:space="1" w:color="auto"/>
      </w:pBdr>
      <w:ind w:left="261" w:right="-2" w:hanging="261"/>
      <w:rPr>
        <w:rFonts w:ascii="Times New Roman" w:hAnsi="Times New Roman"/>
        <w:b w:val="0"/>
        <w:i/>
        <w:sz w:val="20"/>
        <w:szCs w:val="20"/>
        <w:lang w:val="fr-FR"/>
      </w:rPr>
    </w:pPr>
    <w:r w:rsidRPr="0061058A">
      <w:rPr>
        <w:rFonts w:ascii="Times New Roman" w:hAnsi="Times New Roman"/>
        <w:b w:val="0"/>
        <w:i/>
        <w:sz w:val="20"/>
        <w:szCs w:val="20"/>
        <w:lang w:val="fr-FR"/>
      </w:rPr>
      <w:t>PNUE/CMS/COP11/Doc.23.4.2/Annexe : Projet de Résolution</w:t>
    </w:r>
  </w:p>
  <w:p w:rsidR="00335DF3" w:rsidRPr="00D61AE3" w:rsidRDefault="002116D7" w:rsidP="00AA3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D0B8F"/>
    <w:multiLevelType w:val="hybridMultilevel"/>
    <w:tmpl w:val="FEE2B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F2AE8"/>
    <w:multiLevelType w:val="hybridMultilevel"/>
    <w:tmpl w:val="A4C24A8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500C9A"/>
    <w:multiLevelType w:val="hybridMultilevel"/>
    <w:tmpl w:val="5462C7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C6C37"/>
    <w:multiLevelType w:val="hybridMultilevel"/>
    <w:tmpl w:val="7CA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C0488"/>
    <w:multiLevelType w:val="hybridMultilevel"/>
    <w:tmpl w:val="E92A74E0"/>
    <w:lvl w:ilvl="0" w:tplc="1910D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99024F"/>
    <w:multiLevelType w:val="hybridMultilevel"/>
    <w:tmpl w:val="F870A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81FF7"/>
    <w:multiLevelType w:val="hybridMultilevel"/>
    <w:tmpl w:val="10222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24564"/>
    <w:multiLevelType w:val="hybridMultilevel"/>
    <w:tmpl w:val="A71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4124A"/>
    <w:multiLevelType w:val="hybridMultilevel"/>
    <w:tmpl w:val="551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13032"/>
    <w:multiLevelType w:val="hybridMultilevel"/>
    <w:tmpl w:val="43A8F5C6"/>
    <w:lvl w:ilvl="0" w:tplc="04090001">
      <w:start w:val="1"/>
      <w:numFmt w:val="bullet"/>
      <w:lvlText w:val=""/>
      <w:lvlJc w:val="left"/>
      <w:pPr>
        <w:ind w:left="720" w:hanging="360"/>
      </w:pPr>
      <w:rPr>
        <w:rFonts w:ascii="Symbol" w:hAnsi="Symbol" w:hint="default"/>
      </w:rPr>
    </w:lvl>
    <w:lvl w:ilvl="1" w:tplc="5AAABBDE">
      <w:start w:val="1"/>
      <w:numFmt w:val="bullet"/>
      <w:lvlText w:val="o"/>
      <w:lvlJc w:val="left"/>
      <w:pPr>
        <w:ind w:left="1440" w:hanging="360"/>
      </w:pPr>
      <w:rPr>
        <w:rFonts w:ascii="Courier New" w:hAnsi="Courier New" w:cs="Courier New" w:hint="default"/>
        <w:lang w:val="fr-F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442FAE"/>
    <w:multiLevelType w:val="hybridMultilevel"/>
    <w:tmpl w:val="A07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EE46796"/>
    <w:multiLevelType w:val="hybridMultilevel"/>
    <w:tmpl w:val="66507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B0F6A"/>
    <w:multiLevelType w:val="hybridMultilevel"/>
    <w:tmpl w:val="0370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3"/>
  </w:num>
  <w:num w:numId="4">
    <w:abstractNumId w:val="19"/>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8"/>
  </w:num>
  <w:num w:numId="7">
    <w:abstractNumId w:val="6"/>
  </w:num>
  <w:num w:numId="8">
    <w:abstractNumId w:val="7"/>
  </w:num>
  <w:num w:numId="9">
    <w:abstractNumId w:val="21"/>
  </w:num>
  <w:num w:numId="10">
    <w:abstractNumId w:val="2"/>
  </w:num>
  <w:num w:numId="11">
    <w:abstractNumId w:val="1"/>
  </w:num>
  <w:num w:numId="12">
    <w:abstractNumId w:val="18"/>
  </w:num>
  <w:num w:numId="13">
    <w:abstractNumId w:val="12"/>
  </w:num>
  <w:num w:numId="14">
    <w:abstractNumId w:val="3"/>
  </w:num>
  <w:num w:numId="15">
    <w:abstractNumId w:val="15"/>
  </w:num>
  <w:num w:numId="16">
    <w:abstractNumId w:val="16"/>
  </w:num>
  <w:num w:numId="17">
    <w:abstractNumId w:val="24"/>
  </w:num>
  <w:num w:numId="18">
    <w:abstractNumId w:val="5"/>
  </w:num>
  <w:num w:numId="19">
    <w:abstractNumId w:val="9"/>
  </w:num>
  <w:num w:numId="20">
    <w:abstractNumId w:val="20"/>
  </w:num>
  <w:num w:numId="21">
    <w:abstractNumId w:val="14"/>
  </w:num>
  <w:num w:numId="22">
    <w:abstractNumId w:val="11"/>
  </w:num>
  <w:num w:numId="23">
    <w:abstractNumId w:val="22"/>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E6"/>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572E6"/>
    <w:rsid w:val="00161140"/>
    <w:rsid w:val="00172816"/>
    <w:rsid w:val="00177267"/>
    <w:rsid w:val="001956D7"/>
    <w:rsid w:val="001A0800"/>
    <w:rsid w:val="001C14B6"/>
    <w:rsid w:val="001C226F"/>
    <w:rsid w:val="001D2C15"/>
    <w:rsid w:val="001F42A1"/>
    <w:rsid w:val="002116D7"/>
    <w:rsid w:val="00225DDF"/>
    <w:rsid w:val="0023227B"/>
    <w:rsid w:val="00232963"/>
    <w:rsid w:val="00234976"/>
    <w:rsid w:val="002355CF"/>
    <w:rsid w:val="00241D3F"/>
    <w:rsid w:val="00243405"/>
    <w:rsid w:val="00251A43"/>
    <w:rsid w:val="00251C73"/>
    <w:rsid w:val="00256CB6"/>
    <w:rsid w:val="00257ACF"/>
    <w:rsid w:val="00275603"/>
    <w:rsid w:val="00277F62"/>
    <w:rsid w:val="002823B0"/>
    <w:rsid w:val="002B1167"/>
    <w:rsid w:val="002B7853"/>
    <w:rsid w:val="002C4D17"/>
    <w:rsid w:val="002D7C02"/>
    <w:rsid w:val="002E323C"/>
    <w:rsid w:val="002E45CD"/>
    <w:rsid w:val="003001BF"/>
    <w:rsid w:val="00300DAD"/>
    <w:rsid w:val="003172D0"/>
    <w:rsid w:val="00322215"/>
    <w:rsid w:val="00325D81"/>
    <w:rsid w:val="0038468E"/>
    <w:rsid w:val="003860F5"/>
    <w:rsid w:val="003869A6"/>
    <w:rsid w:val="003A1C14"/>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4D07"/>
    <w:rsid w:val="005B733D"/>
    <w:rsid w:val="005C6999"/>
    <w:rsid w:val="005D7FD0"/>
    <w:rsid w:val="005F3451"/>
    <w:rsid w:val="005F3BCA"/>
    <w:rsid w:val="00601422"/>
    <w:rsid w:val="00603D73"/>
    <w:rsid w:val="00606DCE"/>
    <w:rsid w:val="0061058A"/>
    <w:rsid w:val="00612049"/>
    <w:rsid w:val="0061392A"/>
    <w:rsid w:val="00640B0A"/>
    <w:rsid w:val="0065265A"/>
    <w:rsid w:val="00662AC3"/>
    <w:rsid w:val="00662EB2"/>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409EE"/>
    <w:rsid w:val="00A72E6C"/>
    <w:rsid w:val="00A83B6F"/>
    <w:rsid w:val="00A9767A"/>
    <w:rsid w:val="00AA6754"/>
    <w:rsid w:val="00AB0C7A"/>
    <w:rsid w:val="00AC6844"/>
    <w:rsid w:val="00AD2F11"/>
    <w:rsid w:val="00AD3A97"/>
    <w:rsid w:val="00AE12FE"/>
    <w:rsid w:val="00AE651D"/>
    <w:rsid w:val="00AF6F73"/>
    <w:rsid w:val="00B007B0"/>
    <w:rsid w:val="00B016BB"/>
    <w:rsid w:val="00B047D9"/>
    <w:rsid w:val="00B2711B"/>
    <w:rsid w:val="00B321C7"/>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CE4766"/>
    <w:rsid w:val="00D07537"/>
    <w:rsid w:val="00D13EBE"/>
    <w:rsid w:val="00D1415C"/>
    <w:rsid w:val="00D20955"/>
    <w:rsid w:val="00D3014E"/>
    <w:rsid w:val="00D30FF5"/>
    <w:rsid w:val="00D33B7A"/>
    <w:rsid w:val="00D45F44"/>
    <w:rsid w:val="00D52B1D"/>
    <w:rsid w:val="00D52F53"/>
    <w:rsid w:val="00D54340"/>
    <w:rsid w:val="00D61AE3"/>
    <w:rsid w:val="00D85978"/>
    <w:rsid w:val="00D92C5E"/>
    <w:rsid w:val="00DD2FE7"/>
    <w:rsid w:val="00DD54AF"/>
    <w:rsid w:val="00DE1F2C"/>
    <w:rsid w:val="00DE7B90"/>
    <w:rsid w:val="00DF53A9"/>
    <w:rsid w:val="00E04F05"/>
    <w:rsid w:val="00E224BB"/>
    <w:rsid w:val="00E34730"/>
    <w:rsid w:val="00E80A33"/>
    <w:rsid w:val="00E94D56"/>
    <w:rsid w:val="00E9660D"/>
    <w:rsid w:val="00EA03D4"/>
    <w:rsid w:val="00EB4FAC"/>
    <w:rsid w:val="00EE451B"/>
    <w:rsid w:val="00EF1332"/>
    <w:rsid w:val="00EF35F9"/>
    <w:rsid w:val="00F03E5C"/>
    <w:rsid w:val="00F07452"/>
    <w:rsid w:val="00F15861"/>
    <w:rsid w:val="00F26339"/>
    <w:rsid w:val="00F4301E"/>
    <w:rsid w:val="00F47A4C"/>
    <w:rsid w:val="00F67195"/>
    <w:rsid w:val="00F858C3"/>
    <w:rsid w:val="00F85E2F"/>
    <w:rsid w:val="00F97125"/>
    <w:rsid w:val="00FA636F"/>
    <w:rsid w:val="00FA7F06"/>
    <w:rsid w:val="00FC3253"/>
    <w:rsid w:val="00FD56C5"/>
    <w:rsid w:val="00FE1191"/>
    <w:rsid w:val="00FE334F"/>
    <w:rsid w:val="00FE7714"/>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94CD-E2C1-4612-8E31-694232BC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13</Pages>
  <Words>5144</Words>
  <Characters>29326</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2014-08-28T13:28:00Z</cp:lastPrinted>
  <dcterms:created xsi:type="dcterms:W3CDTF">2014-08-28T13:28:00Z</dcterms:created>
  <dcterms:modified xsi:type="dcterms:W3CDTF">2014-08-28T13:29:00Z</dcterms:modified>
</cp:coreProperties>
</file>