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0787" w:rsidP="004556F3">
            <w:pPr>
              <w:tabs>
                <w:tab w:val="right" w:pos="9106"/>
              </w:tabs>
              <w:rPr>
                <w:lang w:val="fr-FR"/>
              </w:rPr>
            </w:pPr>
            <w:r>
              <w:rPr>
                <w:noProof/>
                <w:szCs w:val="24"/>
              </w:rPr>
              <w:drawing>
                <wp:inline distT="0" distB="0" distL="0" distR="0">
                  <wp:extent cx="3143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609" t="-2348" r="-3609" b="-2348"/>
                          <a:stretch>
                            <a:fillRect/>
                          </a:stretch>
                        </pic:blipFill>
                        <pic:spPr bwMode="auto">
                          <a:xfrm>
                            <a:off x="0" y="0"/>
                            <a:ext cx="314325" cy="342900"/>
                          </a:xfrm>
                          <a:prstGeom prst="rect">
                            <a:avLst/>
                          </a:prstGeom>
                          <a:noFill/>
                          <a:ln>
                            <a:noFill/>
                          </a:ln>
                        </pic:spPr>
                      </pic:pic>
                    </a:graphicData>
                  </a:graphic>
                </wp:inline>
              </w:drawing>
            </w:r>
            <w:r w:rsidR="00CC2968" w:rsidRPr="00B23D51">
              <w:rPr>
                <w:lang w:val="fr-FR"/>
              </w:rPr>
              <w:t xml:space="preserve"> </w:t>
            </w:r>
            <w:r>
              <w:rPr>
                <w:noProof/>
                <w:szCs w:val="24"/>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20955" w:rsidTr="00D20955">
        <w:trPr>
          <w:trHeight w:val="1860"/>
        </w:trPr>
        <w:tc>
          <w:tcPr>
            <w:tcW w:w="1526" w:type="dxa"/>
            <w:tcBorders>
              <w:top w:val="single" w:sz="12" w:space="0" w:color="auto"/>
              <w:bottom w:val="single" w:sz="12" w:space="0" w:color="auto"/>
              <w:right w:val="nil"/>
            </w:tcBorders>
          </w:tcPr>
          <w:p w:rsidR="00CC2968" w:rsidRPr="00B23D51" w:rsidRDefault="00DE0787" w:rsidP="00EB4FAC">
            <w:pPr>
              <w:rPr>
                <w:lang w:val="fr-FR"/>
              </w:rPr>
            </w:pPr>
            <w:r>
              <w:rPr>
                <w:noProof/>
                <w:szCs w:val="24"/>
              </w:rPr>
              <w:drawing>
                <wp:inline distT="0" distB="0" distL="0" distR="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1D02E4">
              <w:rPr>
                <w:rFonts w:ascii="Arial" w:hAnsi="Arial" w:cs="Arial"/>
                <w:sz w:val="22"/>
                <w:lang w:val="fr-FR"/>
              </w:rPr>
              <w:t>Doc.23.1.6</w:t>
            </w:r>
          </w:p>
          <w:p w:rsidR="00CC2968" w:rsidRPr="00B23D51" w:rsidRDefault="006A2F1B" w:rsidP="00D52B1D">
            <w:pPr>
              <w:rPr>
                <w:rFonts w:ascii="Arial" w:hAnsi="Arial" w:cs="Arial"/>
                <w:sz w:val="22"/>
                <w:lang w:val="fr-FR"/>
              </w:rPr>
            </w:pPr>
            <w:r>
              <w:rPr>
                <w:rFonts w:ascii="Arial" w:hAnsi="Arial" w:cs="Arial"/>
                <w:sz w:val="22"/>
                <w:lang w:val="fr-FR"/>
              </w:rPr>
              <w:t>8 août</w:t>
            </w:r>
            <w:r w:rsidR="00AC7928">
              <w:rPr>
                <w:rFonts w:ascii="Arial" w:hAnsi="Arial" w:cs="Arial"/>
                <w:sz w:val="22"/>
                <w:lang w:val="fr-FR"/>
              </w:rPr>
              <w:t xml:space="preserve"> 2</w:t>
            </w:r>
            <w:r w:rsidR="00CC2968" w:rsidRPr="00B23D51">
              <w:rPr>
                <w:rFonts w:ascii="Arial" w:hAnsi="Arial" w:cs="Arial"/>
                <w:sz w:val="22"/>
                <w:lang w:val="fr-FR"/>
              </w:rPr>
              <w:t>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AC7928">
        <w:rPr>
          <w:noProof/>
          <w:sz w:val="22"/>
          <w:lang w:val="fr-FR"/>
        </w:rPr>
        <w:t xml:space="preserve">23.1.6 </w:t>
      </w:r>
      <w:r w:rsidRPr="00B607B3">
        <w:rPr>
          <w:noProof/>
          <w:sz w:val="22"/>
          <w:lang w:val="fr-FR"/>
        </w:rPr>
        <w:t>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1D02E4" w:rsidRDefault="001D02E4" w:rsidP="006A2F1B">
      <w:pPr>
        <w:jc w:val="center"/>
        <w:rPr>
          <w:b/>
          <w:bCs/>
          <w:lang w:val="fr-FR"/>
        </w:rPr>
      </w:pPr>
      <w:r w:rsidRPr="00231377">
        <w:rPr>
          <w:b/>
          <w:bCs/>
          <w:lang w:val="fr-FR"/>
        </w:rPr>
        <w:t>TAXONO</w:t>
      </w:r>
      <w:r>
        <w:rPr>
          <w:b/>
          <w:bCs/>
          <w:lang w:val="fr-FR"/>
        </w:rPr>
        <w:t>MIE ET NOMENCLATURE DES OISEAUX</w:t>
      </w:r>
    </w:p>
    <w:p w:rsidR="001D02E4" w:rsidRDefault="001D02E4" w:rsidP="006A2F1B">
      <w:pPr>
        <w:jc w:val="center"/>
        <w:rPr>
          <w:b/>
          <w:bCs/>
          <w:lang w:val="fr-FR"/>
        </w:rPr>
      </w:pPr>
      <w:r>
        <w:rPr>
          <w:b/>
          <w:bCs/>
          <w:lang w:val="fr-FR"/>
        </w:rPr>
        <w:t>FIGURANT</w:t>
      </w:r>
      <w:r w:rsidRPr="00231377">
        <w:rPr>
          <w:b/>
          <w:bCs/>
          <w:lang w:val="fr-FR"/>
        </w:rPr>
        <w:t xml:space="preserve"> AUX ANNEXES DE LA CMS</w:t>
      </w:r>
    </w:p>
    <w:p w:rsidR="007F7154" w:rsidRDefault="007F7154" w:rsidP="00761732">
      <w:pPr>
        <w:rPr>
          <w:lang w:val="fr-FR"/>
        </w:rPr>
      </w:pPr>
    </w:p>
    <w:p w:rsidR="007F7154" w:rsidRDefault="003556C2" w:rsidP="00761732">
      <w:pPr>
        <w:rPr>
          <w:lang w:val="fr-FR"/>
        </w:rPr>
      </w:pPr>
      <w:r>
        <w:rPr>
          <w:noProof/>
        </w:rPr>
        <mc:AlternateContent>
          <mc:Choice Requires="wps">
            <w:drawing>
              <wp:anchor distT="0" distB="0" distL="114300" distR="114300" simplePos="0" relativeHeight="251657728" behindDoc="0" locked="0" layoutInCell="1" allowOverlap="1" wp14:anchorId="01526209" wp14:editId="50879F54">
                <wp:simplePos x="0" y="0"/>
                <wp:positionH relativeFrom="column">
                  <wp:posOffset>839470</wp:posOffset>
                </wp:positionH>
                <wp:positionV relativeFrom="paragraph">
                  <wp:posOffset>59690</wp:posOffset>
                </wp:positionV>
                <wp:extent cx="4597400" cy="43307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4330700"/>
                        </a:xfrm>
                        <a:prstGeom prst="rect">
                          <a:avLst/>
                        </a:prstGeom>
                        <a:solidFill>
                          <a:srgbClr val="FFFFFF"/>
                        </a:solidFill>
                        <a:ln w="25400">
                          <a:solidFill>
                            <a:srgbClr val="000000"/>
                          </a:solidFill>
                          <a:miter lim="800000"/>
                          <a:headEnd/>
                          <a:tailEnd/>
                        </a:ln>
                      </wps:spPr>
                      <wps:txbx>
                        <w:txbxContent>
                          <w:p w:rsidR="001D02E4" w:rsidRPr="001C1E65" w:rsidRDefault="001D02E4" w:rsidP="001D02E4">
                            <w:pPr>
                              <w:rPr>
                                <w:lang w:val="fr-FR"/>
                              </w:rPr>
                            </w:pPr>
                            <w:r w:rsidRPr="001C1E65">
                              <w:rPr>
                                <w:lang w:val="fr-FR"/>
                              </w:rPr>
                              <w:t>Résumé</w:t>
                            </w:r>
                          </w:p>
                          <w:p w:rsidR="001D02E4" w:rsidRPr="001C1E65" w:rsidRDefault="001D02E4" w:rsidP="001D02E4">
                            <w:pPr>
                              <w:rPr>
                                <w:lang w:val="fr-FR"/>
                              </w:rPr>
                            </w:pPr>
                          </w:p>
                          <w:p w:rsidR="003D1B0A" w:rsidRDefault="00AC7928" w:rsidP="001D02E4">
                            <w:pPr>
                              <w:jc w:val="both"/>
                              <w:rPr>
                                <w:lang w:val="fr-FR"/>
                              </w:rPr>
                            </w:pPr>
                            <w:r>
                              <w:rPr>
                                <w:lang w:val="fr-FR"/>
                              </w:rPr>
                              <w:t>La Résolution 10.13 sur la nomenclature norma</w:t>
                            </w:r>
                            <w:r w:rsidR="006A2F1B">
                              <w:rPr>
                                <w:lang w:val="fr-FR"/>
                              </w:rPr>
                              <w:t>lisée des oiseaux figurant aux A</w:t>
                            </w:r>
                            <w:r>
                              <w:rPr>
                                <w:lang w:val="fr-FR"/>
                              </w:rPr>
                              <w:t xml:space="preserve">nnexes de la CMS demandait </w:t>
                            </w:r>
                            <w:r w:rsidR="006A2F1B">
                              <w:rPr>
                                <w:lang w:val="fr-FR"/>
                              </w:rPr>
                              <w:t xml:space="preserve">au </w:t>
                            </w:r>
                            <w:r>
                              <w:rPr>
                                <w:lang w:val="fr-FR"/>
                              </w:rPr>
                              <w:t>P</w:t>
                            </w:r>
                            <w:r w:rsidR="006A2F1B">
                              <w:rPr>
                                <w:lang w:val="fr-FR"/>
                              </w:rPr>
                              <w:t>résident du Conseil s</w:t>
                            </w:r>
                            <w:r w:rsidRPr="00231377">
                              <w:rPr>
                                <w:lang w:val="fr-FR"/>
                              </w:rPr>
                              <w:t xml:space="preserve">cientifique </w:t>
                            </w:r>
                            <w:r>
                              <w:rPr>
                                <w:lang w:val="fr-FR"/>
                              </w:rPr>
                              <w:t>de consulter</w:t>
                            </w:r>
                            <w:r w:rsidRPr="00231377">
                              <w:rPr>
                                <w:lang w:val="fr-FR"/>
                              </w:rPr>
                              <w:t xml:space="preserve"> les parties </w:t>
                            </w:r>
                            <w:r>
                              <w:rPr>
                                <w:lang w:val="fr-FR"/>
                              </w:rPr>
                              <w:t xml:space="preserve">prenantes </w:t>
                            </w:r>
                            <w:r w:rsidRPr="00231377">
                              <w:rPr>
                                <w:lang w:val="fr-FR"/>
                              </w:rPr>
                              <w:t xml:space="preserve">concernées dans le but d’évaluer </w:t>
                            </w:r>
                            <w:r>
                              <w:rPr>
                                <w:lang w:val="fr-FR"/>
                              </w:rPr>
                              <w:t>la possibilité d’adopter u</w:t>
                            </w:r>
                            <w:r w:rsidRPr="00231377">
                              <w:rPr>
                                <w:lang w:val="fr-FR"/>
                              </w:rPr>
                              <w:t>ne nomenclature et</w:t>
                            </w:r>
                            <w:r>
                              <w:rPr>
                                <w:lang w:val="fr-FR"/>
                              </w:rPr>
                              <w:t xml:space="preserve"> une</w:t>
                            </w:r>
                            <w:r w:rsidRPr="00231377">
                              <w:rPr>
                                <w:lang w:val="fr-FR"/>
                              </w:rPr>
                              <w:t xml:space="preserve"> taxonomie unique</w:t>
                            </w:r>
                            <w:r>
                              <w:rPr>
                                <w:lang w:val="fr-FR"/>
                              </w:rPr>
                              <w:t>s</w:t>
                            </w:r>
                            <w:r w:rsidRPr="00231377">
                              <w:rPr>
                                <w:lang w:val="fr-FR"/>
                              </w:rPr>
                              <w:t xml:space="preserve"> </w:t>
                            </w:r>
                            <w:r>
                              <w:rPr>
                                <w:lang w:val="fr-FR"/>
                              </w:rPr>
                              <w:t>pour les</w:t>
                            </w:r>
                            <w:r w:rsidRPr="00231377">
                              <w:rPr>
                                <w:lang w:val="fr-FR"/>
                              </w:rPr>
                              <w:t xml:space="preserve"> oiseaux</w:t>
                            </w:r>
                            <w:r>
                              <w:rPr>
                                <w:lang w:val="fr-FR"/>
                              </w:rPr>
                              <w:t xml:space="preserve">. Cette question a été </w:t>
                            </w:r>
                            <w:r w:rsidR="003D1B0A">
                              <w:rPr>
                                <w:lang w:val="fr-FR"/>
                              </w:rPr>
                              <w:t xml:space="preserve">ensuite </w:t>
                            </w:r>
                            <w:r w:rsidR="00E13FB9">
                              <w:rPr>
                                <w:lang w:val="fr-FR"/>
                              </w:rPr>
                              <w:t>examinée</w:t>
                            </w:r>
                            <w:r w:rsidR="000A1712">
                              <w:rPr>
                                <w:lang w:val="fr-FR"/>
                              </w:rPr>
                              <w:t xml:space="preserve"> </w:t>
                            </w:r>
                            <w:r w:rsidR="003D1B0A">
                              <w:rPr>
                                <w:lang w:val="fr-FR"/>
                              </w:rPr>
                              <w:t>lors de la réunion ad hoc sur l’harmonisation de la taxonomie des oiseaux qui s’est tenue à Formia (Italie) le 8 octobre 2013.</w:t>
                            </w:r>
                          </w:p>
                          <w:p w:rsidR="003D1B0A" w:rsidRDefault="003D1B0A" w:rsidP="001D02E4">
                            <w:pPr>
                              <w:jc w:val="both"/>
                              <w:rPr>
                                <w:lang w:val="fr-FR"/>
                              </w:rPr>
                            </w:pPr>
                          </w:p>
                          <w:p w:rsidR="003556C2" w:rsidRDefault="003D1B0A" w:rsidP="001D02E4">
                            <w:pPr>
                              <w:jc w:val="both"/>
                              <w:rPr>
                                <w:lang w:val="fr-FR"/>
                              </w:rPr>
                            </w:pPr>
                            <w:r>
                              <w:rPr>
                                <w:lang w:val="fr-FR"/>
                              </w:rPr>
                              <w:t>L</w:t>
                            </w:r>
                            <w:r w:rsidRPr="00231377">
                              <w:rPr>
                                <w:lang w:val="fr-FR"/>
                              </w:rPr>
                              <w:t>a 18</w:t>
                            </w:r>
                            <w:r w:rsidRPr="00231377">
                              <w:rPr>
                                <w:vertAlign w:val="superscript"/>
                                <w:lang w:val="fr-FR"/>
                              </w:rPr>
                              <w:t>ème</w:t>
                            </w:r>
                            <w:r>
                              <w:rPr>
                                <w:lang w:val="fr-FR"/>
                              </w:rPr>
                              <w:t xml:space="preserve"> </w:t>
                            </w:r>
                            <w:r w:rsidRPr="00231377">
                              <w:rPr>
                                <w:lang w:val="fr-FR"/>
                              </w:rPr>
                              <w:t>réunion du Conseil scientifique</w:t>
                            </w:r>
                            <w:r>
                              <w:rPr>
                                <w:lang w:val="fr-FR"/>
                              </w:rPr>
                              <w:t> </w:t>
                            </w:r>
                            <w:r>
                              <w:rPr>
                                <w:lang w:val="fr-FR"/>
                              </w:rPr>
                              <w:t xml:space="preserve">(Bonn, 1-3 juillet 2014) a pris en compte les résultats de la réunion ad hoc et a </w:t>
                            </w:r>
                            <w:r w:rsidR="003556C2">
                              <w:rPr>
                                <w:lang w:val="fr-FR"/>
                              </w:rPr>
                              <w:t>recommandé l’adoption du</w:t>
                            </w:r>
                            <w:r w:rsidR="003556C2">
                              <w:rPr>
                                <w:lang w:val="fr-FR"/>
                              </w:rPr>
                              <w:t xml:space="preserve"> m</w:t>
                            </w:r>
                            <w:r w:rsidR="003556C2" w:rsidRPr="00231377">
                              <w:rPr>
                                <w:lang w:val="fr-FR"/>
                              </w:rPr>
                              <w:t>anuel des oiseaux du monde</w:t>
                            </w:r>
                            <w:r w:rsidR="003556C2">
                              <w:rPr>
                                <w:lang w:val="fr-FR"/>
                              </w:rPr>
                              <w:t xml:space="preserve"> intitulé </w:t>
                            </w:r>
                            <w:proofErr w:type="spellStart"/>
                            <w:r w:rsidR="003556C2" w:rsidRPr="00514555">
                              <w:rPr>
                                <w:i/>
                                <w:lang w:val="fr-FR"/>
                              </w:rPr>
                              <w:t>Handbook</w:t>
                            </w:r>
                            <w:proofErr w:type="spellEnd"/>
                            <w:r w:rsidR="003556C2" w:rsidRPr="00514555">
                              <w:rPr>
                                <w:i/>
                                <w:lang w:val="fr-FR"/>
                              </w:rPr>
                              <w:t xml:space="preserve"> of the </w:t>
                            </w:r>
                            <w:proofErr w:type="spellStart"/>
                            <w:r w:rsidR="003556C2" w:rsidRPr="00514555">
                              <w:rPr>
                                <w:i/>
                                <w:lang w:val="fr-FR"/>
                              </w:rPr>
                              <w:t>Birds</w:t>
                            </w:r>
                            <w:proofErr w:type="spellEnd"/>
                            <w:r w:rsidR="003556C2" w:rsidRPr="00514555">
                              <w:rPr>
                                <w:i/>
                                <w:lang w:val="fr-FR"/>
                              </w:rPr>
                              <w:t xml:space="preserve"> of the World/</w:t>
                            </w:r>
                            <w:proofErr w:type="spellStart"/>
                            <w:r w:rsidR="003556C2" w:rsidRPr="00514555">
                              <w:rPr>
                                <w:i/>
                                <w:lang w:val="fr-FR"/>
                              </w:rPr>
                              <w:t>BirdLife</w:t>
                            </w:r>
                            <w:proofErr w:type="spellEnd"/>
                            <w:r w:rsidR="003556C2" w:rsidRPr="00514555">
                              <w:rPr>
                                <w:i/>
                                <w:lang w:val="fr-FR"/>
                              </w:rPr>
                              <w:t xml:space="preserve"> International </w:t>
                            </w:r>
                            <w:proofErr w:type="spellStart"/>
                            <w:r w:rsidR="003556C2" w:rsidRPr="00514555">
                              <w:rPr>
                                <w:i/>
                                <w:lang w:val="fr-FR"/>
                              </w:rPr>
                              <w:t>Illustrated</w:t>
                            </w:r>
                            <w:proofErr w:type="spellEnd"/>
                            <w:r w:rsidR="003556C2" w:rsidRPr="00514555">
                              <w:rPr>
                                <w:i/>
                                <w:lang w:val="fr-FR"/>
                              </w:rPr>
                              <w:t xml:space="preserve"> Checklist of the </w:t>
                            </w:r>
                            <w:proofErr w:type="spellStart"/>
                            <w:r w:rsidR="003556C2" w:rsidRPr="00514555">
                              <w:rPr>
                                <w:i/>
                                <w:lang w:val="fr-FR"/>
                              </w:rPr>
                              <w:t>Birds</w:t>
                            </w:r>
                            <w:proofErr w:type="spellEnd"/>
                            <w:r w:rsidR="003556C2" w:rsidRPr="00514555">
                              <w:rPr>
                                <w:i/>
                                <w:lang w:val="fr-FR"/>
                              </w:rPr>
                              <w:t xml:space="preserve"> of the World, Volume 1: Non-passerines</w:t>
                            </w:r>
                            <w:r w:rsidR="003556C2">
                              <w:rPr>
                                <w:lang w:val="fr-FR"/>
                              </w:rPr>
                              <w:t xml:space="preserve"> de</w:t>
                            </w:r>
                            <w:r w:rsidR="003556C2" w:rsidRPr="00514555">
                              <w:rPr>
                                <w:lang w:val="fr-FR"/>
                              </w:rPr>
                              <w:t xml:space="preserve"> Josep </w:t>
                            </w:r>
                            <w:proofErr w:type="spellStart"/>
                            <w:r w:rsidR="003556C2" w:rsidRPr="00514555">
                              <w:rPr>
                                <w:lang w:val="fr-FR"/>
                              </w:rPr>
                              <w:t>del</w:t>
                            </w:r>
                            <w:proofErr w:type="spellEnd"/>
                            <w:r w:rsidR="003556C2" w:rsidRPr="00514555">
                              <w:rPr>
                                <w:lang w:val="fr-FR"/>
                              </w:rPr>
                              <w:t xml:space="preserve"> </w:t>
                            </w:r>
                            <w:proofErr w:type="spellStart"/>
                            <w:r w:rsidR="003556C2" w:rsidRPr="00514555">
                              <w:rPr>
                                <w:lang w:val="fr-FR"/>
                              </w:rPr>
                              <w:t>Hoyo</w:t>
                            </w:r>
                            <w:proofErr w:type="spellEnd"/>
                            <w:r w:rsidR="003556C2" w:rsidRPr="00514555">
                              <w:rPr>
                                <w:lang w:val="fr-FR"/>
                              </w:rPr>
                              <w:t xml:space="preserve">, Nigel J. </w:t>
                            </w:r>
                            <w:proofErr w:type="spellStart"/>
                            <w:r w:rsidR="003556C2" w:rsidRPr="00514555">
                              <w:rPr>
                                <w:lang w:val="fr-FR"/>
                              </w:rPr>
                              <w:t>Collar</w:t>
                            </w:r>
                            <w:proofErr w:type="spellEnd"/>
                            <w:r w:rsidR="003556C2" w:rsidRPr="00514555">
                              <w:rPr>
                                <w:lang w:val="fr-FR"/>
                              </w:rPr>
                              <w:t xml:space="preserve">, David A. Christie, Andrew Elliot </w:t>
                            </w:r>
                            <w:r w:rsidR="003556C2">
                              <w:rPr>
                                <w:lang w:val="fr-FR"/>
                              </w:rPr>
                              <w:t>et</w:t>
                            </w:r>
                            <w:r w:rsidR="003556C2" w:rsidRPr="00514555">
                              <w:rPr>
                                <w:lang w:val="fr-FR"/>
                              </w:rPr>
                              <w:t xml:space="preserve"> Lincoln D.C. </w:t>
                            </w:r>
                            <w:proofErr w:type="spellStart"/>
                            <w:r w:rsidR="003556C2" w:rsidRPr="00514555">
                              <w:rPr>
                                <w:lang w:val="fr-FR"/>
                              </w:rPr>
                              <w:t>Fishpool</w:t>
                            </w:r>
                            <w:proofErr w:type="spellEnd"/>
                            <w:r w:rsidR="003556C2">
                              <w:rPr>
                                <w:lang w:val="fr-FR"/>
                              </w:rPr>
                              <w:t xml:space="preserve"> (2014) devant être publié en août 2014.</w:t>
                            </w:r>
                          </w:p>
                          <w:p w:rsidR="003556C2" w:rsidRDefault="003556C2" w:rsidP="001D02E4">
                            <w:pPr>
                              <w:jc w:val="both"/>
                              <w:rPr>
                                <w:lang w:val="fr-FR"/>
                              </w:rPr>
                            </w:pPr>
                          </w:p>
                          <w:p w:rsidR="001D02E4" w:rsidRPr="00231377" w:rsidRDefault="003556C2" w:rsidP="001D02E4">
                            <w:pPr>
                              <w:jc w:val="both"/>
                              <w:rPr>
                                <w:lang w:val="fr-FR"/>
                              </w:rPr>
                            </w:pPr>
                            <w:r>
                              <w:rPr>
                                <w:lang w:val="fr-FR"/>
                              </w:rPr>
                              <w:t>Un document d’information comparant les trois options considérées pour des références en terme de nomenclature et analysant leurs conséquences pour les Annexes de la CMS et de CITES est f</w:t>
                            </w:r>
                            <w:r w:rsidR="006A2F1B">
                              <w:rPr>
                                <w:lang w:val="fr-FR"/>
                              </w:rPr>
                              <w:t>ourni (PNUE/CMS/COP11/Inf.35</w:t>
                            </w:r>
                            <w:r>
                              <w:rPr>
                                <w:lang w:val="fr-FR"/>
                              </w:rPr>
                              <w:t>).</w:t>
                            </w:r>
                          </w:p>
                          <w:p w:rsidR="00105EA7" w:rsidRPr="0038253F" w:rsidRDefault="00105EA7"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1pt;margin-top:4.7pt;width:362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ovKAIAAFI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" strokeweight="2pt">
                <v:textbox>
                  <w:txbxContent>
                    <w:p w:rsidR="001D02E4" w:rsidRPr="001C1E65" w:rsidRDefault="001D02E4" w:rsidP="001D02E4">
                      <w:pPr>
                        <w:rPr>
                          <w:lang w:val="fr-FR"/>
                        </w:rPr>
                      </w:pPr>
                      <w:r w:rsidRPr="001C1E65">
                        <w:rPr>
                          <w:lang w:val="fr-FR"/>
                        </w:rPr>
                        <w:t>Résumé</w:t>
                      </w:r>
                    </w:p>
                    <w:p w:rsidR="001D02E4" w:rsidRPr="001C1E65" w:rsidRDefault="001D02E4" w:rsidP="001D02E4">
                      <w:pPr>
                        <w:rPr>
                          <w:lang w:val="fr-FR"/>
                        </w:rPr>
                      </w:pPr>
                    </w:p>
                    <w:p w:rsidR="003D1B0A" w:rsidRDefault="00AC7928" w:rsidP="001D02E4">
                      <w:pPr>
                        <w:jc w:val="both"/>
                        <w:rPr>
                          <w:lang w:val="fr-FR"/>
                        </w:rPr>
                      </w:pPr>
                      <w:r>
                        <w:rPr>
                          <w:lang w:val="fr-FR"/>
                        </w:rPr>
                        <w:t>La Résolution 10.13 sur la nomenclature norma</w:t>
                      </w:r>
                      <w:r w:rsidR="006A2F1B">
                        <w:rPr>
                          <w:lang w:val="fr-FR"/>
                        </w:rPr>
                        <w:t>lisée des oiseaux figurant aux A</w:t>
                      </w:r>
                      <w:r>
                        <w:rPr>
                          <w:lang w:val="fr-FR"/>
                        </w:rPr>
                        <w:t xml:space="preserve">nnexes de la CMS demandait </w:t>
                      </w:r>
                      <w:r w:rsidR="006A2F1B">
                        <w:rPr>
                          <w:lang w:val="fr-FR"/>
                        </w:rPr>
                        <w:t xml:space="preserve">au </w:t>
                      </w:r>
                      <w:r>
                        <w:rPr>
                          <w:lang w:val="fr-FR"/>
                        </w:rPr>
                        <w:t>P</w:t>
                      </w:r>
                      <w:r w:rsidR="006A2F1B">
                        <w:rPr>
                          <w:lang w:val="fr-FR"/>
                        </w:rPr>
                        <w:t>résident du Conseil s</w:t>
                      </w:r>
                      <w:r w:rsidRPr="00231377">
                        <w:rPr>
                          <w:lang w:val="fr-FR"/>
                        </w:rPr>
                        <w:t xml:space="preserve">cientifique </w:t>
                      </w:r>
                      <w:r>
                        <w:rPr>
                          <w:lang w:val="fr-FR"/>
                        </w:rPr>
                        <w:t>de consulter</w:t>
                      </w:r>
                      <w:r w:rsidRPr="00231377">
                        <w:rPr>
                          <w:lang w:val="fr-FR"/>
                        </w:rPr>
                        <w:t xml:space="preserve"> les parties </w:t>
                      </w:r>
                      <w:r>
                        <w:rPr>
                          <w:lang w:val="fr-FR"/>
                        </w:rPr>
                        <w:t xml:space="preserve">prenantes </w:t>
                      </w:r>
                      <w:r w:rsidRPr="00231377">
                        <w:rPr>
                          <w:lang w:val="fr-FR"/>
                        </w:rPr>
                        <w:t xml:space="preserve">concernées dans le but d’évaluer </w:t>
                      </w:r>
                      <w:r>
                        <w:rPr>
                          <w:lang w:val="fr-FR"/>
                        </w:rPr>
                        <w:t>la possibilité d’adopter u</w:t>
                      </w:r>
                      <w:r w:rsidRPr="00231377">
                        <w:rPr>
                          <w:lang w:val="fr-FR"/>
                        </w:rPr>
                        <w:t>ne nomenclature et</w:t>
                      </w:r>
                      <w:r>
                        <w:rPr>
                          <w:lang w:val="fr-FR"/>
                        </w:rPr>
                        <w:t xml:space="preserve"> une</w:t>
                      </w:r>
                      <w:r w:rsidRPr="00231377">
                        <w:rPr>
                          <w:lang w:val="fr-FR"/>
                        </w:rPr>
                        <w:t xml:space="preserve"> taxonomie unique</w:t>
                      </w:r>
                      <w:r>
                        <w:rPr>
                          <w:lang w:val="fr-FR"/>
                        </w:rPr>
                        <w:t>s</w:t>
                      </w:r>
                      <w:r w:rsidRPr="00231377">
                        <w:rPr>
                          <w:lang w:val="fr-FR"/>
                        </w:rPr>
                        <w:t xml:space="preserve"> </w:t>
                      </w:r>
                      <w:r>
                        <w:rPr>
                          <w:lang w:val="fr-FR"/>
                        </w:rPr>
                        <w:t>pour les</w:t>
                      </w:r>
                      <w:r w:rsidRPr="00231377">
                        <w:rPr>
                          <w:lang w:val="fr-FR"/>
                        </w:rPr>
                        <w:t xml:space="preserve"> oiseaux</w:t>
                      </w:r>
                      <w:r>
                        <w:rPr>
                          <w:lang w:val="fr-FR"/>
                        </w:rPr>
                        <w:t xml:space="preserve">. Cette question a été </w:t>
                      </w:r>
                      <w:r w:rsidR="003D1B0A">
                        <w:rPr>
                          <w:lang w:val="fr-FR"/>
                        </w:rPr>
                        <w:t xml:space="preserve">ensuite </w:t>
                      </w:r>
                      <w:r w:rsidR="00E13FB9">
                        <w:rPr>
                          <w:lang w:val="fr-FR"/>
                        </w:rPr>
                        <w:t>examinée</w:t>
                      </w:r>
                      <w:r w:rsidR="000A1712">
                        <w:rPr>
                          <w:lang w:val="fr-FR"/>
                        </w:rPr>
                        <w:t xml:space="preserve"> </w:t>
                      </w:r>
                      <w:r w:rsidR="003D1B0A">
                        <w:rPr>
                          <w:lang w:val="fr-FR"/>
                        </w:rPr>
                        <w:t>lors de la réunion ad hoc sur l’harmonisation de la taxonomie des oiseaux qui s’est tenue à Formia (Italie) le 8 octobre 2013.</w:t>
                      </w:r>
                    </w:p>
                    <w:p w:rsidR="003D1B0A" w:rsidRDefault="003D1B0A" w:rsidP="001D02E4">
                      <w:pPr>
                        <w:jc w:val="both"/>
                        <w:rPr>
                          <w:lang w:val="fr-FR"/>
                        </w:rPr>
                      </w:pPr>
                    </w:p>
                    <w:p w:rsidR="003556C2" w:rsidRDefault="003D1B0A" w:rsidP="001D02E4">
                      <w:pPr>
                        <w:jc w:val="both"/>
                        <w:rPr>
                          <w:lang w:val="fr-FR"/>
                        </w:rPr>
                      </w:pPr>
                      <w:r>
                        <w:rPr>
                          <w:lang w:val="fr-FR"/>
                        </w:rPr>
                        <w:t>L</w:t>
                      </w:r>
                      <w:r w:rsidRPr="00231377">
                        <w:rPr>
                          <w:lang w:val="fr-FR"/>
                        </w:rPr>
                        <w:t>a 18</w:t>
                      </w:r>
                      <w:r w:rsidRPr="00231377">
                        <w:rPr>
                          <w:vertAlign w:val="superscript"/>
                          <w:lang w:val="fr-FR"/>
                        </w:rPr>
                        <w:t>ème</w:t>
                      </w:r>
                      <w:r>
                        <w:rPr>
                          <w:lang w:val="fr-FR"/>
                        </w:rPr>
                        <w:t xml:space="preserve"> </w:t>
                      </w:r>
                      <w:r w:rsidRPr="00231377">
                        <w:rPr>
                          <w:lang w:val="fr-FR"/>
                        </w:rPr>
                        <w:t>réunion du Conseil scientifique</w:t>
                      </w:r>
                      <w:r>
                        <w:rPr>
                          <w:lang w:val="fr-FR"/>
                        </w:rPr>
                        <w:t> </w:t>
                      </w:r>
                      <w:r>
                        <w:rPr>
                          <w:lang w:val="fr-FR"/>
                        </w:rPr>
                        <w:t xml:space="preserve">(Bonn, 1-3 juillet 2014) a pris en compte les résultats de la réunion ad hoc et a </w:t>
                      </w:r>
                      <w:r w:rsidR="003556C2">
                        <w:rPr>
                          <w:lang w:val="fr-FR"/>
                        </w:rPr>
                        <w:t>recommandé l’adoption du</w:t>
                      </w:r>
                      <w:r w:rsidR="003556C2">
                        <w:rPr>
                          <w:lang w:val="fr-FR"/>
                        </w:rPr>
                        <w:t xml:space="preserve"> m</w:t>
                      </w:r>
                      <w:r w:rsidR="003556C2" w:rsidRPr="00231377">
                        <w:rPr>
                          <w:lang w:val="fr-FR"/>
                        </w:rPr>
                        <w:t>anuel des oiseaux du monde</w:t>
                      </w:r>
                      <w:r w:rsidR="003556C2">
                        <w:rPr>
                          <w:lang w:val="fr-FR"/>
                        </w:rPr>
                        <w:t xml:space="preserve"> intitulé </w:t>
                      </w:r>
                      <w:proofErr w:type="spellStart"/>
                      <w:r w:rsidR="003556C2" w:rsidRPr="00514555">
                        <w:rPr>
                          <w:i/>
                          <w:lang w:val="fr-FR"/>
                        </w:rPr>
                        <w:t>Handbook</w:t>
                      </w:r>
                      <w:proofErr w:type="spellEnd"/>
                      <w:r w:rsidR="003556C2" w:rsidRPr="00514555">
                        <w:rPr>
                          <w:i/>
                          <w:lang w:val="fr-FR"/>
                        </w:rPr>
                        <w:t xml:space="preserve"> of the </w:t>
                      </w:r>
                      <w:proofErr w:type="spellStart"/>
                      <w:r w:rsidR="003556C2" w:rsidRPr="00514555">
                        <w:rPr>
                          <w:i/>
                          <w:lang w:val="fr-FR"/>
                        </w:rPr>
                        <w:t>Birds</w:t>
                      </w:r>
                      <w:proofErr w:type="spellEnd"/>
                      <w:r w:rsidR="003556C2" w:rsidRPr="00514555">
                        <w:rPr>
                          <w:i/>
                          <w:lang w:val="fr-FR"/>
                        </w:rPr>
                        <w:t xml:space="preserve"> of the World/</w:t>
                      </w:r>
                      <w:proofErr w:type="spellStart"/>
                      <w:r w:rsidR="003556C2" w:rsidRPr="00514555">
                        <w:rPr>
                          <w:i/>
                          <w:lang w:val="fr-FR"/>
                        </w:rPr>
                        <w:t>BirdLife</w:t>
                      </w:r>
                      <w:proofErr w:type="spellEnd"/>
                      <w:r w:rsidR="003556C2" w:rsidRPr="00514555">
                        <w:rPr>
                          <w:i/>
                          <w:lang w:val="fr-FR"/>
                        </w:rPr>
                        <w:t xml:space="preserve"> International </w:t>
                      </w:r>
                      <w:proofErr w:type="spellStart"/>
                      <w:r w:rsidR="003556C2" w:rsidRPr="00514555">
                        <w:rPr>
                          <w:i/>
                          <w:lang w:val="fr-FR"/>
                        </w:rPr>
                        <w:t>Illustrated</w:t>
                      </w:r>
                      <w:proofErr w:type="spellEnd"/>
                      <w:r w:rsidR="003556C2" w:rsidRPr="00514555">
                        <w:rPr>
                          <w:i/>
                          <w:lang w:val="fr-FR"/>
                        </w:rPr>
                        <w:t xml:space="preserve"> Checklist of the </w:t>
                      </w:r>
                      <w:proofErr w:type="spellStart"/>
                      <w:r w:rsidR="003556C2" w:rsidRPr="00514555">
                        <w:rPr>
                          <w:i/>
                          <w:lang w:val="fr-FR"/>
                        </w:rPr>
                        <w:t>Birds</w:t>
                      </w:r>
                      <w:proofErr w:type="spellEnd"/>
                      <w:r w:rsidR="003556C2" w:rsidRPr="00514555">
                        <w:rPr>
                          <w:i/>
                          <w:lang w:val="fr-FR"/>
                        </w:rPr>
                        <w:t xml:space="preserve"> of the World, Volume 1: Non-passerines</w:t>
                      </w:r>
                      <w:r w:rsidR="003556C2">
                        <w:rPr>
                          <w:lang w:val="fr-FR"/>
                        </w:rPr>
                        <w:t xml:space="preserve"> de</w:t>
                      </w:r>
                      <w:r w:rsidR="003556C2" w:rsidRPr="00514555">
                        <w:rPr>
                          <w:lang w:val="fr-FR"/>
                        </w:rPr>
                        <w:t xml:space="preserve"> Josep </w:t>
                      </w:r>
                      <w:proofErr w:type="spellStart"/>
                      <w:r w:rsidR="003556C2" w:rsidRPr="00514555">
                        <w:rPr>
                          <w:lang w:val="fr-FR"/>
                        </w:rPr>
                        <w:t>del</w:t>
                      </w:r>
                      <w:proofErr w:type="spellEnd"/>
                      <w:r w:rsidR="003556C2" w:rsidRPr="00514555">
                        <w:rPr>
                          <w:lang w:val="fr-FR"/>
                        </w:rPr>
                        <w:t xml:space="preserve"> </w:t>
                      </w:r>
                      <w:proofErr w:type="spellStart"/>
                      <w:r w:rsidR="003556C2" w:rsidRPr="00514555">
                        <w:rPr>
                          <w:lang w:val="fr-FR"/>
                        </w:rPr>
                        <w:t>Hoyo</w:t>
                      </w:r>
                      <w:proofErr w:type="spellEnd"/>
                      <w:r w:rsidR="003556C2" w:rsidRPr="00514555">
                        <w:rPr>
                          <w:lang w:val="fr-FR"/>
                        </w:rPr>
                        <w:t xml:space="preserve">, Nigel J. </w:t>
                      </w:r>
                      <w:proofErr w:type="spellStart"/>
                      <w:r w:rsidR="003556C2" w:rsidRPr="00514555">
                        <w:rPr>
                          <w:lang w:val="fr-FR"/>
                        </w:rPr>
                        <w:t>Collar</w:t>
                      </w:r>
                      <w:proofErr w:type="spellEnd"/>
                      <w:r w:rsidR="003556C2" w:rsidRPr="00514555">
                        <w:rPr>
                          <w:lang w:val="fr-FR"/>
                        </w:rPr>
                        <w:t xml:space="preserve">, David A. Christie, Andrew Elliot </w:t>
                      </w:r>
                      <w:r w:rsidR="003556C2">
                        <w:rPr>
                          <w:lang w:val="fr-FR"/>
                        </w:rPr>
                        <w:t>et</w:t>
                      </w:r>
                      <w:r w:rsidR="003556C2" w:rsidRPr="00514555">
                        <w:rPr>
                          <w:lang w:val="fr-FR"/>
                        </w:rPr>
                        <w:t xml:space="preserve"> Lincoln D.C. </w:t>
                      </w:r>
                      <w:proofErr w:type="spellStart"/>
                      <w:r w:rsidR="003556C2" w:rsidRPr="00514555">
                        <w:rPr>
                          <w:lang w:val="fr-FR"/>
                        </w:rPr>
                        <w:t>Fishpool</w:t>
                      </w:r>
                      <w:proofErr w:type="spellEnd"/>
                      <w:r w:rsidR="003556C2">
                        <w:rPr>
                          <w:lang w:val="fr-FR"/>
                        </w:rPr>
                        <w:t xml:space="preserve"> (2014) devant être publié en août 2014.</w:t>
                      </w:r>
                    </w:p>
                    <w:p w:rsidR="003556C2" w:rsidRDefault="003556C2" w:rsidP="001D02E4">
                      <w:pPr>
                        <w:jc w:val="both"/>
                        <w:rPr>
                          <w:lang w:val="fr-FR"/>
                        </w:rPr>
                      </w:pPr>
                    </w:p>
                    <w:p w:rsidR="001D02E4" w:rsidRPr="00231377" w:rsidRDefault="003556C2" w:rsidP="001D02E4">
                      <w:pPr>
                        <w:jc w:val="both"/>
                        <w:rPr>
                          <w:lang w:val="fr-FR"/>
                        </w:rPr>
                      </w:pPr>
                      <w:r>
                        <w:rPr>
                          <w:lang w:val="fr-FR"/>
                        </w:rPr>
                        <w:t>Un document d’information comparant les trois options considérées pour des références en terme de nomenclature et analysant leurs conséquences pour les Annexes de la CMS et de CITES est f</w:t>
                      </w:r>
                      <w:r w:rsidR="006A2F1B">
                        <w:rPr>
                          <w:lang w:val="fr-FR"/>
                        </w:rPr>
                        <w:t>ourni (PNUE/CMS/COP11/Inf.35</w:t>
                      </w:r>
                      <w:r>
                        <w:rPr>
                          <w:lang w:val="fr-FR"/>
                        </w:rPr>
                        <w:t>).</w:t>
                      </w:r>
                    </w:p>
                    <w:p w:rsidR="00105EA7" w:rsidRPr="0038253F" w:rsidRDefault="00105EA7" w:rsidP="004556F3">
                      <w:pPr>
                        <w:jc w:val="both"/>
                        <w:rPr>
                          <w:szCs w:val="24"/>
                          <w:lang w:val="fr-FR"/>
                        </w:rPr>
                      </w:pPr>
                    </w:p>
                  </w:txbxContent>
                </v:textbox>
              </v:shape>
            </w:pict>
          </mc:Fallback>
        </mc:AlternateContent>
      </w:r>
    </w:p>
    <w:p w:rsidR="00A22EEC" w:rsidRDefault="00A22EEC"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pPr>
    </w:p>
    <w:p w:rsidR="003D1B0A" w:rsidRDefault="003D1B0A" w:rsidP="00761732">
      <w:pPr>
        <w:rPr>
          <w:lang w:val="fr-FR"/>
        </w:rPr>
      </w:pPr>
    </w:p>
    <w:p w:rsidR="003D1B0A" w:rsidRDefault="003D1B0A" w:rsidP="00761732">
      <w:pPr>
        <w:rPr>
          <w:lang w:val="fr-FR"/>
        </w:rPr>
        <w:sectPr w:rsidR="003D1B0A" w:rsidSect="006E6631">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1D02E4" w:rsidRDefault="001D02E4" w:rsidP="001D02E4">
      <w:pPr>
        <w:jc w:val="center"/>
        <w:rPr>
          <w:b/>
          <w:bCs/>
          <w:lang w:val="fr-FR"/>
        </w:rPr>
      </w:pPr>
      <w:r w:rsidRPr="00231377">
        <w:rPr>
          <w:b/>
          <w:bCs/>
          <w:lang w:val="fr-FR"/>
        </w:rPr>
        <w:lastRenderedPageBreak/>
        <w:t xml:space="preserve">TAXONOMIE ET NOMENCLATURE DES OISEAUX </w:t>
      </w:r>
    </w:p>
    <w:p w:rsidR="001D02E4" w:rsidRDefault="001D02E4" w:rsidP="001D02E4">
      <w:pPr>
        <w:jc w:val="center"/>
        <w:rPr>
          <w:b/>
          <w:bCs/>
          <w:lang w:val="fr-FR"/>
        </w:rPr>
      </w:pPr>
      <w:r>
        <w:rPr>
          <w:b/>
          <w:bCs/>
          <w:lang w:val="fr-FR"/>
        </w:rPr>
        <w:t>FIGURANT</w:t>
      </w:r>
      <w:r w:rsidRPr="00231377">
        <w:rPr>
          <w:b/>
          <w:bCs/>
          <w:lang w:val="fr-FR"/>
        </w:rPr>
        <w:t xml:space="preserve"> AUX ANNEXES DE LA CMS</w:t>
      </w:r>
    </w:p>
    <w:p w:rsidR="001D02E4" w:rsidRPr="00935600" w:rsidRDefault="001D02E4" w:rsidP="001D02E4">
      <w:pPr>
        <w:rPr>
          <w:sz w:val="16"/>
          <w:szCs w:val="16"/>
          <w:lang w:val="fr-FR"/>
        </w:rPr>
      </w:pPr>
    </w:p>
    <w:p w:rsidR="001D02E4" w:rsidRPr="00862902" w:rsidRDefault="001D02E4" w:rsidP="001D02E4">
      <w:pPr>
        <w:jc w:val="center"/>
        <w:rPr>
          <w:lang w:val="fr-FR"/>
        </w:rPr>
      </w:pPr>
      <w:r w:rsidRPr="00862902">
        <w:rPr>
          <w:i/>
          <w:lang w:val="fr-FR"/>
        </w:rPr>
        <w:t>(Préparé par le Secrétariat PNUE/CMS)</w:t>
      </w:r>
    </w:p>
    <w:p w:rsidR="001D02E4" w:rsidRPr="00862902" w:rsidRDefault="001D02E4" w:rsidP="001D02E4">
      <w:pPr>
        <w:rPr>
          <w:lang w:val="fr-FR"/>
        </w:rPr>
      </w:pPr>
    </w:p>
    <w:p w:rsidR="001D02E4" w:rsidRDefault="001D02E4" w:rsidP="001D02E4">
      <w:pPr>
        <w:widowControl w:val="0"/>
        <w:numPr>
          <w:ilvl w:val="0"/>
          <w:numId w:val="13"/>
        </w:numPr>
        <w:autoSpaceDE w:val="0"/>
        <w:autoSpaceDN w:val="0"/>
        <w:adjustRightInd w:val="0"/>
        <w:ind w:left="0" w:firstLine="0"/>
        <w:contextualSpacing/>
        <w:jc w:val="both"/>
        <w:rPr>
          <w:lang w:val="fr-FR"/>
        </w:rPr>
      </w:pPr>
      <w:r>
        <w:rPr>
          <w:lang w:val="fr-FR"/>
        </w:rPr>
        <w:t>La r</w:t>
      </w:r>
      <w:r w:rsidRPr="00231377">
        <w:rPr>
          <w:lang w:val="fr-FR"/>
        </w:rPr>
        <w:t xml:space="preserve">ésolution 10.13 </w:t>
      </w:r>
      <w:r w:rsidRPr="00F01682">
        <w:rPr>
          <w:lang w:val="fr-FR"/>
        </w:rPr>
        <w:t>« Nomenclature normalisée des oiseaux figurant aux annexes de la CMS »</w:t>
      </w:r>
      <w:r>
        <w:rPr>
          <w:lang w:val="fr-FR"/>
        </w:rPr>
        <w:t xml:space="preserve"> </w:t>
      </w:r>
      <w:r w:rsidRPr="00231377">
        <w:rPr>
          <w:lang w:val="fr-FR"/>
        </w:rPr>
        <w:t>a deman</w:t>
      </w:r>
      <w:r>
        <w:rPr>
          <w:lang w:val="fr-FR"/>
        </w:rPr>
        <w:t>dé au P</w:t>
      </w:r>
      <w:r w:rsidRPr="00231377">
        <w:rPr>
          <w:lang w:val="fr-FR"/>
        </w:rPr>
        <w:t xml:space="preserve">résident du Conseil scientifique </w:t>
      </w:r>
      <w:r>
        <w:rPr>
          <w:lang w:val="fr-FR"/>
        </w:rPr>
        <w:t>de se mettre en rapport avec</w:t>
      </w:r>
      <w:r w:rsidRPr="00231377">
        <w:rPr>
          <w:lang w:val="fr-FR"/>
        </w:rPr>
        <w:t xml:space="preserve"> les présidents des organes consultatifs scientifiques des conventions relatives à la biodiversité, les Secrétariats des AEM concernés et les organisations internationales pertinentes, </w:t>
      </w:r>
      <w:r>
        <w:rPr>
          <w:lang w:val="fr-FR"/>
        </w:rPr>
        <w:t>incluant</w:t>
      </w:r>
      <w:r w:rsidRPr="00231377">
        <w:rPr>
          <w:lang w:val="fr-FR"/>
        </w:rPr>
        <w:t xml:space="preserve"> l’UICN, </w:t>
      </w:r>
      <w:proofErr w:type="spellStart"/>
      <w:r w:rsidRPr="00231377">
        <w:rPr>
          <w:lang w:val="fr-FR"/>
        </w:rPr>
        <w:t>BirdLife</w:t>
      </w:r>
      <w:proofErr w:type="spellEnd"/>
      <w:r w:rsidRPr="00231377">
        <w:rPr>
          <w:lang w:val="fr-FR"/>
        </w:rPr>
        <w:t xml:space="preserve"> International, </w:t>
      </w:r>
      <w:proofErr w:type="spellStart"/>
      <w:r w:rsidRPr="00231377">
        <w:rPr>
          <w:lang w:val="fr-FR"/>
        </w:rPr>
        <w:t>Wetlands</w:t>
      </w:r>
      <w:proofErr w:type="spellEnd"/>
      <w:r w:rsidRPr="00231377">
        <w:rPr>
          <w:lang w:val="fr-FR"/>
        </w:rPr>
        <w:t xml:space="preserve"> International et le PNUE-WCMC, dans le but d’évaluer </w:t>
      </w:r>
      <w:r>
        <w:rPr>
          <w:lang w:val="fr-FR"/>
        </w:rPr>
        <w:t>la possibilité d’adopter u</w:t>
      </w:r>
      <w:r w:rsidRPr="00231377">
        <w:rPr>
          <w:lang w:val="fr-FR"/>
        </w:rPr>
        <w:t>ne nomenclature et</w:t>
      </w:r>
      <w:r>
        <w:rPr>
          <w:lang w:val="fr-FR"/>
        </w:rPr>
        <w:t xml:space="preserve"> une</w:t>
      </w:r>
      <w:r w:rsidRPr="00231377">
        <w:rPr>
          <w:lang w:val="fr-FR"/>
        </w:rPr>
        <w:t xml:space="preserve"> taxonomie unique</w:t>
      </w:r>
      <w:r>
        <w:rPr>
          <w:lang w:val="fr-FR"/>
        </w:rPr>
        <w:t>s</w:t>
      </w:r>
      <w:r w:rsidRPr="00231377">
        <w:rPr>
          <w:lang w:val="fr-FR"/>
        </w:rPr>
        <w:t xml:space="preserve"> </w:t>
      </w:r>
      <w:r>
        <w:rPr>
          <w:lang w:val="fr-FR"/>
        </w:rPr>
        <w:t>pour les</w:t>
      </w:r>
      <w:r w:rsidRPr="00231377">
        <w:rPr>
          <w:lang w:val="fr-FR"/>
        </w:rPr>
        <w:t xml:space="preserve"> oiseaux, et d’informer le Conseil scientifique lors de sa </w:t>
      </w:r>
      <w:r w:rsidRPr="00D278F7">
        <w:rPr>
          <w:bCs/>
          <w:lang w:val="fr-FR"/>
        </w:rPr>
        <w:t>dix</w:t>
      </w:r>
      <w:r w:rsidRPr="00D278F7">
        <w:rPr>
          <w:lang w:val="fr-FR"/>
        </w:rPr>
        <w:t>-</w:t>
      </w:r>
      <w:r w:rsidRPr="00D278F7">
        <w:rPr>
          <w:bCs/>
          <w:lang w:val="fr-FR"/>
        </w:rPr>
        <w:t>huitième</w:t>
      </w:r>
      <w:r w:rsidRPr="00D278F7">
        <w:rPr>
          <w:b/>
          <w:bCs/>
          <w:lang w:val="fr-FR"/>
        </w:rPr>
        <w:t xml:space="preserve"> </w:t>
      </w:r>
      <w:r w:rsidRPr="00231377">
        <w:rPr>
          <w:lang w:val="fr-FR"/>
        </w:rPr>
        <w:t>réunion en vue de l’adoption d’une résolution appropriée à la COP11.</w:t>
      </w:r>
    </w:p>
    <w:p w:rsidR="001D02E4" w:rsidRPr="00C86BAA" w:rsidRDefault="001D02E4" w:rsidP="001D02E4">
      <w:pPr>
        <w:jc w:val="both"/>
        <w:rPr>
          <w:lang w:val="fr-FR"/>
        </w:rPr>
      </w:pPr>
    </w:p>
    <w:p w:rsidR="001D02E4" w:rsidRDefault="001D02E4" w:rsidP="001D02E4">
      <w:pPr>
        <w:widowControl w:val="0"/>
        <w:numPr>
          <w:ilvl w:val="0"/>
          <w:numId w:val="13"/>
        </w:numPr>
        <w:autoSpaceDE w:val="0"/>
        <w:autoSpaceDN w:val="0"/>
        <w:adjustRightInd w:val="0"/>
        <w:ind w:left="0" w:firstLine="0"/>
        <w:contextualSpacing/>
        <w:jc w:val="both"/>
        <w:rPr>
          <w:lang w:val="fr-FR"/>
        </w:rPr>
      </w:pPr>
      <w:r>
        <w:rPr>
          <w:lang w:val="fr-FR"/>
        </w:rPr>
        <w:t>La r</w:t>
      </w:r>
      <w:r w:rsidRPr="00231377">
        <w:rPr>
          <w:lang w:val="fr-FR"/>
        </w:rPr>
        <w:t xml:space="preserve">ésolution 10.13 </w:t>
      </w:r>
      <w:r>
        <w:rPr>
          <w:lang w:val="fr-FR"/>
        </w:rPr>
        <w:t xml:space="preserve">a </w:t>
      </w:r>
      <w:r w:rsidRPr="00231377">
        <w:rPr>
          <w:lang w:val="fr-FR"/>
        </w:rPr>
        <w:t>adopté la taxonomie utilisée par l’Accord sur la conservation des albatros et des pétrels (ACAP) comme référence de nomenclature normalisée de la Convention pour les albatros et les pétrels.</w:t>
      </w:r>
    </w:p>
    <w:p w:rsidR="001D02E4" w:rsidRPr="001C1E65" w:rsidRDefault="001D02E4" w:rsidP="001D02E4">
      <w:pPr>
        <w:contextualSpacing/>
        <w:jc w:val="both"/>
        <w:rPr>
          <w:lang w:val="fr-FR"/>
        </w:rPr>
      </w:pPr>
    </w:p>
    <w:p w:rsidR="001D02E4" w:rsidRPr="00514555" w:rsidRDefault="001D02E4" w:rsidP="001D02E4">
      <w:pPr>
        <w:widowControl w:val="0"/>
        <w:numPr>
          <w:ilvl w:val="0"/>
          <w:numId w:val="13"/>
        </w:numPr>
        <w:autoSpaceDE w:val="0"/>
        <w:autoSpaceDN w:val="0"/>
        <w:adjustRightInd w:val="0"/>
        <w:ind w:left="0" w:firstLine="0"/>
        <w:contextualSpacing/>
        <w:jc w:val="both"/>
        <w:rPr>
          <w:lang w:val="fr-FR"/>
        </w:rPr>
      </w:pPr>
      <w:r w:rsidRPr="00514555">
        <w:rPr>
          <w:lang w:val="fr-FR"/>
        </w:rPr>
        <w:t>Conformément à la résolution 10.13</w:t>
      </w:r>
      <w:r>
        <w:rPr>
          <w:lang w:val="fr-FR"/>
        </w:rPr>
        <w:t>, le</w:t>
      </w:r>
      <w:r w:rsidRPr="00514555">
        <w:rPr>
          <w:lang w:val="fr-FR"/>
        </w:rPr>
        <w:t xml:space="preserve"> Président du Conseil scientifique a examiné </w:t>
      </w:r>
      <w:r>
        <w:rPr>
          <w:lang w:val="fr-FR"/>
        </w:rPr>
        <w:t>la possibilité d’adopter u</w:t>
      </w:r>
      <w:r w:rsidRPr="00514555">
        <w:rPr>
          <w:lang w:val="fr-FR"/>
        </w:rPr>
        <w:t xml:space="preserve">ne nomenclature et </w:t>
      </w:r>
      <w:r>
        <w:rPr>
          <w:lang w:val="fr-FR"/>
        </w:rPr>
        <w:t xml:space="preserve">une </w:t>
      </w:r>
      <w:r w:rsidRPr="00514555">
        <w:rPr>
          <w:lang w:val="fr-FR"/>
        </w:rPr>
        <w:t>taxonomie unique</w:t>
      </w:r>
      <w:r>
        <w:rPr>
          <w:lang w:val="fr-FR"/>
        </w:rPr>
        <w:t>s pour l</w:t>
      </w:r>
      <w:r w:rsidRPr="00514555">
        <w:rPr>
          <w:lang w:val="fr-FR"/>
        </w:rPr>
        <w:t xml:space="preserve">es oiseaux avec les participants </w:t>
      </w:r>
      <w:r>
        <w:rPr>
          <w:lang w:val="fr-FR"/>
        </w:rPr>
        <w:t>à la</w:t>
      </w:r>
      <w:r w:rsidRPr="00514555">
        <w:rPr>
          <w:lang w:val="fr-FR"/>
        </w:rPr>
        <w:t xml:space="preserve"> réunion ad hoc sur l’harmonisation de la taxonomie des oiseaux, qui s’est tenue à Formia, Italie, l</w:t>
      </w:r>
      <w:r>
        <w:rPr>
          <w:lang w:val="fr-FR"/>
        </w:rPr>
        <w:t>e 8 o</w:t>
      </w:r>
      <w:r w:rsidRPr="00514555">
        <w:rPr>
          <w:lang w:val="fr-FR"/>
        </w:rPr>
        <w:t>ctobre 2013 (</w:t>
      </w:r>
      <w:r>
        <w:rPr>
          <w:lang w:val="fr-FR"/>
        </w:rPr>
        <w:t>PNUE</w:t>
      </w:r>
      <w:r w:rsidRPr="00514555">
        <w:rPr>
          <w:lang w:val="fr-FR"/>
        </w:rPr>
        <w:t>/CMS/ScC18/Inf.</w:t>
      </w:r>
      <w:r>
        <w:rPr>
          <w:lang w:val="fr-FR"/>
        </w:rPr>
        <w:t>9.1</w:t>
      </w:r>
      <w:r w:rsidRPr="00514555">
        <w:rPr>
          <w:lang w:val="fr-FR"/>
        </w:rPr>
        <w:t>).</w:t>
      </w:r>
      <w:r w:rsidR="00A82703">
        <w:rPr>
          <w:lang w:val="fr-FR"/>
        </w:rPr>
        <w:t xml:space="preserve"> Le rapport de cette réunion figure dans le document PNUE/CMS/ScC18/Inf.9.1.</w:t>
      </w:r>
    </w:p>
    <w:p w:rsidR="001D02E4" w:rsidRPr="001C1E65" w:rsidRDefault="001D02E4" w:rsidP="001D02E4">
      <w:pPr>
        <w:contextualSpacing/>
        <w:rPr>
          <w:lang w:val="fr-FR"/>
        </w:rPr>
      </w:pPr>
    </w:p>
    <w:p w:rsidR="001D02E4" w:rsidRPr="00514555" w:rsidRDefault="001D02E4" w:rsidP="001D02E4">
      <w:pPr>
        <w:widowControl w:val="0"/>
        <w:numPr>
          <w:ilvl w:val="0"/>
          <w:numId w:val="13"/>
        </w:numPr>
        <w:autoSpaceDE w:val="0"/>
        <w:autoSpaceDN w:val="0"/>
        <w:adjustRightInd w:val="0"/>
        <w:ind w:left="0" w:firstLine="0"/>
        <w:contextualSpacing/>
        <w:jc w:val="both"/>
        <w:rPr>
          <w:lang w:val="fr-FR"/>
        </w:rPr>
      </w:pPr>
      <w:r w:rsidRPr="00231377">
        <w:rPr>
          <w:lang w:val="fr-FR"/>
        </w:rPr>
        <w:t xml:space="preserve">La réunion </w:t>
      </w:r>
      <w:r>
        <w:rPr>
          <w:lang w:val="fr-FR"/>
        </w:rPr>
        <w:t xml:space="preserve">de </w:t>
      </w:r>
      <w:r w:rsidRPr="00231377">
        <w:rPr>
          <w:lang w:val="fr-FR"/>
        </w:rPr>
        <w:t xml:space="preserve">Formia </w:t>
      </w:r>
      <w:r>
        <w:rPr>
          <w:lang w:val="fr-FR"/>
        </w:rPr>
        <w:t xml:space="preserve">a </w:t>
      </w:r>
      <w:r w:rsidRPr="00231377">
        <w:rPr>
          <w:lang w:val="fr-FR"/>
        </w:rPr>
        <w:t xml:space="preserve">proposé de </w:t>
      </w:r>
      <w:r>
        <w:rPr>
          <w:lang w:val="fr-FR"/>
        </w:rPr>
        <w:t>mener</w:t>
      </w:r>
      <w:r w:rsidRPr="00231377">
        <w:rPr>
          <w:lang w:val="fr-FR"/>
        </w:rPr>
        <w:t xml:space="preserve"> une première analyse des implications </w:t>
      </w:r>
      <w:r>
        <w:rPr>
          <w:lang w:val="fr-FR"/>
        </w:rPr>
        <w:t>en termes de</w:t>
      </w:r>
      <w:r w:rsidRPr="00231377">
        <w:rPr>
          <w:lang w:val="fr-FR"/>
        </w:rPr>
        <w:t xml:space="preserve"> nomenclature pour les </w:t>
      </w:r>
      <w:r>
        <w:rPr>
          <w:lang w:val="fr-FR"/>
        </w:rPr>
        <w:t>a</w:t>
      </w:r>
      <w:r w:rsidRPr="00231377">
        <w:rPr>
          <w:lang w:val="fr-FR"/>
        </w:rPr>
        <w:t xml:space="preserve">nnexes de la CMS et </w:t>
      </w:r>
      <w:r>
        <w:rPr>
          <w:lang w:val="fr-FR"/>
        </w:rPr>
        <w:t>de la CITES du nouveau m</w:t>
      </w:r>
      <w:r w:rsidRPr="00231377">
        <w:rPr>
          <w:lang w:val="fr-FR"/>
        </w:rPr>
        <w:t>anuel des oiseaux du monde</w:t>
      </w:r>
      <w:r>
        <w:rPr>
          <w:lang w:val="fr-FR"/>
        </w:rPr>
        <w:t xml:space="preserve"> intitulé </w:t>
      </w:r>
      <w:proofErr w:type="spellStart"/>
      <w:r w:rsidRPr="00514555">
        <w:rPr>
          <w:i/>
          <w:lang w:val="fr-FR"/>
        </w:rPr>
        <w:t>Handbook</w:t>
      </w:r>
      <w:proofErr w:type="spellEnd"/>
      <w:r w:rsidRPr="00514555">
        <w:rPr>
          <w:i/>
          <w:lang w:val="fr-FR"/>
        </w:rPr>
        <w:t xml:space="preserve"> of the </w:t>
      </w:r>
      <w:proofErr w:type="spellStart"/>
      <w:r w:rsidRPr="00514555">
        <w:rPr>
          <w:i/>
          <w:lang w:val="fr-FR"/>
        </w:rPr>
        <w:t>Birds</w:t>
      </w:r>
      <w:proofErr w:type="spellEnd"/>
      <w:r w:rsidRPr="00514555">
        <w:rPr>
          <w:i/>
          <w:lang w:val="fr-FR"/>
        </w:rPr>
        <w:t xml:space="preserve"> of the World/</w:t>
      </w:r>
      <w:proofErr w:type="spellStart"/>
      <w:r w:rsidRPr="00514555">
        <w:rPr>
          <w:i/>
          <w:lang w:val="fr-FR"/>
        </w:rPr>
        <w:t>BirdLife</w:t>
      </w:r>
      <w:proofErr w:type="spellEnd"/>
      <w:r w:rsidRPr="00514555">
        <w:rPr>
          <w:i/>
          <w:lang w:val="fr-FR"/>
        </w:rPr>
        <w:t xml:space="preserve"> International </w:t>
      </w:r>
      <w:proofErr w:type="spellStart"/>
      <w:r w:rsidRPr="00514555">
        <w:rPr>
          <w:i/>
          <w:lang w:val="fr-FR"/>
        </w:rPr>
        <w:t>Illustrated</w:t>
      </w:r>
      <w:proofErr w:type="spellEnd"/>
      <w:r w:rsidRPr="00514555">
        <w:rPr>
          <w:i/>
          <w:lang w:val="fr-FR"/>
        </w:rPr>
        <w:t xml:space="preserve"> Checklist of the </w:t>
      </w:r>
      <w:proofErr w:type="spellStart"/>
      <w:r w:rsidRPr="00514555">
        <w:rPr>
          <w:i/>
          <w:lang w:val="fr-FR"/>
        </w:rPr>
        <w:t>Birds</w:t>
      </w:r>
      <w:proofErr w:type="spellEnd"/>
      <w:r w:rsidRPr="00514555">
        <w:rPr>
          <w:i/>
          <w:lang w:val="fr-FR"/>
        </w:rPr>
        <w:t xml:space="preserve"> of the World, Volume 1: Non-passerines</w:t>
      </w:r>
      <w:r>
        <w:rPr>
          <w:lang w:val="fr-FR"/>
        </w:rPr>
        <w:t xml:space="preserve"> de</w:t>
      </w:r>
      <w:r w:rsidRPr="00514555">
        <w:rPr>
          <w:lang w:val="fr-FR"/>
        </w:rPr>
        <w:t xml:space="preserve"> Josep </w:t>
      </w:r>
      <w:proofErr w:type="spellStart"/>
      <w:r w:rsidRPr="00514555">
        <w:rPr>
          <w:lang w:val="fr-FR"/>
        </w:rPr>
        <w:t>del</w:t>
      </w:r>
      <w:proofErr w:type="spellEnd"/>
      <w:r w:rsidRPr="00514555">
        <w:rPr>
          <w:lang w:val="fr-FR"/>
        </w:rPr>
        <w:t xml:space="preserve"> </w:t>
      </w:r>
      <w:proofErr w:type="spellStart"/>
      <w:r w:rsidRPr="00514555">
        <w:rPr>
          <w:lang w:val="fr-FR"/>
        </w:rPr>
        <w:t>Hoyo</w:t>
      </w:r>
      <w:proofErr w:type="spellEnd"/>
      <w:r w:rsidRPr="00514555">
        <w:rPr>
          <w:lang w:val="fr-FR"/>
        </w:rPr>
        <w:t xml:space="preserve">, Nigel J. </w:t>
      </w:r>
      <w:proofErr w:type="spellStart"/>
      <w:r w:rsidRPr="00514555">
        <w:rPr>
          <w:lang w:val="fr-FR"/>
        </w:rPr>
        <w:t>Collar</w:t>
      </w:r>
      <w:proofErr w:type="spellEnd"/>
      <w:r w:rsidRPr="00514555">
        <w:rPr>
          <w:lang w:val="fr-FR"/>
        </w:rPr>
        <w:t xml:space="preserve">, David A. Christie, Andrew Elliot </w:t>
      </w:r>
      <w:r>
        <w:rPr>
          <w:lang w:val="fr-FR"/>
        </w:rPr>
        <w:t>et</w:t>
      </w:r>
      <w:r w:rsidRPr="00514555">
        <w:rPr>
          <w:lang w:val="fr-FR"/>
        </w:rPr>
        <w:t xml:space="preserve"> Lincoln D.C. </w:t>
      </w:r>
      <w:proofErr w:type="spellStart"/>
      <w:r w:rsidRPr="00514555">
        <w:rPr>
          <w:lang w:val="fr-FR"/>
        </w:rPr>
        <w:t>Fishpool</w:t>
      </w:r>
      <w:proofErr w:type="spellEnd"/>
      <w:r w:rsidRPr="00514555">
        <w:rPr>
          <w:lang w:val="fr-FR"/>
        </w:rPr>
        <w:t>,</w:t>
      </w:r>
      <w:r>
        <w:rPr>
          <w:lang w:val="fr-FR"/>
        </w:rPr>
        <w:t xml:space="preserve"> dont la publication était prévue en août</w:t>
      </w:r>
      <w:r w:rsidRPr="00231377">
        <w:rPr>
          <w:lang w:val="fr-FR"/>
        </w:rPr>
        <w:t xml:space="preserve"> 2014. </w:t>
      </w:r>
      <w:r w:rsidRPr="00514555">
        <w:rPr>
          <w:lang w:val="fr-FR"/>
        </w:rPr>
        <w:t xml:space="preserve">Cette analyse préliminaire a été réalisée par </w:t>
      </w:r>
      <w:proofErr w:type="spellStart"/>
      <w:r w:rsidRPr="00514555">
        <w:rPr>
          <w:lang w:val="fr-FR"/>
        </w:rPr>
        <w:t>BirdLife</w:t>
      </w:r>
      <w:proofErr w:type="spellEnd"/>
      <w:r w:rsidRPr="00514555">
        <w:rPr>
          <w:lang w:val="fr-FR"/>
        </w:rPr>
        <w:t xml:space="preserve"> International et figure dans le document </w:t>
      </w:r>
      <w:r>
        <w:rPr>
          <w:lang w:val="fr-FR"/>
        </w:rPr>
        <w:t>PNUE</w:t>
      </w:r>
      <w:r w:rsidRPr="00514555">
        <w:rPr>
          <w:lang w:val="fr-FR"/>
        </w:rPr>
        <w:t>/CMS/</w:t>
      </w:r>
      <w:r w:rsidR="009C71CD">
        <w:rPr>
          <w:lang w:val="fr-FR"/>
        </w:rPr>
        <w:t>COP11/Inf.35</w:t>
      </w:r>
      <w:r w:rsidR="00A82703">
        <w:rPr>
          <w:lang w:val="fr-FR"/>
        </w:rPr>
        <w:t>.</w:t>
      </w:r>
    </w:p>
    <w:p w:rsidR="001D02E4" w:rsidRPr="001C1E65" w:rsidRDefault="001D02E4" w:rsidP="001D02E4">
      <w:pPr>
        <w:contextualSpacing/>
        <w:rPr>
          <w:lang w:val="fr-FR"/>
        </w:rPr>
      </w:pPr>
    </w:p>
    <w:p w:rsidR="00A82703" w:rsidRDefault="001D02E4" w:rsidP="00A82703">
      <w:pPr>
        <w:widowControl w:val="0"/>
        <w:numPr>
          <w:ilvl w:val="0"/>
          <w:numId w:val="13"/>
        </w:numPr>
        <w:autoSpaceDE w:val="0"/>
        <w:autoSpaceDN w:val="0"/>
        <w:adjustRightInd w:val="0"/>
        <w:ind w:left="0" w:firstLine="0"/>
        <w:contextualSpacing/>
        <w:jc w:val="both"/>
        <w:rPr>
          <w:lang w:val="fr-FR"/>
        </w:rPr>
      </w:pPr>
      <w:r w:rsidRPr="00231377">
        <w:rPr>
          <w:lang w:val="fr-FR"/>
        </w:rPr>
        <w:t xml:space="preserve">La </w:t>
      </w:r>
      <w:r w:rsidRPr="00D278F7">
        <w:rPr>
          <w:bCs/>
          <w:lang w:val="fr-FR"/>
        </w:rPr>
        <w:t>vingt</w:t>
      </w:r>
      <w:r w:rsidRPr="00D278F7">
        <w:rPr>
          <w:lang w:val="fr-FR"/>
        </w:rPr>
        <w:t>-</w:t>
      </w:r>
      <w:r w:rsidRPr="00D278F7">
        <w:rPr>
          <w:bCs/>
          <w:lang w:val="fr-FR"/>
        </w:rPr>
        <w:t>septième</w:t>
      </w:r>
      <w:r w:rsidRPr="00D278F7">
        <w:rPr>
          <w:b/>
          <w:bCs/>
          <w:lang w:val="fr-FR"/>
        </w:rPr>
        <w:t xml:space="preserve"> </w:t>
      </w:r>
      <w:r>
        <w:rPr>
          <w:lang w:val="fr-FR"/>
        </w:rPr>
        <w:t>session</w:t>
      </w:r>
      <w:r w:rsidRPr="00231377">
        <w:rPr>
          <w:lang w:val="fr-FR"/>
        </w:rPr>
        <w:t xml:space="preserve"> du Comité pour les animaux </w:t>
      </w:r>
      <w:r>
        <w:rPr>
          <w:lang w:val="fr-FR"/>
        </w:rPr>
        <w:t xml:space="preserve">de la </w:t>
      </w:r>
      <w:r w:rsidRPr="00231377">
        <w:rPr>
          <w:lang w:val="fr-FR"/>
        </w:rPr>
        <w:t xml:space="preserve">CITES (Veracruz, Mexique, </w:t>
      </w:r>
      <w:r>
        <w:rPr>
          <w:lang w:val="fr-FR"/>
        </w:rPr>
        <w:t>28 a</w:t>
      </w:r>
      <w:r w:rsidRPr="00231377">
        <w:rPr>
          <w:lang w:val="fr-FR"/>
        </w:rPr>
        <w:t>vril</w:t>
      </w:r>
      <w:r>
        <w:rPr>
          <w:lang w:val="fr-FR"/>
        </w:rPr>
        <w:t xml:space="preserve"> –</w:t>
      </w:r>
      <w:r w:rsidRPr="00231377">
        <w:rPr>
          <w:lang w:val="fr-FR"/>
        </w:rPr>
        <w:t xml:space="preserve"> 3</w:t>
      </w:r>
      <w:r>
        <w:rPr>
          <w:lang w:val="fr-FR"/>
        </w:rPr>
        <w:t> mai</w:t>
      </w:r>
      <w:r w:rsidRPr="00231377">
        <w:rPr>
          <w:lang w:val="fr-FR"/>
        </w:rPr>
        <w:t xml:space="preserve"> 2014)</w:t>
      </w:r>
      <w:r>
        <w:rPr>
          <w:lang w:val="fr-FR"/>
        </w:rPr>
        <w:t xml:space="preserve"> a d</w:t>
      </w:r>
      <w:r w:rsidRPr="00231377">
        <w:rPr>
          <w:lang w:val="fr-FR"/>
        </w:rPr>
        <w:t xml:space="preserve">écidé de reporter la discussion </w:t>
      </w:r>
      <w:r>
        <w:rPr>
          <w:lang w:val="fr-FR"/>
        </w:rPr>
        <w:t xml:space="preserve">portant </w:t>
      </w:r>
      <w:r w:rsidRPr="00231377">
        <w:rPr>
          <w:lang w:val="fr-FR"/>
        </w:rPr>
        <w:t xml:space="preserve">sur </w:t>
      </w:r>
      <w:r>
        <w:rPr>
          <w:lang w:val="fr-FR"/>
        </w:rPr>
        <w:t>la</w:t>
      </w:r>
      <w:r w:rsidRPr="00231377">
        <w:rPr>
          <w:lang w:val="fr-FR"/>
        </w:rPr>
        <w:t xml:space="preserve"> référence de nomenclature normalisée pour les oiseaux à sa prochaine réunion </w:t>
      </w:r>
      <w:r>
        <w:rPr>
          <w:lang w:val="fr-FR"/>
        </w:rPr>
        <w:t xml:space="preserve">qui se tiendra </w:t>
      </w:r>
      <w:r w:rsidRPr="00231377">
        <w:rPr>
          <w:lang w:val="fr-FR"/>
        </w:rPr>
        <w:t>au printemps 2015 (AC 28)</w:t>
      </w:r>
      <w:r>
        <w:rPr>
          <w:lang w:val="fr-FR"/>
        </w:rPr>
        <w:t>,</w:t>
      </w:r>
      <w:r w:rsidRPr="00231377">
        <w:rPr>
          <w:lang w:val="fr-FR"/>
        </w:rPr>
        <w:t xml:space="preserve"> </w:t>
      </w:r>
      <w:r>
        <w:rPr>
          <w:lang w:val="fr-FR"/>
        </w:rPr>
        <w:t>en espérant qu’</w:t>
      </w:r>
      <w:r w:rsidRPr="00231377">
        <w:rPr>
          <w:lang w:val="fr-FR"/>
        </w:rPr>
        <w:t xml:space="preserve">en </w:t>
      </w:r>
      <w:r>
        <w:rPr>
          <w:lang w:val="fr-FR"/>
        </w:rPr>
        <w:t xml:space="preserve">plus de la nouvelle édition de </w:t>
      </w:r>
      <w:r w:rsidRPr="00502AA5">
        <w:rPr>
          <w:i/>
          <w:lang w:val="fr-FR"/>
        </w:rPr>
        <w:t>Howard &amp; Moore</w:t>
      </w:r>
      <w:r w:rsidRPr="00502AA5">
        <w:rPr>
          <w:lang w:val="fr-FR"/>
        </w:rPr>
        <w:t xml:space="preserve"> </w:t>
      </w:r>
      <w:r w:rsidRPr="00502AA5">
        <w:rPr>
          <w:i/>
          <w:lang w:val="fr-FR"/>
        </w:rPr>
        <w:t>Complete</w:t>
      </w:r>
      <w:r w:rsidRPr="00502AA5">
        <w:rPr>
          <w:lang w:val="fr-FR"/>
        </w:rPr>
        <w:t xml:space="preserve"> </w:t>
      </w:r>
      <w:r w:rsidRPr="00502AA5">
        <w:rPr>
          <w:i/>
          <w:lang w:val="fr-FR"/>
        </w:rPr>
        <w:t xml:space="preserve">Checklist of the </w:t>
      </w:r>
      <w:proofErr w:type="spellStart"/>
      <w:r w:rsidRPr="00502AA5">
        <w:rPr>
          <w:i/>
          <w:lang w:val="fr-FR"/>
        </w:rPr>
        <w:t>Birds</w:t>
      </w:r>
      <w:proofErr w:type="spellEnd"/>
      <w:r w:rsidRPr="00502AA5">
        <w:rPr>
          <w:i/>
          <w:lang w:val="fr-FR"/>
        </w:rPr>
        <w:t xml:space="preserve"> of the World (2013) for Non-Passerines</w:t>
      </w:r>
      <w:r w:rsidRPr="00502AA5">
        <w:rPr>
          <w:lang w:val="fr-FR"/>
        </w:rPr>
        <w:t xml:space="preserve">, </w:t>
      </w:r>
      <w:r>
        <w:rPr>
          <w:lang w:val="fr-FR"/>
        </w:rPr>
        <w:t>éditée par</w:t>
      </w:r>
      <w:r w:rsidRPr="00502AA5">
        <w:rPr>
          <w:lang w:val="fr-FR"/>
        </w:rPr>
        <w:t xml:space="preserve"> E.C. Dickinson </w:t>
      </w:r>
      <w:r>
        <w:rPr>
          <w:lang w:val="fr-FR"/>
        </w:rPr>
        <w:t>et</w:t>
      </w:r>
      <w:r w:rsidRPr="00502AA5">
        <w:rPr>
          <w:lang w:val="fr-FR"/>
        </w:rPr>
        <w:t xml:space="preserve"> J.V. </w:t>
      </w:r>
      <w:proofErr w:type="spellStart"/>
      <w:r w:rsidRPr="00502AA5">
        <w:rPr>
          <w:lang w:val="fr-FR"/>
        </w:rPr>
        <w:t>Remsen</w:t>
      </w:r>
      <w:proofErr w:type="spellEnd"/>
      <w:r w:rsidRPr="00231377">
        <w:rPr>
          <w:lang w:val="fr-FR"/>
        </w:rPr>
        <w:t xml:space="preserve">, le nouveau </w:t>
      </w:r>
      <w:proofErr w:type="spellStart"/>
      <w:r w:rsidRPr="00502AA5">
        <w:rPr>
          <w:i/>
          <w:lang w:val="fr-FR"/>
        </w:rPr>
        <w:t>Handbook</w:t>
      </w:r>
      <w:proofErr w:type="spellEnd"/>
      <w:r>
        <w:rPr>
          <w:i/>
          <w:lang w:val="fr-FR"/>
        </w:rPr>
        <w:t xml:space="preserve"> of the </w:t>
      </w:r>
      <w:proofErr w:type="spellStart"/>
      <w:r>
        <w:rPr>
          <w:i/>
          <w:lang w:val="fr-FR"/>
        </w:rPr>
        <w:t>Birds</w:t>
      </w:r>
      <w:proofErr w:type="spellEnd"/>
      <w:r>
        <w:rPr>
          <w:i/>
          <w:lang w:val="fr-FR"/>
        </w:rPr>
        <w:t xml:space="preserve"> of the World/</w:t>
      </w:r>
      <w:proofErr w:type="spellStart"/>
      <w:r>
        <w:rPr>
          <w:i/>
          <w:lang w:val="fr-FR"/>
        </w:rPr>
        <w:t>BirdL</w:t>
      </w:r>
      <w:r w:rsidRPr="00502AA5">
        <w:rPr>
          <w:i/>
          <w:lang w:val="fr-FR"/>
        </w:rPr>
        <w:t>ife</w:t>
      </w:r>
      <w:proofErr w:type="spellEnd"/>
      <w:r w:rsidRPr="00502AA5">
        <w:rPr>
          <w:i/>
          <w:lang w:val="fr-FR"/>
        </w:rPr>
        <w:t xml:space="preserve"> International </w:t>
      </w:r>
      <w:proofErr w:type="spellStart"/>
      <w:r w:rsidRPr="00502AA5">
        <w:rPr>
          <w:i/>
          <w:lang w:val="fr-FR"/>
        </w:rPr>
        <w:t>Illustrated</w:t>
      </w:r>
      <w:proofErr w:type="spellEnd"/>
      <w:r w:rsidRPr="00502AA5">
        <w:rPr>
          <w:i/>
          <w:lang w:val="fr-FR"/>
        </w:rPr>
        <w:t xml:space="preserve"> Checklist of the </w:t>
      </w:r>
      <w:proofErr w:type="spellStart"/>
      <w:r w:rsidRPr="00502AA5">
        <w:rPr>
          <w:i/>
          <w:lang w:val="fr-FR"/>
        </w:rPr>
        <w:t>Birds</w:t>
      </w:r>
      <w:proofErr w:type="spellEnd"/>
      <w:r w:rsidRPr="00502AA5">
        <w:rPr>
          <w:i/>
          <w:lang w:val="fr-FR"/>
        </w:rPr>
        <w:t xml:space="preserve"> of the World –Non Passerines </w:t>
      </w:r>
      <w:r>
        <w:rPr>
          <w:lang w:val="fr-FR"/>
        </w:rPr>
        <w:t>soit</w:t>
      </w:r>
      <w:r w:rsidRPr="00231377">
        <w:rPr>
          <w:lang w:val="fr-FR"/>
        </w:rPr>
        <w:t xml:space="preserve"> publié et disponible, </w:t>
      </w:r>
      <w:r>
        <w:rPr>
          <w:lang w:val="fr-FR"/>
        </w:rPr>
        <w:t xml:space="preserve">pour </w:t>
      </w:r>
      <w:r w:rsidRPr="00231377">
        <w:rPr>
          <w:lang w:val="fr-FR"/>
        </w:rPr>
        <w:t>permett</w:t>
      </w:r>
      <w:r>
        <w:rPr>
          <w:lang w:val="fr-FR"/>
        </w:rPr>
        <w:t xml:space="preserve">re </w:t>
      </w:r>
      <w:r w:rsidRPr="00231377">
        <w:rPr>
          <w:lang w:val="fr-FR"/>
        </w:rPr>
        <w:t xml:space="preserve">ainsi au Comité d’évaluer </w:t>
      </w:r>
      <w:r>
        <w:rPr>
          <w:lang w:val="fr-FR"/>
        </w:rPr>
        <w:t>en détail</w:t>
      </w:r>
      <w:r w:rsidRPr="00231377">
        <w:rPr>
          <w:lang w:val="fr-FR"/>
        </w:rPr>
        <w:t xml:space="preserve"> ce qui servirait au mieux les besoins de la CITES.</w:t>
      </w:r>
    </w:p>
    <w:p w:rsidR="003F6443" w:rsidRDefault="003F6443" w:rsidP="003F6443">
      <w:pPr>
        <w:widowControl w:val="0"/>
        <w:autoSpaceDE w:val="0"/>
        <w:autoSpaceDN w:val="0"/>
        <w:adjustRightInd w:val="0"/>
        <w:contextualSpacing/>
        <w:jc w:val="both"/>
        <w:rPr>
          <w:lang w:val="fr-FR"/>
        </w:rPr>
      </w:pPr>
    </w:p>
    <w:p w:rsidR="001D02E4" w:rsidRPr="003F6443" w:rsidRDefault="00A82703" w:rsidP="003F6443">
      <w:pPr>
        <w:widowControl w:val="0"/>
        <w:numPr>
          <w:ilvl w:val="0"/>
          <w:numId w:val="13"/>
        </w:numPr>
        <w:autoSpaceDE w:val="0"/>
        <w:autoSpaceDN w:val="0"/>
        <w:adjustRightInd w:val="0"/>
        <w:ind w:left="0" w:firstLine="0"/>
        <w:contextualSpacing/>
        <w:jc w:val="both"/>
        <w:rPr>
          <w:lang w:val="fr-FR"/>
        </w:rPr>
      </w:pPr>
      <w:r w:rsidRPr="003F6443">
        <w:rPr>
          <w:lang w:val="fr-FR"/>
        </w:rPr>
        <w:t>La 18</w:t>
      </w:r>
      <w:r w:rsidRPr="003F6443">
        <w:rPr>
          <w:vertAlign w:val="superscript"/>
          <w:lang w:val="fr-FR"/>
        </w:rPr>
        <w:t>ème</w:t>
      </w:r>
      <w:r w:rsidRPr="003F6443">
        <w:rPr>
          <w:lang w:val="fr-FR"/>
        </w:rPr>
        <w:t xml:space="preserve"> réunion du Conseil Scientifique (Bonn, 1-3 juillet 2014</w:t>
      </w:r>
      <w:proofErr w:type="gramStart"/>
      <w:r w:rsidRPr="003F6443">
        <w:rPr>
          <w:lang w:val="fr-FR"/>
        </w:rPr>
        <w:t>)a</w:t>
      </w:r>
      <w:proofErr w:type="gramEnd"/>
      <w:r w:rsidRPr="003F6443">
        <w:rPr>
          <w:lang w:val="fr-FR"/>
        </w:rPr>
        <w:t xml:space="preserve"> recommandé l’adoption de la référence mentionnée dans le paragraphe 4 ci-dessus.</w:t>
      </w:r>
      <w:r w:rsidR="00B7084D" w:rsidRPr="003F6443">
        <w:rPr>
          <w:lang w:val="fr-FR"/>
        </w:rPr>
        <w:t xml:space="preserve"> Cette décision a été motivée par l’alignement de la taxonomie et de la nomenclature proposée par cette publication avec celle suivie par la liste rouge de l’UICN des espèces d’oiseaux menacées.</w:t>
      </w:r>
    </w:p>
    <w:p w:rsidR="001D02E4" w:rsidRPr="00291FD8" w:rsidRDefault="001D02E4" w:rsidP="001D02E4">
      <w:pPr>
        <w:pStyle w:val="ListParagraph"/>
        <w:ind w:left="0"/>
        <w:rPr>
          <w:lang w:val="fr-FR"/>
        </w:rPr>
      </w:pPr>
    </w:p>
    <w:p w:rsidR="001D02E4" w:rsidRPr="00862902" w:rsidRDefault="001D02E4" w:rsidP="001D02E4">
      <w:pPr>
        <w:contextualSpacing/>
        <w:jc w:val="both"/>
        <w:rPr>
          <w:b/>
          <w:i/>
          <w:u w:val="single"/>
          <w:lang w:val="fr-FR"/>
        </w:rPr>
      </w:pPr>
      <w:r w:rsidRPr="00862902">
        <w:rPr>
          <w:b/>
          <w:i/>
          <w:u w:val="single"/>
          <w:lang w:val="fr-FR"/>
        </w:rPr>
        <w:t>Action requise :</w:t>
      </w:r>
    </w:p>
    <w:p w:rsidR="001D02E4" w:rsidRPr="00862902" w:rsidRDefault="001D02E4" w:rsidP="001D02E4">
      <w:pPr>
        <w:contextualSpacing/>
        <w:jc w:val="both"/>
        <w:rPr>
          <w:lang w:val="fr-FR"/>
        </w:rPr>
      </w:pPr>
    </w:p>
    <w:p w:rsidR="001D02E4" w:rsidRPr="00862902" w:rsidRDefault="00B7084D" w:rsidP="001D02E4">
      <w:pPr>
        <w:ind w:hanging="11"/>
        <w:contextualSpacing/>
        <w:jc w:val="both"/>
        <w:rPr>
          <w:lang w:val="fr-FR"/>
        </w:rPr>
      </w:pPr>
      <w:r>
        <w:rPr>
          <w:lang w:val="fr-FR"/>
        </w:rPr>
        <w:t xml:space="preserve">La Conférence des Parties </w:t>
      </w:r>
      <w:r w:rsidR="001D02E4" w:rsidRPr="00862902">
        <w:rPr>
          <w:lang w:val="fr-FR"/>
        </w:rPr>
        <w:t>est invité</w:t>
      </w:r>
      <w:r>
        <w:rPr>
          <w:lang w:val="fr-FR"/>
        </w:rPr>
        <w:t>e</w:t>
      </w:r>
      <w:r w:rsidR="001D02E4" w:rsidRPr="00862902">
        <w:rPr>
          <w:lang w:val="fr-FR"/>
        </w:rPr>
        <w:t xml:space="preserve"> à :</w:t>
      </w:r>
    </w:p>
    <w:p w:rsidR="001D02E4" w:rsidRPr="00862902" w:rsidRDefault="001D02E4" w:rsidP="001D02E4">
      <w:pPr>
        <w:jc w:val="both"/>
        <w:rPr>
          <w:lang w:val="fr-FR"/>
        </w:rPr>
      </w:pPr>
    </w:p>
    <w:p w:rsidR="001D02E4" w:rsidRPr="001C1E65" w:rsidRDefault="00B7084D" w:rsidP="003F6443">
      <w:pPr>
        <w:ind w:firstLine="720"/>
        <w:rPr>
          <w:lang w:val="fr-FR"/>
        </w:rPr>
        <w:sectPr w:rsidR="001D02E4" w:rsidRPr="001C1E65" w:rsidSect="003F6443">
          <w:headerReference w:type="default" r:id="rId17"/>
          <w:headerReference w:type="first" r:id="rId18"/>
          <w:footerReference w:type="first" r:id="rId19"/>
          <w:endnotePr>
            <w:numFmt w:val="decimal"/>
          </w:endnotePr>
          <w:pgSz w:w="11905" w:h="16837" w:code="9"/>
          <w:pgMar w:top="1080" w:right="1418" w:bottom="1418" w:left="1418" w:header="510" w:footer="510" w:gutter="0"/>
          <w:cols w:space="720"/>
          <w:noEndnote/>
          <w:titlePg/>
        </w:sectPr>
      </w:pPr>
      <w:r>
        <w:rPr>
          <w:lang w:val="fr-FR"/>
        </w:rPr>
        <w:t>Examiner et adopter le projet de résolution annex</w:t>
      </w:r>
      <w:r w:rsidR="00972FEB">
        <w:rPr>
          <w:lang w:val="fr-FR"/>
        </w:rPr>
        <w:t>é</w:t>
      </w:r>
      <w:bookmarkStart w:id="0" w:name="_GoBack"/>
      <w:bookmarkEnd w:id="0"/>
      <w:r>
        <w:rPr>
          <w:lang w:val="fr-FR"/>
        </w:rPr>
        <w:t xml:space="preserve"> à la présente note</w:t>
      </w:r>
      <w:r w:rsidR="009C71CD">
        <w:rPr>
          <w:lang w:val="fr-FR"/>
        </w:rPr>
        <w:t>.</w:t>
      </w:r>
    </w:p>
    <w:p w:rsidR="001D02E4" w:rsidRPr="00231377" w:rsidRDefault="001D02E4" w:rsidP="001D02E4">
      <w:pPr>
        <w:jc w:val="right"/>
        <w:rPr>
          <w:b/>
          <w:bCs/>
          <w:lang w:val="fr-FR"/>
        </w:rPr>
      </w:pPr>
      <w:r w:rsidRPr="00231377">
        <w:rPr>
          <w:b/>
          <w:bCs/>
          <w:lang w:val="fr-FR"/>
        </w:rPr>
        <w:t>ANNEXE</w:t>
      </w:r>
    </w:p>
    <w:p w:rsidR="001D02E4" w:rsidRPr="00231377" w:rsidRDefault="001D02E4" w:rsidP="001D02E4">
      <w:pPr>
        <w:jc w:val="center"/>
        <w:rPr>
          <w:b/>
          <w:bCs/>
          <w:lang w:val="fr-FR"/>
        </w:rPr>
      </w:pPr>
    </w:p>
    <w:p w:rsidR="001D02E4" w:rsidRPr="00231377" w:rsidRDefault="001D02E4" w:rsidP="001D02E4">
      <w:pPr>
        <w:jc w:val="center"/>
        <w:rPr>
          <w:b/>
          <w:bCs/>
          <w:lang w:val="fr-FR"/>
        </w:rPr>
      </w:pPr>
      <w:r w:rsidRPr="00231377">
        <w:rPr>
          <w:b/>
          <w:bCs/>
          <w:lang w:val="fr-FR"/>
        </w:rPr>
        <w:t>PROJET DE RÉSOLUTION</w:t>
      </w:r>
    </w:p>
    <w:p w:rsidR="001D02E4" w:rsidRPr="00231377" w:rsidRDefault="001D02E4" w:rsidP="001D02E4">
      <w:pPr>
        <w:jc w:val="center"/>
        <w:rPr>
          <w:b/>
          <w:bCs/>
          <w:lang w:val="fr-FR"/>
        </w:rPr>
      </w:pPr>
    </w:p>
    <w:p w:rsidR="001D02E4" w:rsidRPr="00231377" w:rsidRDefault="001D02E4" w:rsidP="001D02E4">
      <w:pPr>
        <w:jc w:val="center"/>
        <w:rPr>
          <w:b/>
          <w:bCs/>
          <w:lang w:val="fr-FR"/>
        </w:rPr>
      </w:pPr>
      <w:r w:rsidRPr="00231377">
        <w:rPr>
          <w:b/>
          <w:bCs/>
          <w:lang w:val="fr-FR"/>
        </w:rPr>
        <w:t xml:space="preserve">TAXONOMIE ET NOMENCLATURE DES OISEAUX </w:t>
      </w:r>
    </w:p>
    <w:p w:rsidR="001D02E4" w:rsidRPr="00231377" w:rsidRDefault="001D02E4" w:rsidP="001D02E4">
      <w:pPr>
        <w:jc w:val="center"/>
        <w:rPr>
          <w:b/>
          <w:bCs/>
          <w:lang w:val="fr-FR"/>
        </w:rPr>
      </w:pPr>
      <w:r w:rsidRPr="00231377">
        <w:rPr>
          <w:b/>
          <w:bCs/>
          <w:lang w:val="fr-FR"/>
        </w:rPr>
        <w:t>FIGURANT AUX ANNEXES DE LA CMS</w:t>
      </w:r>
    </w:p>
    <w:p w:rsidR="001D02E4" w:rsidRPr="00502AA5" w:rsidRDefault="001D02E4" w:rsidP="001D02E4">
      <w:pPr>
        <w:jc w:val="center"/>
        <w:rPr>
          <w:b/>
          <w:bCs/>
          <w:lang w:val="fr-FR"/>
        </w:rPr>
      </w:pPr>
    </w:p>
    <w:p w:rsidR="001D02E4" w:rsidRPr="00502AA5" w:rsidRDefault="001D02E4" w:rsidP="001D02E4">
      <w:pPr>
        <w:jc w:val="both"/>
        <w:rPr>
          <w:i/>
          <w:color w:val="000000"/>
          <w:lang w:val="fr-FR"/>
        </w:rPr>
      </w:pPr>
    </w:p>
    <w:p w:rsidR="001D02E4" w:rsidRDefault="001D02E4" w:rsidP="001D02E4">
      <w:pPr>
        <w:ind w:firstLine="720"/>
        <w:jc w:val="both"/>
        <w:rPr>
          <w:lang w:val="fr-FR"/>
        </w:rPr>
      </w:pPr>
      <w:r w:rsidRPr="005A1149">
        <w:rPr>
          <w:i/>
          <w:lang w:val="fr-FR"/>
        </w:rPr>
        <w:t>Rappelant</w:t>
      </w:r>
      <w:r>
        <w:rPr>
          <w:lang w:val="fr-FR"/>
        </w:rPr>
        <w:t xml:space="preserve"> la r</w:t>
      </w:r>
      <w:r w:rsidRPr="00231377">
        <w:rPr>
          <w:lang w:val="fr-FR"/>
        </w:rPr>
        <w:t>ésolution 10.13</w:t>
      </w:r>
      <w:r>
        <w:rPr>
          <w:lang w:val="fr-FR"/>
        </w:rPr>
        <w:t xml:space="preserve"> </w:t>
      </w:r>
      <w:r w:rsidRPr="005A1149">
        <w:rPr>
          <w:lang w:val="fr-FR"/>
        </w:rPr>
        <w:t>«</w:t>
      </w:r>
      <w:r>
        <w:rPr>
          <w:lang w:val="fr-FR"/>
        </w:rPr>
        <w:t xml:space="preserve"> </w:t>
      </w:r>
      <w:r w:rsidRPr="005A1149">
        <w:rPr>
          <w:lang w:val="fr-FR"/>
        </w:rPr>
        <w:t>Nomenclature normalisée des oiseaux figurant aux annexes de la CMS »</w:t>
      </w:r>
      <w:r>
        <w:rPr>
          <w:lang w:val="fr-FR"/>
        </w:rPr>
        <w:t xml:space="preserve"> </w:t>
      </w:r>
      <w:r w:rsidRPr="00231377">
        <w:rPr>
          <w:lang w:val="fr-FR"/>
        </w:rPr>
        <w:t xml:space="preserve">qui demande au </w:t>
      </w:r>
      <w:r>
        <w:rPr>
          <w:lang w:val="fr-FR"/>
        </w:rPr>
        <w:t>P</w:t>
      </w:r>
      <w:r w:rsidRPr="00231377">
        <w:rPr>
          <w:lang w:val="fr-FR"/>
        </w:rPr>
        <w:t xml:space="preserve">résident du Conseil scientifique </w:t>
      </w:r>
      <w:r w:rsidRPr="005A1149">
        <w:rPr>
          <w:lang w:val="fr-FR"/>
        </w:rPr>
        <w:t xml:space="preserve">de se </w:t>
      </w:r>
      <w:r>
        <w:rPr>
          <w:lang w:val="fr-FR"/>
        </w:rPr>
        <w:t>mettre en rapport</w:t>
      </w:r>
      <w:r w:rsidRPr="005A1149">
        <w:rPr>
          <w:lang w:val="fr-FR"/>
        </w:rPr>
        <w:t xml:space="preserve"> avec les présidents des organes consultatifs scientifiques des conventions relatives à la biodiversité, les Secrétariats des AEM </w:t>
      </w:r>
      <w:r>
        <w:rPr>
          <w:lang w:val="fr-FR"/>
        </w:rPr>
        <w:t>concerné</w:t>
      </w:r>
      <w:r w:rsidRPr="005A1149">
        <w:rPr>
          <w:lang w:val="fr-FR"/>
        </w:rPr>
        <w:t xml:space="preserve">s et les organisations internationales pertinentes, </w:t>
      </w:r>
      <w:r>
        <w:rPr>
          <w:lang w:val="fr-FR"/>
        </w:rPr>
        <w:t>incluant</w:t>
      </w:r>
      <w:r w:rsidRPr="005A1149">
        <w:rPr>
          <w:lang w:val="fr-FR"/>
        </w:rPr>
        <w:t xml:space="preserve"> l’UICN, </w:t>
      </w:r>
      <w:proofErr w:type="spellStart"/>
      <w:r w:rsidRPr="005A1149">
        <w:rPr>
          <w:lang w:val="fr-FR"/>
        </w:rPr>
        <w:t>BirdLife</w:t>
      </w:r>
      <w:proofErr w:type="spellEnd"/>
      <w:r w:rsidRPr="005A1149">
        <w:rPr>
          <w:lang w:val="fr-FR"/>
        </w:rPr>
        <w:t xml:space="preserve"> International, </w:t>
      </w:r>
      <w:proofErr w:type="spellStart"/>
      <w:r w:rsidRPr="005A1149">
        <w:rPr>
          <w:lang w:val="fr-FR"/>
        </w:rPr>
        <w:t>Wetlands</w:t>
      </w:r>
      <w:proofErr w:type="spellEnd"/>
      <w:r w:rsidRPr="005A1149">
        <w:rPr>
          <w:lang w:val="fr-FR"/>
        </w:rPr>
        <w:t xml:space="preserve"> International et le PNUE-WCMC, dans le but d’évaluer la possibilité d’adopter une nomenclature et une taxonomie uniques pour les oiseaux, et d’informer le Conseil scientifique lors de sa </w:t>
      </w:r>
      <w:r w:rsidRPr="00D0752E">
        <w:rPr>
          <w:bCs/>
          <w:lang w:val="fr-FR"/>
        </w:rPr>
        <w:t>dix</w:t>
      </w:r>
      <w:r w:rsidRPr="00D0752E">
        <w:rPr>
          <w:lang w:val="fr-FR"/>
        </w:rPr>
        <w:t>-</w:t>
      </w:r>
      <w:r w:rsidRPr="00D0752E">
        <w:rPr>
          <w:bCs/>
          <w:lang w:val="fr-FR"/>
        </w:rPr>
        <w:t>huitième</w:t>
      </w:r>
      <w:r w:rsidRPr="00D0752E">
        <w:rPr>
          <w:b/>
          <w:bCs/>
          <w:lang w:val="fr-FR"/>
        </w:rPr>
        <w:t xml:space="preserve"> </w:t>
      </w:r>
      <w:r w:rsidRPr="005A1149">
        <w:rPr>
          <w:lang w:val="fr-FR"/>
        </w:rPr>
        <w:t>réunion en vue de l’adoption d’une résolution appropriée à la COP11</w:t>
      </w:r>
      <w:r w:rsidRPr="00231377">
        <w:rPr>
          <w:lang w:val="fr-FR"/>
        </w:rPr>
        <w:t>;</w:t>
      </w:r>
    </w:p>
    <w:p w:rsidR="001D02E4" w:rsidRPr="00C86BAA" w:rsidRDefault="001D02E4" w:rsidP="001D02E4">
      <w:pPr>
        <w:jc w:val="both"/>
        <w:rPr>
          <w:color w:val="000000"/>
          <w:lang w:val="fr-FR" w:eastAsia="en-GB"/>
        </w:rPr>
      </w:pPr>
    </w:p>
    <w:p w:rsidR="001D02E4" w:rsidRPr="00231377" w:rsidRDefault="001D02E4" w:rsidP="001D02E4">
      <w:pPr>
        <w:ind w:firstLine="720"/>
        <w:jc w:val="both"/>
        <w:rPr>
          <w:lang w:val="fr-FR"/>
        </w:rPr>
      </w:pPr>
      <w:r w:rsidRPr="005A1149">
        <w:rPr>
          <w:i/>
          <w:lang w:val="fr-FR"/>
        </w:rPr>
        <w:t>Prenant note</w:t>
      </w:r>
      <w:r w:rsidRPr="00231377">
        <w:rPr>
          <w:lang w:val="fr-FR"/>
        </w:rPr>
        <w:t xml:space="preserve"> du rapport de la réunion ad hoc sur l’harmonisation de la taxonomie des oiseaux qui a eu lieu à Formia (Italie)</w:t>
      </w:r>
      <w:r>
        <w:rPr>
          <w:lang w:val="fr-FR"/>
        </w:rPr>
        <w:t xml:space="preserve"> le 8 o</w:t>
      </w:r>
      <w:r w:rsidRPr="00231377">
        <w:rPr>
          <w:lang w:val="fr-FR"/>
        </w:rPr>
        <w:t>ctobre 2013 (</w:t>
      </w:r>
      <w:r>
        <w:rPr>
          <w:lang w:val="fr-FR"/>
        </w:rPr>
        <w:t>PNUE</w:t>
      </w:r>
      <w:r w:rsidRPr="00231377">
        <w:rPr>
          <w:lang w:val="fr-FR"/>
        </w:rPr>
        <w:t>/CMS/ScC18/Inf.</w:t>
      </w:r>
      <w:r>
        <w:rPr>
          <w:lang w:val="fr-FR"/>
        </w:rPr>
        <w:t>9.1</w:t>
      </w:r>
      <w:r w:rsidRPr="00231377">
        <w:rPr>
          <w:lang w:val="fr-FR"/>
        </w:rPr>
        <w:t>)</w:t>
      </w:r>
      <w:r>
        <w:rPr>
          <w:lang w:val="fr-FR"/>
        </w:rPr>
        <w:t>,</w:t>
      </w:r>
      <w:r w:rsidRPr="00231377">
        <w:rPr>
          <w:lang w:val="fr-FR"/>
        </w:rPr>
        <w:t xml:space="preserve"> et </w:t>
      </w:r>
      <w:r w:rsidRPr="00482B5A">
        <w:rPr>
          <w:i/>
          <w:lang w:val="fr-FR"/>
        </w:rPr>
        <w:t>remerciant</w:t>
      </w:r>
      <w:r>
        <w:rPr>
          <w:lang w:val="fr-FR"/>
        </w:rPr>
        <w:t xml:space="preserve"> </w:t>
      </w:r>
      <w:r w:rsidRPr="00231377">
        <w:rPr>
          <w:lang w:val="fr-FR"/>
        </w:rPr>
        <w:t xml:space="preserve">le </w:t>
      </w:r>
      <w:r>
        <w:rPr>
          <w:lang w:val="fr-FR"/>
        </w:rPr>
        <w:t>P</w:t>
      </w:r>
      <w:r w:rsidRPr="00231377">
        <w:rPr>
          <w:lang w:val="fr-FR"/>
        </w:rPr>
        <w:t>résident du Conseil scientifique pour la tenue de cette réunion</w:t>
      </w:r>
      <w:r>
        <w:rPr>
          <w:lang w:val="fr-FR"/>
        </w:rPr>
        <w:t>;</w:t>
      </w:r>
    </w:p>
    <w:p w:rsidR="001D02E4" w:rsidRPr="001C1E65" w:rsidRDefault="001D02E4" w:rsidP="001D02E4">
      <w:pPr>
        <w:ind w:firstLine="720"/>
        <w:jc w:val="both"/>
        <w:rPr>
          <w:color w:val="000000"/>
          <w:lang w:val="fr-FR" w:eastAsia="en-GB"/>
        </w:rPr>
      </w:pPr>
    </w:p>
    <w:p w:rsidR="001D02E4" w:rsidRPr="00231377" w:rsidRDefault="001D02E4" w:rsidP="001D02E4">
      <w:pPr>
        <w:ind w:firstLine="720"/>
        <w:jc w:val="both"/>
        <w:rPr>
          <w:lang w:val="fr-FR"/>
        </w:rPr>
      </w:pPr>
      <w:r w:rsidRPr="005A1149">
        <w:rPr>
          <w:i/>
          <w:lang w:val="fr-FR"/>
        </w:rPr>
        <w:t>Prenant également note</w:t>
      </w:r>
      <w:r w:rsidRPr="00231377">
        <w:rPr>
          <w:lang w:val="fr-FR"/>
        </w:rPr>
        <w:t xml:space="preserve"> du rapport du Comité pour les animaux de la CITES qui </w:t>
      </w:r>
      <w:r>
        <w:rPr>
          <w:lang w:val="fr-FR"/>
        </w:rPr>
        <w:t>s’est réuni</w:t>
      </w:r>
      <w:r w:rsidRPr="00231377">
        <w:rPr>
          <w:lang w:val="fr-FR"/>
        </w:rPr>
        <w:t xml:space="preserve"> à Veracruz (Mexique)</w:t>
      </w:r>
      <w:r>
        <w:rPr>
          <w:lang w:val="fr-FR"/>
        </w:rPr>
        <w:t xml:space="preserve"> du 28 a</w:t>
      </w:r>
      <w:r w:rsidRPr="00231377">
        <w:rPr>
          <w:lang w:val="fr-FR"/>
        </w:rPr>
        <w:t>vril</w:t>
      </w:r>
      <w:r>
        <w:rPr>
          <w:lang w:val="fr-FR"/>
        </w:rPr>
        <w:t xml:space="preserve"> au</w:t>
      </w:r>
      <w:r w:rsidRPr="00231377">
        <w:rPr>
          <w:lang w:val="fr-FR"/>
        </w:rPr>
        <w:t xml:space="preserve"> 3 </w:t>
      </w:r>
      <w:r>
        <w:rPr>
          <w:lang w:val="fr-FR"/>
        </w:rPr>
        <w:t>mai</w:t>
      </w:r>
      <w:r w:rsidRPr="00231377">
        <w:rPr>
          <w:lang w:val="fr-FR"/>
        </w:rPr>
        <w:t xml:space="preserve"> 2014</w:t>
      </w:r>
      <w:r>
        <w:rPr>
          <w:lang w:val="fr-FR"/>
        </w:rPr>
        <w:t>;</w:t>
      </w:r>
    </w:p>
    <w:p w:rsidR="001D02E4" w:rsidRPr="001C1E65" w:rsidRDefault="001D02E4" w:rsidP="001D02E4">
      <w:pPr>
        <w:ind w:firstLine="720"/>
        <w:jc w:val="both"/>
        <w:rPr>
          <w:color w:val="000000"/>
          <w:lang w:val="fr-FR" w:eastAsia="en-GB"/>
        </w:rPr>
      </w:pPr>
    </w:p>
    <w:p w:rsidR="001D02E4" w:rsidRPr="00231377" w:rsidRDefault="001D02E4" w:rsidP="001D02E4">
      <w:pPr>
        <w:ind w:firstLine="720"/>
        <w:jc w:val="both"/>
        <w:rPr>
          <w:lang w:val="fr-FR"/>
        </w:rPr>
      </w:pPr>
      <w:r w:rsidRPr="005A1149">
        <w:rPr>
          <w:i/>
          <w:lang w:val="fr-FR"/>
        </w:rPr>
        <w:t>Notant</w:t>
      </w:r>
      <w:r w:rsidRPr="00231377">
        <w:rPr>
          <w:lang w:val="fr-FR"/>
        </w:rPr>
        <w:t xml:space="preserve"> qu’en ce qui concerne les albatros et les pétrels, la COP10 a adopté la taxonomie utilisée par l’ACAP comme référence de nomenclature normalisée de la Convention, et que </w:t>
      </w:r>
      <w:r>
        <w:rPr>
          <w:lang w:val="fr-FR"/>
        </w:rPr>
        <w:t>l’ACAP</w:t>
      </w:r>
      <w:r w:rsidRPr="00231377">
        <w:rPr>
          <w:lang w:val="fr-FR"/>
        </w:rPr>
        <w:t xml:space="preserve"> tient compte des plus récentes informations taxonomiques sur les e</w:t>
      </w:r>
      <w:r w:rsidR="003F6443">
        <w:rPr>
          <w:lang w:val="fr-FR"/>
        </w:rPr>
        <w:t>spèces d’albatros et de pétrels</w:t>
      </w:r>
      <w:r w:rsidRPr="00231377">
        <w:rPr>
          <w:lang w:val="fr-FR"/>
        </w:rPr>
        <w:t>;</w:t>
      </w:r>
    </w:p>
    <w:p w:rsidR="001D02E4" w:rsidRPr="001C1E65" w:rsidRDefault="001D02E4" w:rsidP="001D02E4">
      <w:pPr>
        <w:ind w:firstLine="720"/>
        <w:jc w:val="both"/>
        <w:rPr>
          <w:rFonts w:ascii="Calibri" w:hAnsi="Calibri" w:cs="Calibri"/>
          <w:color w:val="000000"/>
          <w:sz w:val="23"/>
          <w:szCs w:val="23"/>
          <w:lang w:val="fr-FR" w:eastAsia="en-GB"/>
        </w:rPr>
      </w:pPr>
    </w:p>
    <w:p w:rsidR="001D02E4" w:rsidRPr="00231377" w:rsidRDefault="001D02E4" w:rsidP="001D02E4">
      <w:pPr>
        <w:ind w:firstLine="720"/>
        <w:jc w:val="both"/>
        <w:rPr>
          <w:lang w:val="fr-FR"/>
        </w:rPr>
      </w:pPr>
      <w:r w:rsidRPr="005A1149">
        <w:rPr>
          <w:i/>
          <w:lang w:val="fr-FR"/>
        </w:rPr>
        <w:t>Consciente</w:t>
      </w:r>
      <w:r w:rsidRPr="00231377">
        <w:rPr>
          <w:lang w:val="fr-FR"/>
        </w:rPr>
        <w:t xml:space="preserve"> que les efforts internationaux </w:t>
      </w:r>
      <w:r>
        <w:rPr>
          <w:lang w:val="fr-FR"/>
        </w:rPr>
        <w:t>pour</w:t>
      </w:r>
      <w:r w:rsidRPr="00231377">
        <w:rPr>
          <w:lang w:val="fr-FR"/>
        </w:rPr>
        <w:t xml:space="preserve"> prendre des mesures cohérentes </w:t>
      </w:r>
      <w:r>
        <w:rPr>
          <w:lang w:val="fr-FR"/>
        </w:rPr>
        <w:t>afin de</w:t>
      </w:r>
      <w:r w:rsidRPr="00231377">
        <w:rPr>
          <w:lang w:val="fr-FR"/>
        </w:rPr>
        <w:t xml:space="preserve"> conserver et utiliser durablement la diversité biologique au niveau de</w:t>
      </w:r>
      <w:r>
        <w:rPr>
          <w:lang w:val="fr-FR"/>
        </w:rPr>
        <w:t>s</w:t>
      </w:r>
      <w:r w:rsidRPr="00231377">
        <w:rPr>
          <w:lang w:val="fr-FR"/>
        </w:rPr>
        <w:t xml:space="preserve"> </w:t>
      </w:r>
      <w:r>
        <w:rPr>
          <w:lang w:val="fr-FR"/>
        </w:rPr>
        <w:t>espèces</w:t>
      </w:r>
      <w:r w:rsidRPr="00231377">
        <w:rPr>
          <w:lang w:val="fr-FR"/>
        </w:rPr>
        <w:t xml:space="preserve"> peuvent être </w:t>
      </w:r>
      <w:r>
        <w:rPr>
          <w:lang w:val="fr-FR"/>
        </w:rPr>
        <w:t xml:space="preserve">considérablement </w:t>
      </w:r>
      <w:r w:rsidRPr="00231377">
        <w:rPr>
          <w:lang w:val="fr-FR"/>
        </w:rPr>
        <w:t xml:space="preserve">entravés s’il n’y a pas </w:t>
      </w:r>
      <w:r>
        <w:rPr>
          <w:lang w:val="fr-FR"/>
        </w:rPr>
        <w:t>de</w:t>
      </w:r>
      <w:r w:rsidRPr="00231377">
        <w:rPr>
          <w:lang w:val="fr-FR"/>
        </w:rPr>
        <w:t xml:space="preserve"> compréhension commune </w:t>
      </w:r>
      <w:r>
        <w:rPr>
          <w:lang w:val="fr-FR"/>
        </w:rPr>
        <w:t>au sujet d</w:t>
      </w:r>
      <w:r w:rsidRPr="00231377">
        <w:rPr>
          <w:lang w:val="fr-FR"/>
        </w:rPr>
        <w:t xml:space="preserve">es animaux ou </w:t>
      </w:r>
      <w:r>
        <w:rPr>
          <w:lang w:val="fr-FR"/>
        </w:rPr>
        <w:t>d</w:t>
      </w:r>
      <w:r w:rsidRPr="00231377">
        <w:rPr>
          <w:lang w:val="fr-FR"/>
        </w:rPr>
        <w:t xml:space="preserve">es plantes </w:t>
      </w:r>
      <w:r>
        <w:rPr>
          <w:lang w:val="fr-FR"/>
        </w:rPr>
        <w:t>correspondant à</w:t>
      </w:r>
      <w:r w:rsidRPr="00231377">
        <w:rPr>
          <w:lang w:val="fr-FR"/>
        </w:rPr>
        <w:t xml:space="preserve"> </w:t>
      </w:r>
      <w:r>
        <w:rPr>
          <w:lang w:val="fr-FR"/>
        </w:rPr>
        <w:t>chaque</w:t>
      </w:r>
      <w:r w:rsidRPr="00231377">
        <w:rPr>
          <w:lang w:val="fr-FR"/>
        </w:rPr>
        <w:t xml:space="preserve"> nom d’espèce</w:t>
      </w:r>
      <w:r>
        <w:rPr>
          <w:lang w:val="fr-FR"/>
        </w:rPr>
        <w:t>,</w:t>
      </w:r>
      <w:r w:rsidRPr="00231377">
        <w:rPr>
          <w:lang w:val="fr-FR"/>
        </w:rPr>
        <w:t xml:space="preserve"> et que ce manque de compréhension peut </w:t>
      </w:r>
      <w:r>
        <w:rPr>
          <w:lang w:val="fr-FR"/>
        </w:rPr>
        <w:t>poser des problèmes</w:t>
      </w:r>
      <w:r w:rsidRPr="00231377">
        <w:rPr>
          <w:lang w:val="fr-FR"/>
        </w:rPr>
        <w:t xml:space="preserve"> particuliers pour des activités telles que la mise en œuvre des conventions </w:t>
      </w:r>
      <w:r>
        <w:rPr>
          <w:lang w:val="fr-FR"/>
        </w:rPr>
        <w:t xml:space="preserve">ayant </w:t>
      </w:r>
      <w:r w:rsidRPr="00231377">
        <w:rPr>
          <w:lang w:val="fr-FR"/>
        </w:rPr>
        <w:t>potentiellem</w:t>
      </w:r>
      <w:r w:rsidR="003F6443">
        <w:rPr>
          <w:lang w:val="fr-FR"/>
        </w:rPr>
        <w:t>ent des implications juridiques</w:t>
      </w:r>
      <w:r w:rsidRPr="00231377">
        <w:rPr>
          <w:lang w:val="fr-FR"/>
        </w:rPr>
        <w:t>;</w:t>
      </w:r>
    </w:p>
    <w:p w:rsidR="001D02E4" w:rsidRPr="001C1E65" w:rsidRDefault="001D02E4" w:rsidP="001D02E4">
      <w:pPr>
        <w:ind w:firstLine="720"/>
        <w:jc w:val="both"/>
        <w:rPr>
          <w:lang w:val="fr-FR"/>
        </w:rPr>
      </w:pPr>
    </w:p>
    <w:p w:rsidR="001D02E4" w:rsidRPr="00231377" w:rsidRDefault="001D02E4" w:rsidP="001D02E4">
      <w:pPr>
        <w:ind w:firstLine="720"/>
        <w:jc w:val="both"/>
        <w:rPr>
          <w:lang w:val="fr-FR"/>
        </w:rPr>
      </w:pPr>
      <w:r w:rsidRPr="005F5D26">
        <w:rPr>
          <w:i/>
          <w:lang w:val="fr-FR"/>
        </w:rPr>
        <w:t>Sachant en outre</w:t>
      </w:r>
      <w:r w:rsidRPr="00231377">
        <w:rPr>
          <w:lang w:val="fr-FR"/>
        </w:rPr>
        <w:t xml:space="preserve"> que l’harmonisation </w:t>
      </w:r>
      <w:r>
        <w:rPr>
          <w:lang w:val="fr-FR"/>
        </w:rPr>
        <w:t xml:space="preserve">de la </w:t>
      </w:r>
      <w:r w:rsidRPr="00231377">
        <w:rPr>
          <w:lang w:val="fr-FR"/>
        </w:rPr>
        <w:t xml:space="preserve">taxonomie et </w:t>
      </w:r>
      <w:r>
        <w:rPr>
          <w:lang w:val="fr-FR"/>
        </w:rPr>
        <w:t xml:space="preserve">de la </w:t>
      </w:r>
      <w:r w:rsidRPr="00231377">
        <w:rPr>
          <w:lang w:val="fr-FR"/>
        </w:rPr>
        <w:t xml:space="preserve">nomenclature des oiseaux entre les AEM et </w:t>
      </w:r>
      <w:r>
        <w:rPr>
          <w:lang w:val="fr-FR"/>
        </w:rPr>
        <w:t xml:space="preserve">les </w:t>
      </w:r>
      <w:r w:rsidRPr="00231377">
        <w:rPr>
          <w:lang w:val="fr-FR"/>
        </w:rPr>
        <w:t xml:space="preserve">autres partenaires, tels que </w:t>
      </w:r>
      <w:r>
        <w:rPr>
          <w:lang w:val="fr-FR"/>
        </w:rPr>
        <w:t xml:space="preserve">la </w:t>
      </w:r>
      <w:r w:rsidRPr="00231377">
        <w:rPr>
          <w:lang w:val="fr-FR"/>
        </w:rPr>
        <w:t xml:space="preserve">CMS, </w:t>
      </w:r>
      <w:r>
        <w:rPr>
          <w:lang w:val="fr-FR"/>
        </w:rPr>
        <w:t xml:space="preserve">la </w:t>
      </w:r>
      <w:r w:rsidRPr="00231377">
        <w:rPr>
          <w:lang w:val="fr-FR"/>
        </w:rPr>
        <w:t xml:space="preserve">CITES, </w:t>
      </w:r>
      <w:proofErr w:type="spellStart"/>
      <w:r w:rsidRPr="00231377">
        <w:rPr>
          <w:lang w:val="fr-FR"/>
        </w:rPr>
        <w:t>Ramsar</w:t>
      </w:r>
      <w:proofErr w:type="spellEnd"/>
      <w:r w:rsidRPr="00231377">
        <w:rPr>
          <w:lang w:val="fr-FR"/>
        </w:rPr>
        <w:t xml:space="preserve">, </w:t>
      </w:r>
      <w:r>
        <w:rPr>
          <w:lang w:val="fr-FR"/>
        </w:rPr>
        <w:t>l’</w:t>
      </w:r>
      <w:r w:rsidRPr="00231377">
        <w:rPr>
          <w:lang w:val="fr-FR"/>
        </w:rPr>
        <w:t xml:space="preserve">UICN, </w:t>
      </w:r>
      <w:proofErr w:type="spellStart"/>
      <w:r w:rsidRPr="00231377">
        <w:rPr>
          <w:lang w:val="fr-FR"/>
        </w:rPr>
        <w:t>BirdLife</w:t>
      </w:r>
      <w:proofErr w:type="spellEnd"/>
      <w:r w:rsidRPr="00231377">
        <w:rPr>
          <w:lang w:val="fr-FR"/>
        </w:rPr>
        <w:t xml:space="preserve"> International, </w:t>
      </w:r>
      <w:proofErr w:type="spellStart"/>
      <w:r w:rsidRPr="00231377">
        <w:rPr>
          <w:lang w:val="fr-FR"/>
        </w:rPr>
        <w:t>Wetlands</w:t>
      </w:r>
      <w:proofErr w:type="spellEnd"/>
      <w:r w:rsidRPr="00231377">
        <w:rPr>
          <w:lang w:val="fr-FR"/>
        </w:rPr>
        <w:t xml:space="preserve"> International et le PNUE-WCMC, peut améliorer les synergies </w:t>
      </w:r>
      <w:r>
        <w:rPr>
          <w:lang w:val="fr-FR"/>
        </w:rPr>
        <w:t>au bénéfice de la</w:t>
      </w:r>
      <w:r w:rsidRPr="00231377">
        <w:rPr>
          <w:lang w:val="fr-FR"/>
        </w:rPr>
        <w:t xml:space="preserve"> conservation des espèces migratrices et </w:t>
      </w:r>
      <w:r>
        <w:rPr>
          <w:lang w:val="fr-FR"/>
        </w:rPr>
        <w:t xml:space="preserve">d’une </w:t>
      </w:r>
      <w:r w:rsidRPr="00231377">
        <w:rPr>
          <w:lang w:val="fr-FR"/>
        </w:rPr>
        <w:t xml:space="preserve">meilleure mise </w:t>
      </w:r>
      <w:r>
        <w:rPr>
          <w:lang w:val="fr-FR"/>
        </w:rPr>
        <w:t>en œuvre des instruments de la F</w:t>
      </w:r>
      <w:r w:rsidR="003F6443">
        <w:rPr>
          <w:lang w:val="fr-FR"/>
        </w:rPr>
        <w:t>amille CMS</w:t>
      </w:r>
      <w:r w:rsidRPr="00231377">
        <w:rPr>
          <w:lang w:val="fr-FR"/>
        </w:rPr>
        <w:t>;</w:t>
      </w:r>
    </w:p>
    <w:p w:rsidR="001D02E4" w:rsidRPr="001C1E65" w:rsidRDefault="001D02E4" w:rsidP="001D02E4">
      <w:pPr>
        <w:ind w:firstLine="720"/>
        <w:jc w:val="both"/>
        <w:rPr>
          <w:lang w:val="fr-FR"/>
        </w:rPr>
      </w:pPr>
    </w:p>
    <w:p w:rsidR="001D02E4" w:rsidRPr="00231377" w:rsidRDefault="001D02E4" w:rsidP="001D02E4">
      <w:pPr>
        <w:ind w:firstLine="720"/>
        <w:jc w:val="both"/>
        <w:rPr>
          <w:lang w:val="fr-FR"/>
        </w:rPr>
      </w:pPr>
      <w:r w:rsidRPr="005F5D26">
        <w:rPr>
          <w:i/>
          <w:lang w:val="fr-FR"/>
        </w:rPr>
        <w:t>Reconnaissant</w:t>
      </w:r>
      <w:r w:rsidRPr="00231377">
        <w:rPr>
          <w:lang w:val="fr-FR"/>
        </w:rPr>
        <w:t xml:space="preserve"> que les présidents des organes consultatifs scientifiques des conventions relatives à la biodiversité (CSAB</w:t>
      </w:r>
      <w:r>
        <w:rPr>
          <w:lang w:val="fr-FR"/>
        </w:rPr>
        <w:t xml:space="preserve"> - </w:t>
      </w:r>
      <w:r w:rsidRPr="005F5D26">
        <w:rPr>
          <w:lang w:val="fr-FR"/>
        </w:rPr>
        <w:t xml:space="preserve">Chairs of the </w:t>
      </w:r>
      <w:proofErr w:type="spellStart"/>
      <w:r w:rsidRPr="005F5D26">
        <w:rPr>
          <w:lang w:val="fr-FR"/>
        </w:rPr>
        <w:t>Scientific</w:t>
      </w:r>
      <w:proofErr w:type="spellEnd"/>
      <w:r w:rsidRPr="005F5D26">
        <w:rPr>
          <w:lang w:val="fr-FR"/>
        </w:rPr>
        <w:t xml:space="preserve"> </w:t>
      </w:r>
      <w:proofErr w:type="spellStart"/>
      <w:r w:rsidRPr="005F5D26">
        <w:rPr>
          <w:lang w:val="fr-FR"/>
        </w:rPr>
        <w:t>Advisory</w:t>
      </w:r>
      <w:proofErr w:type="spellEnd"/>
      <w:r w:rsidRPr="005F5D26">
        <w:rPr>
          <w:lang w:val="fr-FR"/>
        </w:rPr>
        <w:t xml:space="preserve"> Bodies of the </w:t>
      </w:r>
      <w:proofErr w:type="spellStart"/>
      <w:r w:rsidRPr="005F5D26">
        <w:rPr>
          <w:lang w:val="fr-FR"/>
        </w:rPr>
        <w:t>Biodiversity-related</w:t>
      </w:r>
      <w:proofErr w:type="spellEnd"/>
      <w:r w:rsidRPr="005F5D26">
        <w:rPr>
          <w:lang w:val="fr-FR"/>
        </w:rPr>
        <w:t xml:space="preserve"> Conventions</w:t>
      </w:r>
      <w:r w:rsidRPr="00231377">
        <w:rPr>
          <w:lang w:val="fr-FR"/>
        </w:rPr>
        <w:t xml:space="preserve">) ont à plusieurs reprises exprimé leur soutien à l’idée </w:t>
      </w:r>
      <w:r>
        <w:rPr>
          <w:lang w:val="fr-FR"/>
        </w:rPr>
        <w:t>de progresser</w:t>
      </w:r>
      <w:r w:rsidRPr="00231377">
        <w:rPr>
          <w:lang w:val="fr-FR"/>
        </w:rPr>
        <w:t xml:space="preserve"> vers une harmonisation de la nomenclature et de la taxonomie </w:t>
      </w:r>
      <w:r>
        <w:rPr>
          <w:lang w:val="fr-FR"/>
        </w:rPr>
        <w:t xml:space="preserve">utilisées </w:t>
      </w:r>
      <w:r w:rsidRPr="00231377">
        <w:rPr>
          <w:lang w:val="fr-FR"/>
        </w:rPr>
        <w:t xml:space="preserve">dans les listes d’espèces, et </w:t>
      </w:r>
      <w:r>
        <w:rPr>
          <w:lang w:val="fr-FR"/>
        </w:rPr>
        <w:t>ont</w:t>
      </w:r>
      <w:r w:rsidRPr="00231377">
        <w:rPr>
          <w:lang w:val="fr-FR"/>
        </w:rPr>
        <w:t xml:space="preserve"> demandé une coopération renforcée entre les AEM vers ce</w:t>
      </w:r>
      <w:r>
        <w:rPr>
          <w:lang w:val="fr-FR"/>
        </w:rPr>
        <w:t>t</w:t>
      </w:r>
      <w:r w:rsidR="003F6443">
        <w:rPr>
          <w:lang w:val="fr-FR"/>
        </w:rPr>
        <w:t xml:space="preserve"> objectif</w:t>
      </w:r>
      <w:r w:rsidRPr="00231377">
        <w:rPr>
          <w:lang w:val="fr-FR"/>
        </w:rPr>
        <w:t>;</w:t>
      </w:r>
    </w:p>
    <w:p w:rsidR="001D02E4" w:rsidRDefault="001D02E4" w:rsidP="001D02E4">
      <w:pPr>
        <w:ind w:firstLine="720"/>
        <w:jc w:val="both"/>
        <w:rPr>
          <w:i/>
          <w:lang w:val="fr-FR"/>
        </w:rPr>
      </w:pPr>
    </w:p>
    <w:p w:rsidR="001D02E4" w:rsidRPr="001C1E65" w:rsidRDefault="007C50D4" w:rsidP="001D02E4">
      <w:pPr>
        <w:ind w:firstLine="720"/>
        <w:jc w:val="both"/>
        <w:rPr>
          <w:i/>
          <w:lang w:val="fr-FR"/>
        </w:rPr>
      </w:pPr>
      <w:r>
        <w:rPr>
          <w:i/>
          <w:lang w:val="fr-FR"/>
        </w:rPr>
        <w:t xml:space="preserve">Soulignant </w:t>
      </w:r>
      <w:r w:rsidRPr="003F6443">
        <w:rPr>
          <w:lang w:val="fr-FR"/>
        </w:rPr>
        <w:t>que la stabilité au fil du temps de la taxonomie et de la nomenclature des espèces listées sous CMS est essentielle</w:t>
      </w:r>
      <w:r w:rsidR="00EA2293" w:rsidRPr="003F6443">
        <w:rPr>
          <w:lang w:val="fr-FR"/>
        </w:rPr>
        <w:t xml:space="preserve"> pour assurer une sécurité juridique au niveau de la mise en œuvre </w:t>
      </w:r>
      <w:r w:rsidR="003F6443">
        <w:rPr>
          <w:lang w:val="fr-FR"/>
        </w:rPr>
        <w:t>de la Convention;</w:t>
      </w:r>
    </w:p>
    <w:p w:rsidR="001D02E4" w:rsidRPr="00231377" w:rsidRDefault="001D02E4" w:rsidP="001D02E4">
      <w:pPr>
        <w:ind w:firstLine="720"/>
        <w:jc w:val="both"/>
        <w:rPr>
          <w:lang w:val="fr-FR"/>
        </w:rPr>
      </w:pPr>
      <w:r w:rsidRPr="005F5D26">
        <w:rPr>
          <w:i/>
          <w:lang w:val="fr-FR"/>
        </w:rPr>
        <w:t>Reconnaissant</w:t>
      </w:r>
      <w:r w:rsidRPr="00231377">
        <w:rPr>
          <w:lang w:val="fr-FR"/>
        </w:rPr>
        <w:t xml:space="preserve"> que l’adoption d’une nouvelle référence pour les oiseaux peut impliquer </w:t>
      </w:r>
      <w:r>
        <w:rPr>
          <w:lang w:val="fr-FR"/>
        </w:rPr>
        <w:t xml:space="preserve">des </w:t>
      </w:r>
      <w:r w:rsidRPr="00231377">
        <w:rPr>
          <w:lang w:val="fr-FR"/>
        </w:rPr>
        <w:t xml:space="preserve">cas de synonymie, </w:t>
      </w:r>
      <w:r>
        <w:rPr>
          <w:lang w:val="fr-FR"/>
        </w:rPr>
        <w:t>de regroupement (fusion) et/</w:t>
      </w:r>
      <w:r w:rsidRPr="00231377">
        <w:rPr>
          <w:lang w:val="fr-FR"/>
        </w:rPr>
        <w:t xml:space="preserve">ou de </w:t>
      </w:r>
      <w:r>
        <w:rPr>
          <w:lang w:val="fr-FR"/>
        </w:rPr>
        <w:t>division</w:t>
      </w:r>
      <w:r w:rsidRPr="00231377">
        <w:rPr>
          <w:lang w:val="fr-FR"/>
        </w:rPr>
        <w:t xml:space="preserve"> d</w:t>
      </w:r>
      <w:r>
        <w:rPr>
          <w:lang w:val="fr-FR"/>
        </w:rPr>
        <w:t>’</w:t>
      </w:r>
      <w:r w:rsidRPr="00231377">
        <w:rPr>
          <w:lang w:val="fr-FR"/>
        </w:rPr>
        <w:t xml:space="preserve">espèces, et que </w:t>
      </w:r>
      <w:r w:rsidRPr="00231377">
        <w:rPr>
          <w:lang w:val="fr-FR"/>
        </w:rPr>
        <w:lastRenderedPageBreak/>
        <w:t xml:space="preserve">la CMS a </w:t>
      </w:r>
      <w:r>
        <w:rPr>
          <w:lang w:val="fr-FR"/>
        </w:rPr>
        <w:t>convenu de</w:t>
      </w:r>
      <w:r w:rsidRPr="00231377">
        <w:rPr>
          <w:lang w:val="fr-FR"/>
        </w:rPr>
        <w:t xml:space="preserve"> règles sur la façon d’agir dans de tels cas et </w:t>
      </w:r>
      <w:r>
        <w:rPr>
          <w:lang w:val="fr-FR"/>
        </w:rPr>
        <w:t>de leurs implications</w:t>
      </w:r>
      <w:r w:rsidRPr="00231377">
        <w:rPr>
          <w:lang w:val="fr-FR"/>
        </w:rPr>
        <w:t xml:space="preserve"> </w:t>
      </w:r>
      <w:r>
        <w:rPr>
          <w:lang w:val="fr-FR"/>
        </w:rPr>
        <w:t>pour</w:t>
      </w:r>
      <w:r w:rsidRPr="00231377">
        <w:rPr>
          <w:lang w:val="fr-FR"/>
        </w:rPr>
        <w:t xml:space="preserve"> les annexes</w:t>
      </w:r>
      <w:r>
        <w:rPr>
          <w:lang w:val="fr-FR"/>
        </w:rPr>
        <w:t>;</w:t>
      </w:r>
      <w:r w:rsidR="003F6443">
        <w:rPr>
          <w:lang w:val="fr-FR"/>
        </w:rPr>
        <w:t xml:space="preserve"> et </w:t>
      </w:r>
    </w:p>
    <w:p w:rsidR="001D02E4" w:rsidRPr="001C1E65" w:rsidRDefault="001D02E4" w:rsidP="001D02E4">
      <w:pPr>
        <w:ind w:firstLine="720"/>
        <w:jc w:val="both"/>
        <w:rPr>
          <w:sz w:val="16"/>
          <w:lang w:val="fr-FR"/>
        </w:rPr>
      </w:pPr>
    </w:p>
    <w:p w:rsidR="001D02E4" w:rsidRPr="00231377" w:rsidRDefault="001D02E4" w:rsidP="001D02E4">
      <w:pPr>
        <w:ind w:firstLine="720"/>
        <w:jc w:val="both"/>
        <w:rPr>
          <w:lang w:val="fr-FR"/>
        </w:rPr>
      </w:pPr>
      <w:r w:rsidRPr="0082659C">
        <w:rPr>
          <w:i/>
          <w:lang w:val="fr-FR"/>
        </w:rPr>
        <w:t>Notant</w:t>
      </w:r>
      <w:r w:rsidRPr="00231377">
        <w:rPr>
          <w:lang w:val="fr-FR"/>
        </w:rPr>
        <w:t xml:space="preserve"> la recommandation </w:t>
      </w:r>
      <w:r>
        <w:rPr>
          <w:lang w:val="fr-FR"/>
        </w:rPr>
        <w:t>formulée</w:t>
      </w:r>
      <w:r w:rsidRPr="00231377">
        <w:rPr>
          <w:lang w:val="fr-FR"/>
        </w:rPr>
        <w:t xml:space="preserve"> par le Conseil scientifique de la CMS lors de sa </w:t>
      </w:r>
      <w:r w:rsidRPr="00D0752E">
        <w:rPr>
          <w:bCs/>
          <w:lang w:val="fr-FR"/>
        </w:rPr>
        <w:t>dix</w:t>
      </w:r>
      <w:r w:rsidRPr="00D0752E">
        <w:rPr>
          <w:lang w:val="fr-FR"/>
        </w:rPr>
        <w:t>-</w:t>
      </w:r>
      <w:r w:rsidRPr="00D0752E">
        <w:rPr>
          <w:bCs/>
          <w:lang w:val="fr-FR"/>
        </w:rPr>
        <w:t>huitième</w:t>
      </w:r>
      <w:r w:rsidRPr="00D0752E">
        <w:rPr>
          <w:b/>
          <w:bCs/>
          <w:lang w:val="fr-FR"/>
        </w:rPr>
        <w:t xml:space="preserve"> </w:t>
      </w:r>
      <w:r w:rsidRPr="00231377">
        <w:rPr>
          <w:lang w:val="fr-FR"/>
        </w:rPr>
        <w:t>réunion (Bonn,</w:t>
      </w:r>
      <w:r>
        <w:rPr>
          <w:lang w:val="fr-FR"/>
        </w:rPr>
        <w:t xml:space="preserve"> 1-3 j</w:t>
      </w:r>
      <w:r w:rsidRPr="00231377">
        <w:rPr>
          <w:lang w:val="fr-FR"/>
        </w:rPr>
        <w:t xml:space="preserve">uillet 2014), sur une référence </w:t>
      </w:r>
      <w:r>
        <w:rPr>
          <w:lang w:val="fr-FR"/>
        </w:rPr>
        <w:t>de nomenclature normali</w:t>
      </w:r>
      <w:r w:rsidRPr="00C65C39">
        <w:rPr>
          <w:lang w:val="fr-FR"/>
        </w:rPr>
        <w:t xml:space="preserve">sée </w:t>
      </w:r>
      <w:r w:rsidRPr="00231377">
        <w:rPr>
          <w:lang w:val="fr-FR"/>
        </w:rPr>
        <w:t>pour les oiseaux ;</w:t>
      </w:r>
    </w:p>
    <w:p w:rsidR="001D02E4" w:rsidRDefault="001D02E4" w:rsidP="001D02E4">
      <w:pPr>
        <w:ind w:firstLine="720"/>
        <w:jc w:val="both"/>
        <w:rPr>
          <w:spacing w:val="-4"/>
          <w:lang w:val="fr-FR"/>
        </w:rPr>
      </w:pPr>
    </w:p>
    <w:p w:rsidR="001D02E4" w:rsidRPr="001C1E65" w:rsidRDefault="001D02E4" w:rsidP="001D02E4">
      <w:pPr>
        <w:ind w:firstLine="720"/>
        <w:jc w:val="both"/>
        <w:rPr>
          <w:spacing w:val="-4"/>
          <w:lang w:val="fr-FR"/>
        </w:rPr>
      </w:pPr>
    </w:p>
    <w:p w:rsidR="001D02E4" w:rsidRPr="00502AA5" w:rsidRDefault="001D02E4" w:rsidP="001D02E4">
      <w:pPr>
        <w:ind w:firstLine="720"/>
        <w:jc w:val="center"/>
        <w:rPr>
          <w:i/>
          <w:lang w:val="fr-FR"/>
        </w:rPr>
      </w:pPr>
      <w:r w:rsidRPr="00502AA5">
        <w:rPr>
          <w:i/>
          <w:lang w:val="fr-FR"/>
        </w:rPr>
        <w:t>La Conférence des Parties à la</w:t>
      </w:r>
      <w:r>
        <w:rPr>
          <w:i/>
          <w:lang w:val="fr-FR"/>
        </w:rPr>
        <w:t xml:space="preserve"> Convention sur la conservation des espèces migratrices appartenant à la faune sauvage </w:t>
      </w:r>
    </w:p>
    <w:p w:rsidR="001D02E4" w:rsidRPr="00502AA5" w:rsidRDefault="001D02E4" w:rsidP="001D02E4">
      <w:pPr>
        <w:jc w:val="both"/>
        <w:rPr>
          <w:lang w:val="fr-FR"/>
        </w:rPr>
      </w:pPr>
    </w:p>
    <w:p w:rsidR="001D02E4" w:rsidRPr="0082659C" w:rsidRDefault="001D02E4" w:rsidP="001D02E4">
      <w:pPr>
        <w:pStyle w:val="ListParagraph"/>
        <w:widowControl w:val="0"/>
        <w:numPr>
          <w:ilvl w:val="0"/>
          <w:numId w:val="15"/>
        </w:numPr>
        <w:autoSpaceDE w:val="0"/>
        <w:autoSpaceDN w:val="0"/>
        <w:adjustRightInd w:val="0"/>
        <w:ind w:left="0" w:firstLine="0"/>
        <w:contextualSpacing/>
        <w:jc w:val="both"/>
        <w:rPr>
          <w:lang w:val="fr-FR"/>
        </w:rPr>
      </w:pPr>
      <w:r w:rsidRPr="0082659C">
        <w:rPr>
          <w:i/>
          <w:lang w:val="fr-FR"/>
        </w:rPr>
        <w:t>Adopte</w:t>
      </w:r>
      <w:r w:rsidRPr="0082659C">
        <w:rPr>
          <w:lang w:val="fr-FR"/>
        </w:rPr>
        <w:t xml:space="preserve"> la référence proposée par la </w:t>
      </w:r>
      <w:r w:rsidRPr="00D0752E">
        <w:rPr>
          <w:bCs/>
          <w:lang w:val="fr-FR"/>
        </w:rPr>
        <w:t>dix</w:t>
      </w:r>
      <w:r w:rsidRPr="00D0752E">
        <w:rPr>
          <w:lang w:val="fr-FR"/>
        </w:rPr>
        <w:t>-</w:t>
      </w:r>
      <w:r w:rsidRPr="00D0752E">
        <w:rPr>
          <w:bCs/>
          <w:lang w:val="fr-FR"/>
        </w:rPr>
        <w:t>huitième</w:t>
      </w:r>
      <w:r w:rsidRPr="00D0752E">
        <w:rPr>
          <w:b/>
          <w:bCs/>
          <w:lang w:val="fr-FR"/>
        </w:rPr>
        <w:t xml:space="preserve"> </w:t>
      </w:r>
      <w:r w:rsidRPr="0082659C">
        <w:rPr>
          <w:lang w:val="fr-FR"/>
        </w:rPr>
        <w:t>réunion du Conseil scientifique de la CMS comme la référence normalisée de la CMS pour la taxonomie et la nomenclature des oiseaux</w:t>
      </w:r>
      <w:r w:rsidR="00EA2293">
        <w:rPr>
          <w:lang w:val="fr-FR"/>
        </w:rPr>
        <w:t xml:space="preserve">: </w:t>
      </w:r>
      <w:r w:rsidR="00EA2293">
        <w:rPr>
          <w:lang w:val="fr-FR"/>
        </w:rPr>
        <w:t>m</w:t>
      </w:r>
      <w:r w:rsidR="00EA2293" w:rsidRPr="00231377">
        <w:rPr>
          <w:lang w:val="fr-FR"/>
        </w:rPr>
        <w:t>anuel des oiseaux du monde</w:t>
      </w:r>
      <w:r w:rsidR="00EA2293">
        <w:rPr>
          <w:lang w:val="fr-FR"/>
        </w:rPr>
        <w:t xml:space="preserve"> intitulé </w:t>
      </w:r>
      <w:proofErr w:type="spellStart"/>
      <w:r w:rsidR="00EA2293" w:rsidRPr="00514555">
        <w:rPr>
          <w:i/>
          <w:lang w:val="fr-FR"/>
        </w:rPr>
        <w:t>Handbook</w:t>
      </w:r>
      <w:proofErr w:type="spellEnd"/>
      <w:r w:rsidR="00EA2293" w:rsidRPr="00514555">
        <w:rPr>
          <w:i/>
          <w:lang w:val="fr-FR"/>
        </w:rPr>
        <w:t xml:space="preserve"> of the </w:t>
      </w:r>
      <w:proofErr w:type="spellStart"/>
      <w:r w:rsidR="00EA2293" w:rsidRPr="00514555">
        <w:rPr>
          <w:i/>
          <w:lang w:val="fr-FR"/>
        </w:rPr>
        <w:t>Birds</w:t>
      </w:r>
      <w:proofErr w:type="spellEnd"/>
      <w:r w:rsidR="00EA2293" w:rsidRPr="00514555">
        <w:rPr>
          <w:i/>
          <w:lang w:val="fr-FR"/>
        </w:rPr>
        <w:t xml:space="preserve"> of the World/</w:t>
      </w:r>
      <w:proofErr w:type="spellStart"/>
      <w:r w:rsidR="00EA2293" w:rsidRPr="00514555">
        <w:rPr>
          <w:i/>
          <w:lang w:val="fr-FR"/>
        </w:rPr>
        <w:t>BirdLife</w:t>
      </w:r>
      <w:proofErr w:type="spellEnd"/>
      <w:r w:rsidR="00EA2293" w:rsidRPr="00514555">
        <w:rPr>
          <w:i/>
          <w:lang w:val="fr-FR"/>
        </w:rPr>
        <w:t xml:space="preserve"> International </w:t>
      </w:r>
      <w:proofErr w:type="spellStart"/>
      <w:r w:rsidR="00EA2293" w:rsidRPr="00514555">
        <w:rPr>
          <w:i/>
          <w:lang w:val="fr-FR"/>
        </w:rPr>
        <w:t>Illustrated</w:t>
      </w:r>
      <w:proofErr w:type="spellEnd"/>
      <w:r w:rsidR="00EA2293" w:rsidRPr="00514555">
        <w:rPr>
          <w:i/>
          <w:lang w:val="fr-FR"/>
        </w:rPr>
        <w:t xml:space="preserve"> Checklist of the </w:t>
      </w:r>
      <w:proofErr w:type="spellStart"/>
      <w:r w:rsidR="00EA2293" w:rsidRPr="00514555">
        <w:rPr>
          <w:i/>
          <w:lang w:val="fr-FR"/>
        </w:rPr>
        <w:t>Birds</w:t>
      </w:r>
      <w:proofErr w:type="spellEnd"/>
      <w:r w:rsidR="00EA2293" w:rsidRPr="00514555">
        <w:rPr>
          <w:i/>
          <w:lang w:val="fr-FR"/>
        </w:rPr>
        <w:t xml:space="preserve"> of the World, Volume 1: Non-passerines</w:t>
      </w:r>
      <w:r w:rsidR="00EA2293">
        <w:rPr>
          <w:lang w:val="fr-FR"/>
        </w:rPr>
        <w:t xml:space="preserve"> de</w:t>
      </w:r>
      <w:r w:rsidR="00EA2293" w:rsidRPr="00514555">
        <w:rPr>
          <w:lang w:val="fr-FR"/>
        </w:rPr>
        <w:t xml:space="preserve"> Josep </w:t>
      </w:r>
      <w:proofErr w:type="spellStart"/>
      <w:r w:rsidR="00EA2293" w:rsidRPr="00514555">
        <w:rPr>
          <w:lang w:val="fr-FR"/>
        </w:rPr>
        <w:t>del</w:t>
      </w:r>
      <w:proofErr w:type="spellEnd"/>
      <w:r w:rsidR="00EA2293" w:rsidRPr="00514555">
        <w:rPr>
          <w:lang w:val="fr-FR"/>
        </w:rPr>
        <w:t xml:space="preserve"> </w:t>
      </w:r>
      <w:proofErr w:type="spellStart"/>
      <w:r w:rsidR="00EA2293" w:rsidRPr="00514555">
        <w:rPr>
          <w:lang w:val="fr-FR"/>
        </w:rPr>
        <w:t>Hoyo</w:t>
      </w:r>
      <w:proofErr w:type="spellEnd"/>
      <w:r w:rsidR="00EA2293" w:rsidRPr="00514555">
        <w:rPr>
          <w:lang w:val="fr-FR"/>
        </w:rPr>
        <w:t xml:space="preserve">, Nigel J. </w:t>
      </w:r>
      <w:proofErr w:type="spellStart"/>
      <w:r w:rsidR="00EA2293" w:rsidRPr="00514555">
        <w:rPr>
          <w:lang w:val="fr-FR"/>
        </w:rPr>
        <w:t>Collar</w:t>
      </w:r>
      <w:proofErr w:type="spellEnd"/>
      <w:r w:rsidR="00EA2293" w:rsidRPr="00514555">
        <w:rPr>
          <w:lang w:val="fr-FR"/>
        </w:rPr>
        <w:t xml:space="preserve">, David A. Christie, Andrew Elliot </w:t>
      </w:r>
      <w:r w:rsidR="00EA2293">
        <w:rPr>
          <w:lang w:val="fr-FR"/>
        </w:rPr>
        <w:t>et</w:t>
      </w:r>
      <w:r w:rsidR="00EA2293" w:rsidRPr="00514555">
        <w:rPr>
          <w:lang w:val="fr-FR"/>
        </w:rPr>
        <w:t xml:space="preserve"> Lincoln D.C. </w:t>
      </w:r>
      <w:proofErr w:type="spellStart"/>
      <w:r w:rsidR="00EA2293" w:rsidRPr="00514555">
        <w:rPr>
          <w:lang w:val="fr-FR"/>
        </w:rPr>
        <w:t>Fishpool</w:t>
      </w:r>
      <w:proofErr w:type="spellEnd"/>
      <w:r w:rsidR="00EA2293">
        <w:rPr>
          <w:lang w:val="fr-FR"/>
        </w:rPr>
        <w:t xml:space="preserve"> (2014)</w:t>
      </w:r>
      <w:r w:rsidR="000F7C2B">
        <w:rPr>
          <w:lang w:val="fr-FR"/>
        </w:rPr>
        <w:t>;</w:t>
      </w:r>
    </w:p>
    <w:p w:rsidR="001D02E4" w:rsidRPr="001C1E65" w:rsidRDefault="001D02E4" w:rsidP="001D02E4">
      <w:pPr>
        <w:jc w:val="both"/>
        <w:rPr>
          <w:spacing w:val="-4"/>
          <w:lang w:val="fr-FR"/>
        </w:rPr>
      </w:pPr>
    </w:p>
    <w:p w:rsidR="001D02E4" w:rsidRPr="005D4555" w:rsidRDefault="001D02E4" w:rsidP="001D02E4">
      <w:pPr>
        <w:pStyle w:val="ListParagraph"/>
        <w:widowControl w:val="0"/>
        <w:numPr>
          <w:ilvl w:val="0"/>
          <w:numId w:val="15"/>
        </w:numPr>
        <w:autoSpaceDE w:val="0"/>
        <w:autoSpaceDN w:val="0"/>
        <w:adjustRightInd w:val="0"/>
        <w:ind w:left="0" w:firstLine="0"/>
        <w:contextualSpacing/>
        <w:jc w:val="both"/>
        <w:rPr>
          <w:spacing w:val="-4"/>
          <w:lang w:val="fr-FR"/>
        </w:rPr>
      </w:pPr>
      <w:r w:rsidRPr="005D4555">
        <w:rPr>
          <w:i/>
          <w:lang w:val="fr-FR"/>
        </w:rPr>
        <w:t>Réaffirme</w:t>
      </w:r>
      <w:r w:rsidRPr="005D4555">
        <w:rPr>
          <w:lang w:val="fr-FR"/>
        </w:rPr>
        <w:t xml:space="preserve"> les règles adoptées par la Convention pour le traitement des cas de synonymie, de séparation d’espèces et </w:t>
      </w:r>
      <w:r>
        <w:rPr>
          <w:lang w:val="fr-FR"/>
        </w:rPr>
        <w:t>de regroupement</w:t>
      </w:r>
      <w:r w:rsidRPr="005D4555">
        <w:rPr>
          <w:lang w:val="fr-FR"/>
        </w:rPr>
        <w:t xml:space="preserve"> </w:t>
      </w:r>
      <w:r>
        <w:rPr>
          <w:lang w:val="fr-FR"/>
        </w:rPr>
        <w:t>(fusion) d’espèces</w:t>
      </w:r>
      <w:r w:rsidRPr="005D4555">
        <w:rPr>
          <w:lang w:val="fr-FR"/>
        </w:rPr>
        <w:t xml:space="preserve"> </w:t>
      </w:r>
      <w:r>
        <w:rPr>
          <w:lang w:val="fr-FR"/>
        </w:rPr>
        <w:t>résultant</w:t>
      </w:r>
      <w:r w:rsidRPr="005D4555">
        <w:rPr>
          <w:lang w:val="fr-FR"/>
        </w:rPr>
        <w:t xml:space="preserve"> d’un changement de référence </w:t>
      </w:r>
      <w:r w:rsidRPr="00C65C39">
        <w:rPr>
          <w:lang w:val="fr-FR"/>
        </w:rPr>
        <w:t>de nomenclature normalisée</w:t>
      </w:r>
      <w:r w:rsidRPr="005D4555">
        <w:rPr>
          <w:lang w:val="fr-FR"/>
        </w:rPr>
        <w:t>, comme suit</w:t>
      </w:r>
      <w:r>
        <w:rPr>
          <w:lang w:val="fr-FR"/>
        </w:rPr>
        <w:t>:</w:t>
      </w:r>
    </w:p>
    <w:p w:rsidR="001D02E4" w:rsidRPr="001C1E65" w:rsidRDefault="001D02E4" w:rsidP="001D02E4">
      <w:pPr>
        <w:jc w:val="both"/>
        <w:rPr>
          <w:spacing w:val="-4"/>
          <w:lang w:val="fr-FR"/>
        </w:rPr>
      </w:pPr>
    </w:p>
    <w:p w:rsidR="001D02E4" w:rsidRPr="005D4555" w:rsidRDefault="001D02E4" w:rsidP="001D02E4">
      <w:pPr>
        <w:pStyle w:val="ListParagraph"/>
        <w:numPr>
          <w:ilvl w:val="0"/>
          <w:numId w:val="16"/>
        </w:numPr>
        <w:autoSpaceDE w:val="0"/>
        <w:autoSpaceDN w:val="0"/>
        <w:adjustRightInd w:val="0"/>
        <w:contextualSpacing/>
        <w:jc w:val="both"/>
        <w:rPr>
          <w:color w:val="000000"/>
          <w:lang w:val="fr-FR" w:eastAsia="en-GB"/>
        </w:rPr>
      </w:pPr>
      <w:r w:rsidRPr="005D4555">
        <w:rPr>
          <w:lang w:val="fr-FR"/>
        </w:rPr>
        <w:t xml:space="preserve">Synonymie : </w:t>
      </w:r>
      <w:r>
        <w:rPr>
          <w:lang w:val="fr-FR"/>
        </w:rPr>
        <w:t xml:space="preserve">les </w:t>
      </w:r>
      <w:r w:rsidRPr="005D4555">
        <w:rPr>
          <w:lang w:val="fr-FR"/>
        </w:rPr>
        <w:t xml:space="preserve">corrections peuvent être faites automatiquement </w:t>
      </w:r>
      <w:r>
        <w:rPr>
          <w:lang w:val="fr-FR"/>
        </w:rPr>
        <w:t xml:space="preserve">comme </w:t>
      </w:r>
      <w:r w:rsidRPr="005D4555">
        <w:rPr>
          <w:lang w:val="fr-FR"/>
        </w:rPr>
        <w:t>il n’y</w:t>
      </w:r>
      <w:r>
        <w:rPr>
          <w:lang w:val="fr-FR"/>
        </w:rPr>
        <w:t xml:space="preserve"> </w:t>
      </w:r>
      <w:r w:rsidRPr="005D4555">
        <w:rPr>
          <w:lang w:val="fr-FR"/>
        </w:rPr>
        <w:t xml:space="preserve">a pas de changement </w:t>
      </w:r>
      <w:r>
        <w:rPr>
          <w:lang w:val="fr-FR"/>
        </w:rPr>
        <w:t>concernant</w:t>
      </w:r>
      <w:r w:rsidRPr="005D4555">
        <w:rPr>
          <w:lang w:val="fr-FR"/>
        </w:rPr>
        <w:t xml:space="preserve"> </w:t>
      </w:r>
      <w:r>
        <w:rPr>
          <w:lang w:val="fr-FR"/>
        </w:rPr>
        <w:t>le statut des</w:t>
      </w:r>
      <w:r w:rsidRPr="005D4555">
        <w:rPr>
          <w:lang w:val="fr-FR"/>
        </w:rPr>
        <w:t xml:space="preserve"> population</w:t>
      </w:r>
      <w:r>
        <w:rPr>
          <w:lang w:val="fr-FR"/>
        </w:rPr>
        <w:t>s</w:t>
      </w:r>
      <w:r w:rsidRPr="005D4555">
        <w:rPr>
          <w:lang w:val="fr-FR"/>
        </w:rPr>
        <w:t xml:space="preserve"> </w:t>
      </w:r>
      <w:r>
        <w:rPr>
          <w:lang w:val="fr-FR"/>
        </w:rPr>
        <w:t>inscrites</w:t>
      </w:r>
      <w:r w:rsidRPr="005D4555">
        <w:rPr>
          <w:lang w:val="fr-FR"/>
        </w:rPr>
        <w:t>;</w:t>
      </w:r>
    </w:p>
    <w:p w:rsidR="001D02E4" w:rsidRPr="001C1E65" w:rsidRDefault="001D02E4" w:rsidP="001D02E4">
      <w:pPr>
        <w:jc w:val="both"/>
        <w:rPr>
          <w:color w:val="000000"/>
          <w:lang w:val="fr-FR" w:eastAsia="en-GB"/>
        </w:rPr>
      </w:pPr>
    </w:p>
    <w:p w:rsidR="001D02E4" w:rsidRPr="005D4555" w:rsidRDefault="001D02E4" w:rsidP="001D02E4">
      <w:pPr>
        <w:pStyle w:val="ListParagraph"/>
        <w:numPr>
          <w:ilvl w:val="0"/>
          <w:numId w:val="16"/>
        </w:numPr>
        <w:autoSpaceDE w:val="0"/>
        <w:autoSpaceDN w:val="0"/>
        <w:adjustRightInd w:val="0"/>
        <w:contextualSpacing/>
        <w:jc w:val="both"/>
        <w:rPr>
          <w:color w:val="000000"/>
          <w:lang w:val="fr-FR" w:eastAsia="en-GB"/>
        </w:rPr>
      </w:pPr>
      <w:r>
        <w:rPr>
          <w:lang w:val="fr-FR"/>
        </w:rPr>
        <w:t>Division</w:t>
      </w:r>
      <w:r w:rsidRPr="005D4555">
        <w:rPr>
          <w:lang w:val="fr-FR"/>
        </w:rPr>
        <w:t xml:space="preserve"> : quand un taxon est divisé en deux ou plus, chacun des taxons résultant </w:t>
      </w:r>
      <w:r>
        <w:rPr>
          <w:lang w:val="fr-FR"/>
        </w:rPr>
        <w:t xml:space="preserve">de la division </w:t>
      </w:r>
      <w:r w:rsidRPr="005D4555">
        <w:rPr>
          <w:lang w:val="fr-FR"/>
        </w:rPr>
        <w:t xml:space="preserve">conserve </w:t>
      </w:r>
      <w:r>
        <w:rPr>
          <w:lang w:val="fr-FR"/>
        </w:rPr>
        <w:t>le statut d’inscription</w:t>
      </w:r>
      <w:r w:rsidR="003F6443">
        <w:rPr>
          <w:lang w:val="fr-FR"/>
        </w:rPr>
        <w:t xml:space="preserve"> de l’ancien taxon global</w:t>
      </w:r>
      <w:r w:rsidRPr="005D4555">
        <w:rPr>
          <w:lang w:val="fr-FR"/>
        </w:rPr>
        <w:t>;</w:t>
      </w:r>
    </w:p>
    <w:p w:rsidR="001D02E4" w:rsidRPr="001C1E65" w:rsidRDefault="001D02E4" w:rsidP="001D02E4">
      <w:pPr>
        <w:jc w:val="both"/>
        <w:rPr>
          <w:color w:val="000000"/>
          <w:lang w:val="fr-FR" w:eastAsia="en-GB"/>
        </w:rPr>
      </w:pPr>
    </w:p>
    <w:p w:rsidR="001D02E4" w:rsidRPr="00C86BAA" w:rsidRDefault="001D02E4" w:rsidP="001D02E4">
      <w:pPr>
        <w:pStyle w:val="ListParagraph"/>
        <w:numPr>
          <w:ilvl w:val="0"/>
          <w:numId w:val="16"/>
        </w:numPr>
        <w:autoSpaceDE w:val="0"/>
        <w:autoSpaceDN w:val="0"/>
        <w:adjustRightInd w:val="0"/>
        <w:contextualSpacing/>
        <w:jc w:val="both"/>
        <w:rPr>
          <w:color w:val="000000"/>
          <w:lang w:val="fr-FR" w:eastAsia="en-GB"/>
        </w:rPr>
      </w:pPr>
      <w:r w:rsidRPr="00C86BAA">
        <w:rPr>
          <w:lang w:val="fr-FR"/>
        </w:rPr>
        <w:t xml:space="preserve">Regroupement (fusion) : si un taxon figurant à l’Annexe I ou à l’Annexe II de la Convention est fusionné avec un ou plusieurs taxons </w:t>
      </w:r>
      <w:proofErr w:type="spellStart"/>
      <w:r w:rsidRPr="00C86BAA">
        <w:rPr>
          <w:lang w:val="fr-FR"/>
        </w:rPr>
        <w:t>non inscrits</w:t>
      </w:r>
      <w:proofErr w:type="spellEnd"/>
      <w:r w:rsidRPr="00C86BAA">
        <w:rPr>
          <w:lang w:val="fr-FR"/>
        </w:rPr>
        <w:t xml:space="preserve"> aux annexes, sous son nom ou celui de l’un des taxons </w:t>
      </w:r>
      <w:proofErr w:type="spellStart"/>
      <w:r w:rsidRPr="00C86BAA">
        <w:rPr>
          <w:lang w:val="fr-FR"/>
        </w:rPr>
        <w:t>non inscrits</w:t>
      </w:r>
      <w:proofErr w:type="spellEnd"/>
      <w:r w:rsidRPr="00C86BAA">
        <w:rPr>
          <w:lang w:val="fr-FR"/>
        </w:rPr>
        <w:t xml:space="preserve">, l’ensemble du taxon regroupé figurera à l’Annexe à laquelle figurait à l’origine le taxon plus précis, dans les cas où l’entité non-inscrite ainsi ajoutée présente le même état de conservation, ou un état moins bon, que celui du taxon précédemment inscrit. Dans tous les autres cas, une restriction taxonomique ou géographique sera introduite, </w:t>
      </w:r>
      <w:r w:rsidRPr="00C86BAA">
        <w:rPr>
          <w:color w:val="000000"/>
          <w:lang w:val="fr-FR" w:eastAsia="en-GB"/>
        </w:rPr>
        <w:t>dans l’attente d’un examen par le Conseil scientifique et la Conférence des Parties des nouvelles inscriptions aux annexes</w:t>
      </w:r>
      <w:r w:rsidR="003F6443">
        <w:rPr>
          <w:color w:val="000000"/>
          <w:lang w:val="fr-FR" w:eastAsia="en-GB"/>
        </w:rPr>
        <w:t>;</w:t>
      </w:r>
    </w:p>
    <w:p w:rsidR="001D02E4" w:rsidRPr="001C1E65" w:rsidRDefault="001D02E4" w:rsidP="001D02E4">
      <w:pPr>
        <w:jc w:val="both"/>
        <w:rPr>
          <w:i/>
          <w:spacing w:val="-4"/>
          <w:lang w:val="fr-FR"/>
        </w:rPr>
      </w:pPr>
    </w:p>
    <w:p w:rsidR="001D02E4" w:rsidRDefault="001D02E4" w:rsidP="001D02E4">
      <w:pPr>
        <w:pStyle w:val="ListParagraph"/>
        <w:widowControl w:val="0"/>
        <w:numPr>
          <w:ilvl w:val="0"/>
          <w:numId w:val="15"/>
        </w:numPr>
        <w:autoSpaceDE w:val="0"/>
        <w:autoSpaceDN w:val="0"/>
        <w:adjustRightInd w:val="0"/>
        <w:ind w:left="0" w:firstLine="0"/>
        <w:contextualSpacing/>
        <w:jc w:val="both"/>
        <w:rPr>
          <w:lang w:val="fr-FR"/>
        </w:rPr>
      </w:pPr>
      <w:r w:rsidRPr="005563F9">
        <w:rPr>
          <w:i/>
          <w:lang w:val="fr-FR"/>
        </w:rPr>
        <w:t>Charge</w:t>
      </w:r>
      <w:r w:rsidRPr="00231377">
        <w:rPr>
          <w:lang w:val="fr-FR"/>
        </w:rPr>
        <w:t xml:space="preserve"> le Secrétariat, en consultation avec le Conseil scientifiq</w:t>
      </w:r>
      <w:r>
        <w:rPr>
          <w:lang w:val="fr-FR"/>
        </w:rPr>
        <w:t>ue et le d</w:t>
      </w:r>
      <w:r w:rsidRPr="00231377">
        <w:rPr>
          <w:lang w:val="fr-FR"/>
        </w:rPr>
        <w:t xml:space="preserve">épositaire, d’adapter les annexes de la CMS </w:t>
      </w:r>
      <w:r>
        <w:rPr>
          <w:lang w:val="fr-FR"/>
        </w:rPr>
        <w:t>en fonction de</w:t>
      </w:r>
      <w:r w:rsidRPr="00231377">
        <w:rPr>
          <w:lang w:val="fr-FR"/>
        </w:rPr>
        <w:t xml:space="preserve"> la nouvelle référence </w:t>
      </w:r>
      <w:r>
        <w:rPr>
          <w:lang w:val="fr-FR"/>
        </w:rPr>
        <w:t>adoptée pour les</w:t>
      </w:r>
      <w:r w:rsidRPr="00231377">
        <w:rPr>
          <w:lang w:val="fr-FR"/>
        </w:rPr>
        <w:t xml:space="preserve"> oiseaux et </w:t>
      </w:r>
      <w:r>
        <w:rPr>
          <w:lang w:val="fr-FR"/>
        </w:rPr>
        <w:t>des</w:t>
      </w:r>
      <w:r w:rsidR="003F6443">
        <w:rPr>
          <w:lang w:val="fr-FR"/>
        </w:rPr>
        <w:t xml:space="preserve"> règles décrites ci-dessus</w:t>
      </w:r>
      <w:r w:rsidRPr="00231377">
        <w:rPr>
          <w:lang w:val="fr-FR"/>
        </w:rPr>
        <w:t>;</w:t>
      </w:r>
    </w:p>
    <w:p w:rsidR="001D02E4" w:rsidRPr="00C86BAA" w:rsidRDefault="001D02E4" w:rsidP="001D02E4">
      <w:pPr>
        <w:jc w:val="both"/>
        <w:rPr>
          <w:lang w:val="fr-FR"/>
        </w:rPr>
      </w:pPr>
    </w:p>
    <w:p w:rsidR="001D02E4" w:rsidRDefault="001D02E4" w:rsidP="001D02E4">
      <w:pPr>
        <w:pStyle w:val="ListParagraph"/>
        <w:widowControl w:val="0"/>
        <w:numPr>
          <w:ilvl w:val="0"/>
          <w:numId w:val="15"/>
        </w:numPr>
        <w:autoSpaceDE w:val="0"/>
        <w:autoSpaceDN w:val="0"/>
        <w:adjustRightInd w:val="0"/>
        <w:ind w:left="0" w:firstLine="0"/>
        <w:contextualSpacing/>
        <w:jc w:val="both"/>
        <w:rPr>
          <w:lang w:val="fr-FR"/>
        </w:rPr>
      </w:pPr>
      <w:r w:rsidRPr="00675AD9">
        <w:rPr>
          <w:i/>
          <w:lang w:val="fr-FR"/>
        </w:rPr>
        <w:t>Charge en outre</w:t>
      </w:r>
      <w:r w:rsidRPr="00231377">
        <w:rPr>
          <w:lang w:val="fr-FR"/>
        </w:rPr>
        <w:t xml:space="preserve"> le Secrétariat de transme</w:t>
      </w:r>
      <w:r>
        <w:rPr>
          <w:lang w:val="fr-FR"/>
        </w:rPr>
        <w:t>ttre la présente résolution aux S</w:t>
      </w:r>
      <w:r w:rsidRPr="00231377">
        <w:rPr>
          <w:lang w:val="fr-FR"/>
        </w:rPr>
        <w:t>ecrétariat</w:t>
      </w:r>
      <w:r>
        <w:rPr>
          <w:lang w:val="fr-FR"/>
        </w:rPr>
        <w:t>s</w:t>
      </w:r>
      <w:r w:rsidRPr="00231377">
        <w:rPr>
          <w:lang w:val="fr-FR"/>
        </w:rPr>
        <w:t xml:space="preserve"> de la CITES et </w:t>
      </w:r>
      <w:r>
        <w:rPr>
          <w:lang w:val="fr-FR"/>
        </w:rPr>
        <w:t xml:space="preserve">de </w:t>
      </w:r>
      <w:r w:rsidRPr="00231377">
        <w:rPr>
          <w:lang w:val="fr-FR"/>
        </w:rPr>
        <w:t xml:space="preserve">la Convention de </w:t>
      </w:r>
      <w:proofErr w:type="spellStart"/>
      <w:r w:rsidRPr="00231377">
        <w:rPr>
          <w:lang w:val="fr-FR"/>
        </w:rPr>
        <w:t>Ramsar</w:t>
      </w:r>
      <w:proofErr w:type="spellEnd"/>
      <w:r w:rsidRPr="00231377">
        <w:rPr>
          <w:lang w:val="fr-FR"/>
        </w:rPr>
        <w:t xml:space="preserve"> pour examen par leurs organ</w:t>
      </w:r>
      <w:r>
        <w:rPr>
          <w:lang w:val="fr-FR"/>
        </w:rPr>
        <w:t>es</w:t>
      </w:r>
      <w:r w:rsidRPr="00231377">
        <w:rPr>
          <w:lang w:val="fr-FR"/>
        </w:rPr>
        <w:t xml:space="preserve"> scientifiques, et de continuer à coopérer avec les instruments de la CMS </w:t>
      </w:r>
      <w:r>
        <w:rPr>
          <w:lang w:val="fr-FR"/>
        </w:rPr>
        <w:t xml:space="preserve">relatifs aux oiseaux </w:t>
      </w:r>
      <w:r w:rsidRPr="00231377">
        <w:rPr>
          <w:lang w:val="fr-FR"/>
        </w:rPr>
        <w:t xml:space="preserve">et </w:t>
      </w:r>
      <w:r>
        <w:rPr>
          <w:lang w:val="fr-FR"/>
        </w:rPr>
        <w:t xml:space="preserve">avec </w:t>
      </w:r>
      <w:r w:rsidRPr="00231377">
        <w:rPr>
          <w:lang w:val="fr-FR"/>
        </w:rPr>
        <w:t>les Secrétariats des AEM en vue de renforcer l’harmonisation des références taxonomiques ;</w:t>
      </w:r>
    </w:p>
    <w:p w:rsidR="00EA2293" w:rsidRDefault="00EA2293" w:rsidP="001D02E4">
      <w:pPr>
        <w:pStyle w:val="ListParagraph"/>
        <w:ind w:left="0"/>
        <w:rPr>
          <w:i/>
          <w:lang w:val="fr-FR"/>
        </w:rPr>
      </w:pPr>
    </w:p>
    <w:p w:rsidR="006E6631" w:rsidRDefault="00EA2293" w:rsidP="000F7C2B">
      <w:pPr>
        <w:pStyle w:val="ListParagraph"/>
        <w:ind w:left="0"/>
        <w:jc w:val="both"/>
        <w:rPr>
          <w:lang w:val="fr-FR"/>
        </w:rPr>
      </w:pPr>
      <w:r>
        <w:rPr>
          <w:i/>
          <w:lang w:val="fr-FR"/>
        </w:rPr>
        <w:t>5.</w:t>
      </w:r>
      <w:r>
        <w:rPr>
          <w:i/>
          <w:lang w:val="fr-FR"/>
        </w:rPr>
        <w:tab/>
      </w:r>
      <w:r w:rsidR="001D02E4" w:rsidRPr="005A1149">
        <w:rPr>
          <w:i/>
          <w:lang w:val="fr-FR"/>
        </w:rPr>
        <w:t>Prie instamment</w:t>
      </w:r>
      <w:r w:rsidR="001D02E4" w:rsidRPr="005A1149">
        <w:rPr>
          <w:lang w:val="fr-FR"/>
        </w:rPr>
        <w:t xml:space="preserve"> les </w:t>
      </w:r>
      <w:r w:rsidR="001D02E4" w:rsidRPr="00231377">
        <w:rPr>
          <w:lang w:val="fr-FR"/>
        </w:rPr>
        <w:t>autres A</w:t>
      </w:r>
      <w:r w:rsidR="001D02E4">
        <w:rPr>
          <w:lang w:val="fr-FR"/>
        </w:rPr>
        <w:t>EM</w:t>
      </w:r>
      <w:r w:rsidR="001D02E4" w:rsidRPr="00231377">
        <w:rPr>
          <w:lang w:val="fr-FR"/>
        </w:rPr>
        <w:t xml:space="preserve"> </w:t>
      </w:r>
      <w:r w:rsidR="001D02E4">
        <w:rPr>
          <w:lang w:val="fr-FR"/>
        </w:rPr>
        <w:t>d’</w:t>
      </w:r>
      <w:r w:rsidR="001D02E4" w:rsidRPr="00231377">
        <w:rPr>
          <w:lang w:val="fr-FR"/>
        </w:rPr>
        <w:t>adopter la même référence taxonomique normalisée pour les oiseaux.</w:t>
      </w:r>
    </w:p>
    <w:sectPr w:rsidR="006E6631" w:rsidSect="00B4087D">
      <w:headerReference w:type="even" r:id="rId20"/>
      <w:headerReference w:type="default" r:id="rId21"/>
      <w:pgSz w:w="11907" w:h="16840" w:code="9"/>
      <w:pgMar w:top="1134"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87" w:rsidRDefault="00DE0787" w:rsidP="00C96A00">
      <w:r>
        <w:separator/>
      </w:r>
    </w:p>
  </w:endnote>
  <w:endnote w:type="continuationSeparator" w:id="0">
    <w:p w:rsidR="00DE0787" w:rsidRDefault="00DE0787"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795328">
      <w:rPr>
        <w:noProof/>
        <w:sz w:val="22"/>
        <w:lang w:val="fr-FR"/>
      </w:rPr>
      <w:t>4</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795328">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DE0787"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44C71453" wp14:editId="24638B39">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w:t>
    </w:r>
    <w:r w:rsidR="00CC2968" w:rsidRPr="006E6631">
      <w:rPr>
        <w:rFonts w:ascii="Times New Roman Italic" w:hAnsi="Times New Roman Italic"/>
        <w:i/>
        <w:spacing w:val="-6"/>
        <w:sz w:val="20"/>
        <w:szCs w:val="20"/>
        <w:lang w:val="fr-FR"/>
      </w:rPr>
      <w:t xml:space="preserve"> la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19E0BFBC" wp14:editId="5E284159">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E4" w:rsidRPr="001764E6" w:rsidRDefault="001D02E4" w:rsidP="001764E6">
    <w:pPr>
      <w:pStyle w:val="Footer"/>
      <w:jc w:val="center"/>
    </w:pPr>
    <w:r w:rsidRPr="001764E6">
      <w:fldChar w:fldCharType="begin"/>
    </w:r>
    <w:r w:rsidRPr="001764E6">
      <w:instrText xml:space="preserve"> PAGE   \* MERGEFORMAT </w:instrText>
    </w:r>
    <w:r w:rsidRPr="001764E6">
      <w:fldChar w:fldCharType="separate"/>
    </w:r>
    <w:r w:rsidR="00795328">
      <w:rPr>
        <w:noProof/>
      </w:rPr>
      <w:t>2</w:t>
    </w:r>
    <w:r w:rsidRPr="001764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87" w:rsidRDefault="00DE0787" w:rsidP="00C96A00">
      <w:r>
        <w:separator/>
      </w:r>
    </w:p>
  </w:footnote>
  <w:footnote w:type="continuationSeparator" w:id="0">
    <w:p w:rsidR="00DE0787" w:rsidRDefault="00DE0787"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E4" w:rsidRPr="006902CB" w:rsidRDefault="007C50D4" w:rsidP="00C41CE4">
    <w:pPr>
      <w:pStyle w:val="Header"/>
      <w:pBdr>
        <w:bottom w:val="single" w:sz="4" w:space="1" w:color="auto"/>
      </w:pBdr>
      <w:jc w:val="right"/>
    </w:pPr>
    <w:r w:rsidRPr="001A408F">
      <w:rPr>
        <w:i/>
        <w:sz w:val="20"/>
        <w:szCs w:val="20"/>
        <w:bdr w:val="single" w:sz="4" w:space="0" w:color="auto"/>
        <w:lang w:val="de-DE"/>
      </w:rPr>
      <w:t>PNUE/CMS/COP11/Doc.23.1</w:t>
    </w:r>
    <w:r>
      <w:rPr>
        <w:i/>
        <w:sz w:val="20"/>
        <w:szCs w:val="20"/>
        <w:bdr w:val="single" w:sz="4" w:space="0" w:color="auto"/>
        <w:lang w:val="de-DE"/>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E4" w:rsidRPr="003F6443" w:rsidRDefault="003F6443" w:rsidP="003F6443">
    <w:pPr>
      <w:pStyle w:val="Header"/>
      <w:pBdr>
        <w:bottom w:val="single" w:sz="4" w:space="1" w:color="auto"/>
      </w:pBdr>
      <w:rPr>
        <w:i/>
        <w:sz w:val="20"/>
        <w:szCs w:val="20"/>
        <w:lang w:val="de-DE"/>
      </w:rPr>
    </w:pPr>
    <w:r w:rsidRPr="003F6443">
      <w:rPr>
        <w:i/>
        <w:sz w:val="20"/>
        <w:szCs w:val="20"/>
        <w:lang w:val="de-DE"/>
      </w:rPr>
      <w:t>PNUE/CMS/COP11/Doc.23.1.6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43" w:rsidRPr="003F6443" w:rsidRDefault="003F6443" w:rsidP="003F6443">
    <w:pPr>
      <w:pStyle w:val="Header"/>
      <w:pBdr>
        <w:bottom w:val="single" w:sz="4" w:space="1" w:color="auto"/>
      </w:pBdr>
      <w:rPr>
        <w:i/>
        <w:sz w:val="20"/>
        <w:szCs w:val="20"/>
      </w:rPr>
    </w:pPr>
    <w:r w:rsidRPr="003F6443">
      <w:rPr>
        <w:i/>
        <w:sz w:val="20"/>
        <w:szCs w:val="20"/>
      </w:rPr>
      <w:t>PNUE/CMS/COP11/Doc.23.1.6/</w:t>
    </w:r>
    <w:proofErr w:type="spellStart"/>
    <w:r w:rsidRPr="003F6443">
      <w:rPr>
        <w:i/>
        <w:sz w:val="20"/>
        <w:szCs w:val="20"/>
      </w:rPr>
      <w:t>Annexe</w:t>
    </w:r>
    <w:proofErr w:type="spellEnd"/>
    <w:r w:rsidRPr="003F6443">
      <w:rPr>
        <w:i/>
        <w:sz w:val="20"/>
        <w:szCs w:val="20"/>
      </w:rPr>
      <w:t xml:space="preserve">: </w:t>
    </w:r>
    <w:proofErr w:type="spellStart"/>
    <w:r w:rsidRPr="003F6443">
      <w:rPr>
        <w:i/>
        <w:sz w:val="20"/>
        <w:szCs w:val="20"/>
      </w:rPr>
      <w:t>Projet</w:t>
    </w:r>
    <w:proofErr w:type="spellEnd"/>
    <w:r w:rsidRPr="003F6443">
      <w:rPr>
        <w:i/>
        <w:sz w:val="20"/>
        <w:szCs w:val="20"/>
      </w:rPr>
      <w:t xml:space="preserve"> de </w:t>
    </w:r>
    <w:proofErr w:type="spellStart"/>
    <w:r w:rsidRPr="003F6443">
      <w:rPr>
        <w:i/>
        <w:sz w:val="20"/>
        <w:szCs w:val="20"/>
      </w:rPr>
      <w:t>R</w:t>
    </w:r>
    <w:r>
      <w:rPr>
        <w:i/>
        <w:sz w:val="20"/>
        <w:szCs w:val="20"/>
      </w:rPr>
      <w:t>ésolution</w:t>
    </w:r>
    <w:proofErr w:type="spellEnd"/>
  </w:p>
  <w:p w:rsidR="00FE334F" w:rsidRPr="003F6443" w:rsidRDefault="00FE334F" w:rsidP="003F64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43" w:rsidRPr="003F6443" w:rsidRDefault="003F6443" w:rsidP="003F6443">
    <w:pPr>
      <w:pStyle w:val="Header"/>
      <w:pBdr>
        <w:bottom w:val="single" w:sz="4" w:space="1" w:color="auto"/>
      </w:pBdr>
      <w:jc w:val="right"/>
      <w:rPr>
        <w:i/>
        <w:sz w:val="20"/>
        <w:szCs w:val="20"/>
      </w:rPr>
    </w:pPr>
    <w:r w:rsidRPr="003F6443">
      <w:rPr>
        <w:i/>
        <w:sz w:val="20"/>
        <w:szCs w:val="20"/>
      </w:rPr>
      <w:t>PNUE/CMS/COP11/Doc.23.1.6</w:t>
    </w:r>
    <w:r w:rsidRPr="003F6443">
      <w:rPr>
        <w:i/>
        <w:sz w:val="20"/>
        <w:szCs w:val="20"/>
      </w:rPr>
      <w:t>/</w:t>
    </w:r>
    <w:proofErr w:type="spellStart"/>
    <w:r w:rsidRPr="003F6443">
      <w:rPr>
        <w:i/>
        <w:sz w:val="20"/>
        <w:szCs w:val="20"/>
      </w:rPr>
      <w:t>Annexe</w:t>
    </w:r>
    <w:proofErr w:type="spellEnd"/>
    <w:r w:rsidRPr="003F6443">
      <w:rPr>
        <w:i/>
        <w:sz w:val="20"/>
        <w:szCs w:val="20"/>
      </w:rPr>
      <w:t xml:space="preserve">: </w:t>
    </w:r>
    <w:proofErr w:type="spellStart"/>
    <w:r w:rsidRPr="003F6443">
      <w:rPr>
        <w:i/>
        <w:sz w:val="20"/>
        <w:szCs w:val="20"/>
      </w:rPr>
      <w:t>Projet</w:t>
    </w:r>
    <w:proofErr w:type="spellEnd"/>
    <w:r w:rsidRPr="003F6443">
      <w:rPr>
        <w:i/>
        <w:sz w:val="20"/>
        <w:szCs w:val="20"/>
      </w:rPr>
      <w:t xml:space="preserve"> de </w:t>
    </w:r>
    <w:proofErr w:type="spellStart"/>
    <w:r w:rsidRPr="003F6443">
      <w:rPr>
        <w:i/>
        <w:sz w:val="20"/>
        <w:szCs w:val="20"/>
      </w:rPr>
      <w:t>R</w:t>
    </w:r>
    <w:r>
      <w:rPr>
        <w:i/>
        <w:sz w:val="20"/>
        <w:szCs w:val="20"/>
      </w:rPr>
      <w:t>ésolution</w:t>
    </w:r>
    <w:proofErr w:type="spellEnd"/>
  </w:p>
  <w:p w:rsidR="00FE334F" w:rsidRPr="003F6443" w:rsidRDefault="00FE334F" w:rsidP="003F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7795F"/>
    <w:multiLevelType w:val="hybridMultilevel"/>
    <w:tmpl w:val="2E9A200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0B92CD4"/>
    <w:multiLevelType w:val="hybridMultilevel"/>
    <w:tmpl w:val="10AAB2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51212"/>
    <w:multiLevelType w:val="hybridMultilevel"/>
    <w:tmpl w:val="C0B2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9C4D0F"/>
    <w:multiLevelType w:val="hybridMultilevel"/>
    <w:tmpl w:val="0F5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12"/>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7"/>
  </w:num>
  <w:num w:numId="7">
    <w:abstractNumId w:val="5"/>
  </w:num>
  <w:num w:numId="8">
    <w:abstractNumId w:val="6"/>
  </w:num>
  <w:num w:numId="9">
    <w:abstractNumId w:val="14"/>
  </w:num>
  <w:num w:numId="10">
    <w:abstractNumId w:val="2"/>
  </w:num>
  <w:num w:numId="11">
    <w:abstractNumId w:val="1"/>
  </w:num>
  <w:num w:numId="12">
    <w:abstractNumId w:val="11"/>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87"/>
    <w:rsid w:val="00001BCE"/>
    <w:rsid w:val="00012D5E"/>
    <w:rsid w:val="000216CB"/>
    <w:rsid w:val="0002353C"/>
    <w:rsid w:val="00031D49"/>
    <w:rsid w:val="00033272"/>
    <w:rsid w:val="00042864"/>
    <w:rsid w:val="00043DED"/>
    <w:rsid w:val="00050F99"/>
    <w:rsid w:val="00076D11"/>
    <w:rsid w:val="000A1712"/>
    <w:rsid w:val="000A4AA9"/>
    <w:rsid w:val="000B2583"/>
    <w:rsid w:val="000C5934"/>
    <w:rsid w:val="000D5656"/>
    <w:rsid w:val="000F7C2B"/>
    <w:rsid w:val="00101EBB"/>
    <w:rsid w:val="00105EA7"/>
    <w:rsid w:val="00106A1A"/>
    <w:rsid w:val="00107D1D"/>
    <w:rsid w:val="00113CC4"/>
    <w:rsid w:val="00133164"/>
    <w:rsid w:val="00161140"/>
    <w:rsid w:val="00172816"/>
    <w:rsid w:val="001956D7"/>
    <w:rsid w:val="001A0800"/>
    <w:rsid w:val="001C14B6"/>
    <w:rsid w:val="001C226F"/>
    <w:rsid w:val="001D02E4"/>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556C2"/>
    <w:rsid w:val="0038468E"/>
    <w:rsid w:val="003860F5"/>
    <w:rsid w:val="003B756F"/>
    <w:rsid w:val="003D1B0A"/>
    <w:rsid w:val="003D36E9"/>
    <w:rsid w:val="003D63C2"/>
    <w:rsid w:val="003F6443"/>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6540A"/>
    <w:rsid w:val="00687274"/>
    <w:rsid w:val="006903A2"/>
    <w:rsid w:val="006924F5"/>
    <w:rsid w:val="00696095"/>
    <w:rsid w:val="00696D1D"/>
    <w:rsid w:val="006A0F69"/>
    <w:rsid w:val="006A169A"/>
    <w:rsid w:val="006A2F1B"/>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95328"/>
    <w:rsid w:val="007A10CB"/>
    <w:rsid w:val="007A5891"/>
    <w:rsid w:val="007C50D4"/>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2FEB"/>
    <w:rsid w:val="00974507"/>
    <w:rsid w:val="00991055"/>
    <w:rsid w:val="009A4C94"/>
    <w:rsid w:val="009B7296"/>
    <w:rsid w:val="009C380B"/>
    <w:rsid w:val="009C71CD"/>
    <w:rsid w:val="009D5101"/>
    <w:rsid w:val="009E75A4"/>
    <w:rsid w:val="00A079D5"/>
    <w:rsid w:val="00A17533"/>
    <w:rsid w:val="00A22EEC"/>
    <w:rsid w:val="00A72E6C"/>
    <w:rsid w:val="00A82703"/>
    <w:rsid w:val="00A83B6F"/>
    <w:rsid w:val="00A9767A"/>
    <w:rsid w:val="00AA6754"/>
    <w:rsid w:val="00AB0C7A"/>
    <w:rsid w:val="00AC6844"/>
    <w:rsid w:val="00AC7928"/>
    <w:rsid w:val="00AD2F11"/>
    <w:rsid w:val="00AD3A97"/>
    <w:rsid w:val="00AF23C4"/>
    <w:rsid w:val="00AF6F73"/>
    <w:rsid w:val="00B007B0"/>
    <w:rsid w:val="00B016BB"/>
    <w:rsid w:val="00B047D9"/>
    <w:rsid w:val="00B2711B"/>
    <w:rsid w:val="00B3336A"/>
    <w:rsid w:val="00B4087D"/>
    <w:rsid w:val="00B436D3"/>
    <w:rsid w:val="00B7084D"/>
    <w:rsid w:val="00B73B41"/>
    <w:rsid w:val="00B742E3"/>
    <w:rsid w:val="00BD42FF"/>
    <w:rsid w:val="00BE365E"/>
    <w:rsid w:val="00C15FDB"/>
    <w:rsid w:val="00C208F8"/>
    <w:rsid w:val="00C2540B"/>
    <w:rsid w:val="00C32294"/>
    <w:rsid w:val="00C41390"/>
    <w:rsid w:val="00C41CE4"/>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0787"/>
    <w:rsid w:val="00DE1F2C"/>
    <w:rsid w:val="00DF53A9"/>
    <w:rsid w:val="00E04F05"/>
    <w:rsid w:val="00E13FB9"/>
    <w:rsid w:val="00E34730"/>
    <w:rsid w:val="00E80A33"/>
    <w:rsid w:val="00E94D56"/>
    <w:rsid w:val="00E9660D"/>
    <w:rsid w:val="00EA2293"/>
    <w:rsid w:val="00EB4FAC"/>
    <w:rsid w:val="00EE451B"/>
    <w:rsid w:val="00EF1332"/>
    <w:rsid w:val="00EF35F9"/>
    <w:rsid w:val="00F03E5C"/>
    <w:rsid w:val="00F07452"/>
    <w:rsid w:val="00F26339"/>
    <w:rsid w:val="00F4301E"/>
    <w:rsid w:val="00F67195"/>
    <w:rsid w:val="00F858C3"/>
    <w:rsid w:val="00F85E2F"/>
    <w:rsid w:val="00F97125"/>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5341-3CC4-4BDB-A367-4EA8D0AD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5</TotalTime>
  <Pages>4</Pages>
  <Words>1416</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4</cp:revision>
  <cp:lastPrinted>2014-08-13T10:03:00Z</cp:lastPrinted>
  <dcterms:created xsi:type="dcterms:W3CDTF">2014-08-13T10:00:00Z</dcterms:created>
  <dcterms:modified xsi:type="dcterms:W3CDTF">2014-08-13T10:04:00Z</dcterms:modified>
</cp:coreProperties>
</file>